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exact"/>
        <w:jc w:val="center"/>
        <w:rPr>
          <w:rFonts w:ascii="黑体" w:hAnsi="黑体" w:eastAsia="黑体" w:cs="黑体"/>
          <w:b/>
          <w:bCs/>
          <w:color w:val="auto"/>
          <w:sz w:val="44"/>
          <w:szCs w:val="44"/>
          <w:lang w:val="zh-CN"/>
        </w:rPr>
      </w:pPr>
    </w:p>
    <w:p>
      <w:pPr>
        <w:spacing w:line="600" w:lineRule="exact"/>
        <w:jc w:val="center"/>
        <w:rPr>
          <w:rFonts w:ascii="黑体" w:hAnsi="黑体" w:eastAsia="黑体" w:cs="黑体"/>
          <w:b/>
          <w:bCs/>
          <w:color w:val="auto"/>
          <w:sz w:val="44"/>
          <w:szCs w:val="44"/>
          <w:lang w:val="zh-CN"/>
        </w:rPr>
      </w:pPr>
    </w:p>
    <w:p>
      <w:pPr>
        <w:spacing w:line="600" w:lineRule="exact"/>
        <w:rPr>
          <w:rFonts w:ascii="黑体" w:hAnsi="黑体" w:eastAsia="黑体" w:cs="黑体"/>
          <w:b/>
          <w:bCs/>
          <w:color w:val="auto"/>
          <w:sz w:val="44"/>
          <w:szCs w:val="44"/>
          <w:lang w:val="zh-CN"/>
        </w:rPr>
      </w:pPr>
    </w:p>
    <w:p>
      <w:pPr>
        <w:spacing w:line="600" w:lineRule="exact"/>
        <w:jc w:val="center"/>
        <w:rPr>
          <w:rFonts w:ascii="宋体" w:hAnsi="宋体" w:cs="宋体"/>
          <w:b/>
          <w:bCs/>
          <w:color w:val="auto"/>
          <w:sz w:val="40"/>
          <w:szCs w:val="40"/>
          <w:lang w:val="zh-CN"/>
        </w:rPr>
      </w:pPr>
      <w:r>
        <w:rPr>
          <w:rFonts w:hint="eastAsia" w:ascii="宋体" w:hAnsi="宋体" w:cs="宋体"/>
          <w:b/>
          <w:bCs/>
          <w:color w:val="auto"/>
          <w:sz w:val="44"/>
          <w:szCs w:val="44"/>
          <w:lang w:val="zh-CN"/>
        </w:rPr>
        <w:t>江西鑫立莱生化有限责任公司</w:t>
      </w:r>
    </w:p>
    <w:p>
      <w:pPr>
        <w:spacing w:line="600" w:lineRule="exact"/>
        <w:jc w:val="center"/>
        <w:rPr>
          <w:rFonts w:ascii="宋体" w:hAnsi="宋体" w:cs="宋体"/>
          <w:b/>
          <w:bCs/>
          <w:color w:val="auto"/>
          <w:sz w:val="44"/>
          <w:szCs w:val="44"/>
        </w:rPr>
      </w:pPr>
      <w:r>
        <w:rPr>
          <w:rFonts w:hint="eastAsia" w:ascii="宋体" w:hAnsi="宋体" w:cs="宋体"/>
          <w:b/>
          <w:bCs/>
          <w:color w:val="auto"/>
          <w:sz w:val="44"/>
          <w:szCs w:val="44"/>
          <w:lang w:val="zh-CN"/>
        </w:rPr>
        <w:t>年产芸苔素内酯原药5千kg、制剂3万吨项目</w:t>
      </w:r>
    </w:p>
    <w:p>
      <w:pPr>
        <w:jc w:val="center"/>
        <w:rPr>
          <w:rFonts w:ascii="黑体" w:hAnsi="黑体" w:eastAsia="黑体" w:cs="黑体"/>
          <w:b/>
          <w:bCs/>
          <w:color w:val="auto"/>
          <w:sz w:val="52"/>
          <w:szCs w:val="52"/>
        </w:rPr>
      </w:pPr>
      <w:r>
        <w:rPr>
          <w:rFonts w:hint="eastAsia" w:ascii="黑体" w:hAnsi="黑体" w:eastAsia="黑体" w:cs="黑体"/>
          <w:b/>
          <w:bCs/>
          <w:color w:val="auto"/>
          <w:sz w:val="52"/>
          <w:szCs w:val="52"/>
        </w:rPr>
        <w:t>安全条件评价报告</w:t>
      </w:r>
    </w:p>
    <w:p>
      <w:pPr>
        <w:jc w:val="center"/>
        <w:rPr>
          <w:rFonts w:ascii="黑体" w:hAnsi="黑体" w:eastAsia="黑体" w:cs="黑体"/>
          <w:b/>
          <w:bCs/>
          <w:color w:val="auto"/>
          <w:sz w:val="44"/>
          <w:szCs w:val="44"/>
        </w:rPr>
      </w:pPr>
      <w:r>
        <w:rPr>
          <w:rFonts w:hint="eastAsia" w:ascii="黑体" w:hAnsi="黑体" w:eastAsia="黑体" w:cs="黑体"/>
          <w:b/>
          <w:bCs/>
          <w:color w:val="auto"/>
          <w:sz w:val="44"/>
          <w:szCs w:val="44"/>
        </w:rPr>
        <w:t>（</w:t>
      </w:r>
      <w:r>
        <w:rPr>
          <w:rFonts w:hint="eastAsia" w:ascii="黑体" w:hAnsi="黑体" w:eastAsia="黑体" w:cs="黑体"/>
          <w:b/>
          <w:bCs/>
          <w:color w:val="auto"/>
          <w:sz w:val="44"/>
          <w:szCs w:val="44"/>
          <w:lang w:val="en-US" w:eastAsia="zh-CN"/>
        </w:rPr>
        <w:t>终</w:t>
      </w:r>
      <w:r>
        <w:rPr>
          <w:rFonts w:hint="eastAsia" w:ascii="黑体" w:hAnsi="黑体" w:eastAsia="黑体" w:cs="黑体"/>
          <w:b/>
          <w:bCs/>
          <w:color w:val="auto"/>
          <w:sz w:val="44"/>
          <w:szCs w:val="44"/>
        </w:rPr>
        <w:t>稿）</w:t>
      </w: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tabs>
          <w:tab w:val="left" w:pos="8129"/>
        </w:tabs>
        <w:spacing w:line="600" w:lineRule="exact"/>
        <w:jc w:val="left"/>
        <w:rPr>
          <w:rFonts w:ascii="黑体" w:hAnsi="黑体" w:eastAsia="黑体" w:cs="黑体"/>
          <w:b/>
          <w:bCs/>
          <w:color w:val="auto"/>
          <w:sz w:val="44"/>
          <w:szCs w:val="44"/>
        </w:rPr>
      </w:pPr>
      <w:r>
        <w:rPr>
          <w:rFonts w:hint="eastAsia" w:ascii="黑体" w:hAnsi="黑体" w:eastAsia="黑体" w:cs="黑体"/>
          <w:b/>
          <w:bCs/>
          <w:color w:val="auto"/>
          <w:sz w:val="44"/>
          <w:szCs w:val="44"/>
        </w:rPr>
        <w:tab/>
      </w: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黑体" w:hAnsi="黑体" w:eastAsia="黑体" w:cs="黑体"/>
          <w:b/>
          <w:bCs/>
          <w:color w:val="auto"/>
          <w:sz w:val="44"/>
          <w:szCs w:val="44"/>
        </w:rPr>
      </w:pPr>
    </w:p>
    <w:p>
      <w:pPr>
        <w:spacing w:line="600" w:lineRule="exact"/>
        <w:jc w:val="center"/>
        <w:rPr>
          <w:rFonts w:ascii="宋体" w:hAnsi="宋体" w:cs="黑体"/>
          <w:b/>
          <w:bCs/>
          <w:color w:val="auto"/>
          <w:sz w:val="44"/>
          <w:szCs w:val="44"/>
        </w:rPr>
      </w:pPr>
      <w:r>
        <w:rPr>
          <w:rFonts w:hint="eastAsia" w:ascii="宋体" w:hAnsi="宋体" w:cs="黑体"/>
          <w:b/>
          <w:bCs/>
          <w:color w:val="auto"/>
          <w:sz w:val="44"/>
          <w:szCs w:val="44"/>
        </w:rPr>
        <w:t>江西赣安安全生产科学技术咨询服务中心</w:t>
      </w:r>
    </w:p>
    <w:p>
      <w:pPr>
        <w:jc w:val="center"/>
        <w:rPr>
          <w:rFonts w:ascii="宋体" w:hAnsi="宋体" w:cs="宋体"/>
          <w:b/>
          <w:bCs/>
          <w:color w:val="auto"/>
          <w:sz w:val="32"/>
          <w:szCs w:val="32"/>
        </w:rPr>
      </w:pPr>
      <w:r>
        <w:rPr>
          <w:rFonts w:hint="eastAsia" w:ascii="宋体" w:hAnsi="宋体" w:cs="宋体"/>
          <w:b/>
          <w:bCs/>
          <w:color w:val="auto"/>
          <w:sz w:val="32"/>
          <w:szCs w:val="32"/>
        </w:rPr>
        <w:t>APJ-（赣）-002</w:t>
      </w:r>
    </w:p>
    <w:p>
      <w:pPr>
        <w:jc w:val="center"/>
        <w:rPr>
          <w:rFonts w:ascii="宋体" w:hAnsi="宋体" w:cs="宋体"/>
          <w:b/>
          <w:bCs/>
          <w:color w:val="auto"/>
          <w:sz w:val="32"/>
          <w:szCs w:val="32"/>
        </w:rPr>
      </w:pPr>
      <w:r>
        <w:rPr>
          <w:rFonts w:hint="eastAsia" w:ascii="宋体" w:hAnsi="宋体" w:cs="宋体"/>
          <w:b/>
          <w:bCs/>
          <w:color w:val="auto"/>
          <w:sz w:val="32"/>
          <w:szCs w:val="32"/>
        </w:rPr>
        <w:t>2023年</w:t>
      </w:r>
      <w:r>
        <w:rPr>
          <w:rFonts w:hint="eastAsia" w:ascii="宋体" w:hAnsi="宋体" w:cs="宋体"/>
          <w:b/>
          <w:bCs/>
          <w:color w:val="auto"/>
          <w:sz w:val="32"/>
          <w:szCs w:val="32"/>
          <w:lang w:val="en-US" w:eastAsia="zh-CN"/>
        </w:rPr>
        <w:t>10</w:t>
      </w:r>
      <w:r>
        <w:rPr>
          <w:rFonts w:hint="eastAsia" w:ascii="宋体" w:hAnsi="宋体" w:cs="宋体"/>
          <w:b/>
          <w:bCs/>
          <w:color w:val="auto"/>
          <w:sz w:val="32"/>
          <w:szCs w:val="32"/>
        </w:rPr>
        <w:t>月</w:t>
      </w:r>
      <w:r>
        <w:rPr>
          <w:rFonts w:hint="eastAsia" w:ascii="宋体" w:hAnsi="宋体" w:cs="宋体"/>
          <w:b/>
          <w:bCs/>
          <w:color w:val="auto"/>
          <w:sz w:val="32"/>
          <w:szCs w:val="32"/>
          <w:lang w:val="en-US" w:eastAsia="zh-CN"/>
        </w:rPr>
        <w:t>30</w:t>
      </w:r>
      <w:r>
        <w:rPr>
          <w:rFonts w:hint="eastAsia" w:ascii="宋体" w:hAnsi="宋体" w:cs="宋体"/>
          <w:b/>
          <w:bCs/>
          <w:color w:val="auto"/>
          <w:sz w:val="32"/>
          <w:szCs w:val="32"/>
        </w:rPr>
        <w:t>日</w:t>
      </w:r>
    </w:p>
    <w:p>
      <w:pPr>
        <w:rPr>
          <w:rFonts w:ascii="黑体" w:hAnsi="黑体" w:eastAsia="黑体" w:cs="黑体"/>
          <w:b/>
          <w:bCs/>
          <w:color w:val="auto"/>
          <w:sz w:val="32"/>
          <w:szCs w:val="32"/>
        </w:rPr>
      </w:pPr>
      <w:r>
        <w:rPr>
          <w:rFonts w:hint="eastAsia" w:ascii="黑体" w:hAnsi="黑体" w:eastAsia="黑体" w:cs="黑体"/>
          <w:b/>
          <w:bCs/>
          <w:color w:val="auto"/>
          <w:sz w:val="32"/>
          <w:szCs w:val="32"/>
        </w:rPr>
        <w:br w:type="page"/>
      </w:r>
    </w:p>
    <w:p>
      <w:pPr>
        <w:jc w:val="center"/>
        <w:rPr>
          <w:rFonts w:ascii="宋体" w:hAnsi="宋体" w:cs="宋体"/>
          <w:b/>
          <w:bCs/>
          <w:color w:val="auto"/>
          <w:sz w:val="32"/>
          <w:szCs w:val="32"/>
          <w:lang w:val="zh-CN"/>
        </w:rPr>
      </w:pPr>
    </w:p>
    <w:p>
      <w:pPr>
        <w:pStyle w:val="49"/>
        <w:jc w:val="center"/>
        <w:rPr>
          <w:rFonts w:hAnsi="宋体"/>
          <w:color w:val="auto"/>
          <w:sz w:val="32"/>
          <w:szCs w:val="32"/>
          <w:lang w:val="zh-CN"/>
        </w:rPr>
      </w:pPr>
    </w:p>
    <w:p>
      <w:pPr>
        <w:jc w:val="center"/>
        <w:rPr>
          <w:rFonts w:ascii="宋体" w:hAnsi="宋体" w:cs="黑体"/>
          <w:b/>
          <w:bCs/>
          <w:color w:val="auto"/>
          <w:sz w:val="32"/>
          <w:szCs w:val="32"/>
          <w:lang w:val="zh-CN"/>
        </w:rPr>
      </w:pPr>
      <w:r>
        <w:rPr>
          <w:rFonts w:hint="eastAsia" w:ascii="宋体" w:hAnsi="宋体" w:cs="黑体"/>
          <w:b/>
          <w:bCs/>
          <w:color w:val="auto"/>
          <w:sz w:val="32"/>
          <w:szCs w:val="32"/>
          <w:lang w:val="zh-CN"/>
        </w:rPr>
        <w:t>江西鑫立莱生化有限责任公司</w:t>
      </w:r>
    </w:p>
    <w:p>
      <w:pPr>
        <w:jc w:val="center"/>
        <w:rPr>
          <w:rFonts w:ascii="宋体" w:hAnsi="宋体" w:cs="黑体"/>
          <w:b/>
          <w:bCs/>
          <w:color w:val="auto"/>
          <w:sz w:val="32"/>
          <w:szCs w:val="32"/>
          <w:lang w:val="zh-CN"/>
        </w:rPr>
      </w:pPr>
      <w:r>
        <w:rPr>
          <w:rFonts w:hint="eastAsia" w:ascii="宋体" w:hAnsi="宋体" w:cs="黑体"/>
          <w:b/>
          <w:bCs/>
          <w:color w:val="auto"/>
          <w:sz w:val="32"/>
          <w:szCs w:val="32"/>
          <w:lang w:val="zh-CN"/>
        </w:rPr>
        <w:t>年产芸苔素内酯原药5千kg、制剂3万吨项目</w:t>
      </w:r>
    </w:p>
    <w:p>
      <w:pPr>
        <w:jc w:val="center"/>
        <w:rPr>
          <w:rFonts w:ascii="宋体" w:hAnsi="宋体" w:cs="黑体"/>
          <w:b/>
          <w:bCs/>
          <w:color w:val="auto"/>
          <w:sz w:val="44"/>
          <w:szCs w:val="44"/>
        </w:rPr>
      </w:pPr>
      <w:r>
        <w:rPr>
          <w:rFonts w:hint="eastAsia" w:ascii="宋体" w:hAnsi="宋体" w:cs="黑体"/>
          <w:b/>
          <w:bCs/>
          <w:color w:val="auto"/>
          <w:sz w:val="44"/>
          <w:szCs w:val="44"/>
        </w:rPr>
        <w:t>安全条件评价报告</w:t>
      </w:r>
    </w:p>
    <w:p>
      <w:pPr>
        <w:jc w:val="center"/>
        <w:rPr>
          <w:rFonts w:ascii="黑体" w:hAnsi="黑体" w:eastAsia="黑体" w:cs="黑体"/>
          <w:b/>
          <w:bCs/>
          <w:color w:val="auto"/>
          <w:sz w:val="36"/>
          <w:szCs w:val="36"/>
        </w:rPr>
      </w:pPr>
      <w:r>
        <w:rPr>
          <w:rFonts w:hint="eastAsia" w:ascii="黑体" w:hAnsi="黑体" w:eastAsia="黑体" w:cs="黑体"/>
          <w:b/>
          <w:bCs/>
          <w:color w:val="auto"/>
          <w:sz w:val="36"/>
          <w:szCs w:val="36"/>
        </w:rPr>
        <w:t>（</w:t>
      </w:r>
      <w:r>
        <w:rPr>
          <w:rFonts w:hint="eastAsia" w:ascii="黑体" w:hAnsi="黑体" w:eastAsia="黑体" w:cs="黑体"/>
          <w:b/>
          <w:bCs/>
          <w:color w:val="auto"/>
          <w:sz w:val="36"/>
          <w:szCs w:val="36"/>
          <w:lang w:val="en-US" w:eastAsia="zh-CN"/>
        </w:rPr>
        <w:t>终</w:t>
      </w:r>
      <w:r>
        <w:rPr>
          <w:rFonts w:hint="eastAsia" w:ascii="黑体" w:hAnsi="黑体" w:eastAsia="黑体" w:cs="黑体"/>
          <w:b/>
          <w:bCs/>
          <w:color w:val="auto"/>
          <w:sz w:val="36"/>
          <w:szCs w:val="36"/>
        </w:rPr>
        <w:t>稿）</w:t>
      </w:r>
    </w:p>
    <w:p>
      <w:pPr>
        <w:pStyle w:val="49"/>
        <w:rPr>
          <w:color w:val="auto"/>
        </w:rPr>
      </w:pPr>
    </w:p>
    <w:p>
      <w:pPr>
        <w:pStyle w:val="49"/>
        <w:rPr>
          <w:color w:val="auto"/>
        </w:rPr>
      </w:pPr>
    </w:p>
    <w:p>
      <w:pPr>
        <w:pStyle w:val="49"/>
        <w:rPr>
          <w:color w:val="auto"/>
        </w:rPr>
      </w:pPr>
    </w:p>
    <w:p>
      <w:pPr>
        <w:pStyle w:val="49"/>
        <w:rPr>
          <w:color w:val="auto"/>
        </w:rPr>
      </w:pPr>
    </w:p>
    <w:p>
      <w:pPr>
        <w:pStyle w:val="49"/>
        <w:rPr>
          <w:color w:val="auto"/>
        </w:rPr>
      </w:pPr>
    </w:p>
    <w:p>
      <w:pPr>
        <w:pStyle w:val="49"/>
        <w:rPr>
          <w:color w:val="auto"/>
        </w:rPr>
      </w:pPr>
    </w:p>
    <w:p>
      <w:pPr>
        <w:pStyle w:val="49"/>
        <w:rPr>
          <w:color w:val="auto"/>
        </w:rPr>
      </w:pPr>
    </w:p>
    <w:p>
      <w:pPr>
        <w:pStyle w:val="49"/>
        <w:rPr>
          <w:color w:val="auto"/>
        </w:rPr>
      </w:pPr>
    </w:p>
    <w:p>
      <w:pPr>
        <w:pStyle w:val="49"/>
        <w:spacing w:line="360" w:lineRule="auto"/>
        <w:ind w:firstLine="1024" w:firstLineChars="320"/>
        <w:rPr>
          <w:rFonts w:hAnsi="宋体"/>
          <w:color w:val="auto"/>
          <w:sz w:val="32"/>
          <w:szCs w:val="32"/>
        </w:rPr>
      </w:pPr>
      <w:r>
        <w:rPr>
          <w:rFonts w:hint="eastAsia" w:hAnsi="宋体"/>
          <w:color w:val="auto"/>
          <w:sz w:val="32"/>
          <w:szCs w:val="32"/>
        </w:rPr>
        <w:t>评价机构名称：江西赣安安全生产科学技术咨询服务中心</w:t>
      </w:r>
    </w:p>
    <w:p>
      <w:pPr>
        <w:pStyle w:val="49"/>
        <w:spacing w:line="360" w:lineRule="auto"/>
        <w:ind w:firstLine="1024" w:firstLineChars="320"/>
        <w:rPr>
          <w:rFonts w:hAnsi="宋体"/>
          <w:color w:val="auto"/>
          <w:sz w:val="32"/>
          <w:szCs w:val="32"/>
        </w:rPr>
      </w:pPr>
      <w:r>
        <w:rPr>
          <w:rFonts w:hint="eastAsia" w:hAnsi="宋体"/>
          <w:color w:val="auto"/>
          <w:sz w:val="32"/>
          <w:szCs w:val="32"/>
        </w:rPr>
        <w:t>资质证书编号：APJ-（赣）-002</w:t>
      </w:r>
    </w:p>
    <w:p>
      <w:pPr>
        <w:pStyle w:val="49"/>
        <w:spacing w:line="360" w:lineRule="auto"/>
        <w:ind w:firstLine="1024" w:firstLineChars="320"/>
        <w:rPr>
          <w:rFonts w:hAnsi="宋体"/>
          <w:color w:val="auto"/>
          <w:sz w:val="32"/>
          <w:szCs w:val="32"/>
        </w:rPr>
      </w:pPr>
      <w:r>
        <w:rPr>
          <w:rFonts w:hint="eastAsia" w:hAnsi="宋体"/>
          <w:color w:val="auto"/>
          <w:sz w:val="32"/>
          <w:szCs w:val="32"/>
        </w:rPr>
        <w:t xml:space="preserve">法定代表人：应 </w:t>
      </w:r>
      <w:r>
        <w:rPr>
          <w:rFonts w:hAnsi="宋体"/>
          <w:color w:val="auto"/>
          <w:sz w:val="32"/>
          <w:szCs w:val="32"/>
        </w:rPr>
        <w:t xml:space="preserve"> </w:t>
      </w:r>
      <w:r>
        <w:rPr>
          <w:rFonts w:hint="eastAsia" w:hAnsi="宋体"/>
          <w:color w:val="auto"/>
          <w:sz w:val="32"/>
          <w:szCs w:val="32"/>
        </w:rPr>
        <w:t>宏</w:t>
      </w:r>
    </w:p>
    <w:p>
      <w:pPr>
        <w:pStyle w:val="49"/>
        <w:spacing w:line="360" w:lineRule="auto"/>
        <w:ind w:firstLine="1024" w:firstLineChars="320"/>
        <w:rPr>
          <w:rFonts w:hAnsi="宋体"/>
          <w:color w:val="auto"/>
          <w:sz w:val="32"/>
          <w:szCs w:val="32"/>
        </w:rPr>
      </w:pPr>
      <w:r>
        <w:rPr>
          <w:rFonts w:hint="eastAsia" w:hAnsi="宋体"/>
          <w:color w:val="auto"/>
          <w:sz w:val="32"/>
          <w:szCs w:val="32"/>
        </w:rPr>
        <w:t>技术负责人：周红波</w:t>
      </w:r>
    </w:p>
    <w:p>
      <w:pPr>
        <w:pStyle w:val="49"/>
        <w:spacing w:line="360" w:lineRule="auto"/>
        <w:ind w:firstLine="1024" w:firstLineChars="320"/>
        <w:rPr>
          <w:rFonts w:hAnsi="宋体"/>
          <w:color w:val="auto"/>
          <w:sz w:val="32"/>
          <w:szCs w:val="32"/>
        </w:rPr>
      </w:pPr>
      <w:r>
        <w:rPr>
          <w:rFonts w:hint="eastAsia" w:hAnsi="宋体"/>
          <w:color w:val="auto"/>
          <w:sz w:val="32"/>
          <w:szCs w:val="32"/>
        </w:rPr>
        <w:t>评价负责人：周红波</w:t>
      </w:r>
    </w:p>
    <w:p>
      <w:pPr>
        <w:pStyle w:val="49"/>
        <w:spacing w:line="360" w:lineRule="auto"/>
        <w:ind w:firstLine="1024" w:firstLineChars="320"/>
        <w:rPr>
          <w:rFonts w:hAnsi="宋体"/>
          <w:color w:val="auto"/>
          <w:sz w:val="32"/>
          <w:szCs w:val="32"/>
        </w:rPr>
      </w:pPr>
      <w:r>
        <w:rPr>
          <w:rFonts w:hint="eastAsia" w:hAnsi="宋体"/>
          <w:color w:val="auto"/>
          <w:sz w:val="32"/>
          <w:szCs w:val="32"/>
        </w:rPr>
        <w:t>评价机构联系电话：0791-87379372</w:t>
      </w:r>
    </w:p>
    <w:p>
      <w:pPr>
        <w:pStyle w:val="49"/>
        <w:rPr>
          <w:color w:val="auto"/>
        </w:rPr>
      </w:pPr>
    </w:p>
    <w:p>
      <w:pPr>
        <w:pStyle w:val="49"/>
        <w:jc w:val="center"/>
        <w:rPr>
          <w:rFonts w:hAnsi="宋体"/>
          <w:b/>
          <w:color w:val="auto"/>
        </w:rPr>
      </w:pPr>
      <w:r>
        <w:rPr>
          <w:rFonts w:hint="eastAsia" w:hAnsi="宋体"/>
          <w:b/>
          <w:color w:val="auto"/>
        </w:rPr>
        <w:t>2023年</w:t>
      </w:r>
      <w:r>
        <w:rPr>
          <w:rFonts w:hint="eastAsia" w:hAnsi="宋体"/>
          <w:b/>
          <w:color w:val="auto"/>
          <w:lang w:val="en-US" w:eastAsia="zh-CN"/>
        </w:rPr>
        <w:t>10</w:t>
      </w:r>
      <w:r>
        <w:rPr>
          <w:rFonts w:hint="eastAsia" w:hAnsi="宋体"/>
          <w:b/>
          <w:color w:val="auto"/>
        </w:rPr>
        <w:t>月</w:t>
      </w:r>
      <w:r>
        <w:rPr>
          <w:rFonts w:hint="eastAsia" w:hAnsi="宋体"/>
          <w:b/>
          <w:color w:val="auto"/>
          <w:lang w:val="en-US" w:eastAsia="zh-CN"/>
        </w:rPr>
        <w:t>30</w:t>
      </w:r>
      <w:r>
        <w:rPr>
          <w:rFonts w:hint="eastAsia" w:hAnsi="宋体"/>
          <w:b/>
          <w:color w:val="auto"/>
        </w:rPr>
        <w:t>日</w:t>
      </w:r>
    </w:p>
    <w:p>
      <w:pPr>
        <w:spacing w:line="600" w:lineRule="exact"/>
        <w:rPr>
          <w:color w:val="auto"/>
          <w:kern w:val="0"/>
          <w:sz w:val="24"/>
        </w:rPr>
      </w:pPr>
      <w:r>
        <w:rPr>
          <w:color w:val="auto"/>
          <w:kern w:val="0"/>
          <w:sz w:val="24"/>
        </w:rPr>
        <w:br w:type="page"/>
      </w:r>
    </w:p>
    <w:p>
      <w:pPr>
        <w:spacing w:before="2328" w:beforeLines="600" w:line="360" w:lineRule="auto"/>
        <w:jc w:val="center"/>
        <w:rPr>
          <w:rFonts w:ascii="宋体" w:hAnsi="宋体" w:cs="宋体"/>
          <w:b/>
          <w:bCs/>
          <w:color w:val="auto"/>
          <w:sz w:val="32"/>
          <w:szCs w:val="32"/>
          <w:lang w:val="zh-CN"/>
        </w:rPr>
      </w:pPr>
      <w:r>
        <w:rPr>
          <w:rFonts w:hint="eastAsia" w:ascii="宋体" w:hAnsi="宋体" w:cs="宋体"/>
          <w:b/>
          <w:bCs/>
          <w:color w:val="auto"/>
          <w:sz w:val="32"/>
          <w:szCs w:val="32"/>
          <w:lang w:val="zh-CN"/>
        </w:rPr>
        <w:t>江西鑫立莱生化有限责任公司</w:t>
      </w:r>
    </w:p>
    <w:p>
      <w:pPr>
        <w:spacing w:line="360" w:lineRule="auto"/>
        <w:jc w:val="center"/>
        <w:rPr>
          <w:rFonts w:ascii="宋体" w:hAnsi="宋体" w:cs="宋体"/>
          <w:b/>
          <w:bCs/>
          <w:color w:val="auto"/>
          <w:sz w:val="32"/>
          <w:szCs w:val="32"/>
          <w:lang w:val="zh-CN"/>
        </w:rPr>
      </w:pPr>
      <w:r>
        <w:rPr>
          <w:rFonts w:hint="eastAsia" w:ascii="宋体" w:hAnsi="宋体" w:cs="宋体"/>
          <w:b/>
          <w:bCs/>
          <w:color w:val="auto"/>
          <w:sz w:val="32"/>
          <w:szCs w:val="32"/>
          <w:lang w:val="zh-CN"/>
        </w:rPr>
        <w:t>年产芸苔素内酯原药5千kg、制剂3万吨项目</w:t>
      </w:r>
    </w:p>
    <w:p>
      <w:pPr>
        <w:widowControl/>
        <w:spacing w:after="776" w:afterLines="200" w:line="600" w:lineRule="exact"/>
        <w:jc w:val="center"/>
        <w:rPr>
          <w:color w:val="auto"/>
          <w:kern w:val="0"/>
          <w:sz w:val="36"/>
          <w:szCs w:val="36"/>
        </w:rPr>
      </w:pPr>
      <w:r>
        <w:rPr>
          <w:color w:val="auto"/>
          <w:kern w:val="0"/>
          <w:sz w:val="36"/>
          <w:szCs w:val="36"/>
        </w:rPr>
        <w:t>安全评价技术服务承诺书</w:t>
      </w:r>
    </w:p>
    <w:p>
      <w:pPr>
        <w:widowControl/>
        <w:wordWrap w:val="0"/>
        <w:spacing w:line="425" w:lineRule="auto"/>
        <w:ind w:firstLine="640" w:firstLineChars="200"/>
        <w:jc w:val="left"/>
        <w:rPr>
          <w:rFonts w:eastAsia="仿宋"/>
          <w:color w:val="auto"/>
          <w:kern w:val="0"/>
          <w:sz w:val="32"/>
          <w:szCs w:val="32"/>
        </w:rPr>
      </w:pPr>
      <w:r>
        <w:rPr>
          <w:rFonts w:eastAsia="仿宋"/>
          <w:color w:val="auto"/>
          <w:kern w:val="0"/>
          <w:sz w:val="32"/>
          <w:szCs w:val="32"/>
        </w:rPr>
        <w:t xml:space="preserve">一、在本项目安全评价活动过程中，我单位严格遵守《安全生产法》及相关法律、法规和标准的要求。   </w:t>
      </w:r>
    </w:p>
    <w:p>
      <w:pPr>
        <w:widowControl/>
        <w:wordWrap w:val="0"/>
        <w:spacing w:line="425" w:lineRule="auto"/>
        <w:ind w:firstLine="640" w:firstLineChars="200"/>
        <w:jc w:val="left"/>
        <w:rPr>
          <w:rFonts w:eastAsia="仿宋"/>
          <w:color w:val="auto"/>
          <w:kern w:val="0"/>
          <w:sz w:val="32"/>
          <w:szCs w:val="32"/>
        </w:rPr>
      </w:pPr>
      <w:r>
        <w:rPr>
          <w:rFonts w:eastAsia="仿宋"/>
          <w:color w:val="auto"/>
          <w:kern w:val="0"/>
          <w:sz w:val="32"/>
          <w:szCs w:val="32"/>
        </w:rPr>
        <w:t>二、在本项目安全评价活动过程中，我单位作为第三方，未受到任何组织和个人的干预和影响，依法独立开展工作，保证了技术服务活动的客观公正性。</w:t>
      </w:r>
    </w:p>
    <w:p>
      <w:pPr>
        <w:widowControl/>
        <w:wordWrap w:val="0"/>
        <w:spacing w:line="425" w:lineRule="auto"/>
        <w:ind w:firstLine="640" w:firstLineChars="200"/>
        <w:jc w:val="left"/>
        <w:rPr>
          <w:rFonts w:eastAsia="仿宋"/>
          <w:color w:val="auto"/>
          <w:kern w:val="0"/>
          <w:sz w:val="32"/>
          <w:szCs w:val="32"/>
        </w:rPr>
      </w:pPr>
      <w:r>
        <w:rPr>
          <w:rFonts w:eastAsia="仿宋"/>
          <w:color w:val="auto"/>
          <w:kern w:val="0"/>
          <w:sz w:val="32"/>
          <w:szCs w:val="32"/>
        </w:rPr>
        <w:t>三、我单位按照实事求是的原则，对本项目进行安全评价，确保出具的报告均真实有效，报告所提出的措施具有针对性、有效性和可行性。</w:t>
      </w:r>
    </w:p>
    <w:p>
      <w:pPr>
        <w:widowControl/>
        <w:wordWrap w:val="0"/>
        <w:spacing w:line="425" w:lineRule="auto"/>
        <w:ind w:firstLine="640" w:firstLineChars="200"/>
        <w:jc w:val="left"/>
        <w:rPr>
          <w:rFonts w:eastAsia="仿宋"/>
          <w:color w:val="auto"/>
          <w:kern w:val="0"/>
          <w:sz w:val="32"/>
          <w:szCs w:val="32"/>
        </w:rPr>
      </w:pPr>
      <w:r>
        <w:rPr>
          <w:rFonts w:eastAsia="仿宋"/>
          <w:color w:val="auto"/>
          <w:kern w:val="0"/>
          <w:sz w:val="32"/>
          <w:szCs w:val="32"/>
        </w:rPr>
        <w:t>四、我单位对本项目安全评价报告中结论性内容承担法律责任。</w:t>
      </w:r>
    </w:p>
    <w:p>
      <w:pPr>
        <w:widowControl/>
        <w:wordWrap w:val="0"/>
        <w:spacing w:before="100" w:beforeAutospacing="1" w:after="100" w:afterAutospacing="1" w:line="425" w:lineRule="auto"/>
        <w:ind w:firstLine="560" w:firstLineChars="200"/>
        <w:jc w:val="left"/>
        <w:rPr>
          <w:color w:val="auto"/>
          <w:kern w:val="0"/>
          <w:sz w:val="28"/>
          <w:szCs w:val="28"/>
        </w:rPr>
      </w:pPr>
      <w:r>
        <w:rPr>
          <w:color w:val="auto"/>
          <w:kern w:val="0"/>
          <w:sz w:val="28"/>
          <w:szCs w:val="28"/>
        </w:rPr>
        <w:t xml:space="preserve">     </w:t>
      </w:r>
      <w:r>
        <w:rPr>
          <w:rFonts w:hint="eastAsia"/>
          <w:color w:val="auto"/>
          <w:kern w:val="0"/>
          <w:sz w:val="28"/>
          <w:szCs w:val="28"/>
        </w:rPr>
        <w:t xml:space="preserve">            </w:t>
      </w:r>
      <w:r>
        <w:rPr>
          <w:color w:val="auto"/>
          <w:kern w:val="0"/>
          <w:sz w:val="28"/>
          <w:szCs w:val="28"/>
        </w:rPr>
        <w:t>江西赣安安全生产科学技术咨询服务中心</w:t>
      </w:r>
    </w:p>
    <w:p>
      <w:pPr>
        <w:widowControl/>
        <w:wordWrap w:val="0"/>
        <w:spacing w:before="100" w:beforeAutospacing="1" w:after="100" w:afterAutospacing="1" w:line="425" w:lineRule="auto"/>
        <w:ind w:firstLine="640" w:firstLineChars="200"/>
        <w:jc w:val="center"/>
        <w:rPr>
          <w:color w:val="auto"/>
          <w:kern w:val="0"/>
          <w:sz w:val="32"/>
          <w:szCs w:val="32"/>
        </w:rPr>
      </w:pPr>
      <w:r>
        <w:rPr>
          <w:rFonts w:hint="eastAsia"/>
          <w:color w:val="auto"/>
          <w:kern w:val="0"/>
          <w:sz w:val="32"/>
          <w:szCs w:val="32"/>
        </w:rPr>
        <w:t xml:space="preserve">                  </w:t>
      </w:r>
      <w:r>
        <w:rPr>
          <w:color w:val="auto"/>
          <w:kern w:val="0"/>
          <w:sz w:val="32"/>
          <w:szCs w:val="32"/>
        </w:rPr>
        <w:t xml:space="preserve">    2023年</w:t>
      </w:r>
      <w:r>
        <w:rPr>
          <w:rFonts w:hint="eastAsia"/>
          <w:color w:val="auto"/>
          <w:kern w:val="0"/>
          <w:sz w:val="32"/>
          <w:szCs w:val="32"/>
          <w:lang w:val="en-US" w:eastAsia="zh-CN"/>
        </w:rPr>
        <w:t>10</w:t>
      </w:r>
      <w:r>
        <w:rPr>
          <w:color w:val="auto"/>
          <w:kern w:val="0"/>
          <w:sz w:val="32"/>
          <w:szCs w:val="32"/>
        </w:rPr>
        <w:t>月</w:t>
      </w:r>
      <w:r>
        <w:rPr>
          <w:rFonts w:hint="eastAsia"/>
          <w:color w:val="auto"/>
          <w:kern w:val="0"/>
          <w:sz w:val="32"/>
          <w:szCs w:val="32"/>
          <w:lang w:val="en-US" w:eastAsia="zh-CN"/>
        </w:rPr>
        <w:t>30</w:t>
      </w:r>
      <w:r>
        <w:rPr>
          <w:color w:val="auto"/>
          <w:kern w:val="0"/>
          <w:sz w:val="32"/>
          <w:szCs w:val="32"/>
        </w:rPr>
        <w:t xml:space="preserve">日 </w:t>
      </w:r>
    </w:p>
    <w:p>
      <w:pPr>
        <w:widowControl/>
        <w:wordWrap w:val="0"/>
        <w:spacing w:before="100" w:beforeAutospacing="1" w:after="100" w:afterAutospacing="1" w:line="425" w:lineRule="auto"/>
        <w:ind w:firstLine="640" w:firstLineChars="200"/>
        <w:jc w:val="center"/>
        <w:rPr>
          <w:color w:val="auto"/>
          <w:sz w:val="32"/>
          <w:szCs w:val="32"/>
        </w:rPr>
      </w:pPr>
      <w:r>
        <w:rPr>
          <w:color w:val="auto"/>
          <w:sz w:val="32"/>
          <w:szCs w:val="32"/>
        </w:rPr>
        <w:tab/>
      </w:r>
    </w:p>
    <w:p>
      <w:pPr>
        <w:widowControl/>
        <w:spacing w:before="100" w:beforeAutospacing="1" w:after="100" w:afterAutospacing="1" w:line="425" w:lineRule="auto"/>
        <w:jc w:val="center"/>
        <w:rPr>
          <w:color w:val="auto"/>
          <w:sz w:val="18"/>
          <w:szCs w:val="18"/>
        </w:rPr>
      </w:pPr>
      <w:r>
        <w:rPr>
          <w:rFonts w:hint="eastAsia"/>
          <w:color w:val="auto"/>
          <w:sz w:val="44"/>
          <w:szCs w:val="44"/>
        </w:rPr>
        <w:t>规范安全生产中介行为的九条禁令</w:t>
      </w:r>
    </w:p>
    <w:p>
      <w:pPr>
        <w:widowControl/>
        <w:spacing w:line="600" w:lineRule="exact"/>
        <w:ind w:firstLine="560" w:firstLineChars="200"/>
        <w:jc w:val="center"/>
        <w:rPr>
          <w:color w:val="auto"/>
          <w:kern w:val="0"/>
          <w:sz w:val="28"/>
          <w:szCs w:val="28"/>
        </w:rPr>
      </w:pPr>
      <w:r>
        <w:rPr>
          <w:color w:val="auto"/>
          <w:kern w:val="0"/>
          <w:sz w:val="28"/>
          <w:szCs w:val="28"/>
        </w:rPr>
        <w:t xml:space="preserve">  </w:t>
      </w:r>
    </w:p>
    <w:p>
      <w:pPr>
        <w:widowControl/>
        <w:spacing w:line="600" w:lineRule="exact"/>
        <w:ind w:firstLine="560" w:firstLineChars="200"/>
        <w:jc w:val="left"/>
        <w:rPr>
          <w:color w:val="auto"/>
          <w:kern w:val="0"/>
          <w:sz w:val="28"/>
          <w:szCs w:val="28"/>
        </w:rPr>
      </w:pPr>
      <w:r>
        <w:rPr>
          <w:color w:val="auto"/>
          <w:kern w:val="0"/>
          <w:sz w:val="28"/>
          <w:szCs w:val="28"/>
        </w:rPr>
        <w:t xml:space="preserve"> </w:t>
      </w:r>
      <w:r>
        <w:rPr>
          <w:rFonts w:hint="eastAsia" w:ascii="宋体" w:hAnsi="宋体"/>
          <w:color w:val="auto"/>
          <w:kern w:val="0"/>
          <w:sz w:val="28"/>
          <w:szCs w:val="28"/>
        </w:rPr>
        <w:t>一、禁止从事安全生产和职业卫生服务的中介服务机构（以下统称中介机构）租借资质证书、非法挂靠、转包服务项目的行为；</w:t>
      </w:r>
      <w:r>
        <w:rPr>
          <w:rFonts w:ascii="宋体" w:hAnsi="宋体"/>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二、禁止中介机构假借、冒用他人名义要求服务对象接受有偿服务，或者恶意低价竞争以及采取串标、围标等不正当竞争手段，扰乱技术服务市场秩序的行为；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三、禁止中介机构出具虚假或漏项、缺项技术报告的行为；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四、禁止中介机构出租、出借资格证书、在报告上冒用他人签名的行为；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五、禁止中介机构有应到而不到现场开展技术服务的行为；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六、禁止安全生产监管部门及其工作人员要求生产经营单位接受指定的中介机构开展技术服务的行为；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七、禁止安全生产监管部门及其工作人员没有法律依据组织由生产经营单位或机构支付费用的行政性评审的行为；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八、禁止安全生产监管部门及其工作人员干预市场定价，违规擅自出台技术服务收费标准的行为；</w:t>
      </w:r>
      <w:r>
        <w:rPr>
          <w:color w:val="auto"/>
          <w:kern w:val="0"/>
          <w:sz w:val="28"/>
          <w:szCs w:val="28"/>
        </w:rPr>
        <w:t xml:space="preserve"> </w:t>
      </w:r>
    </w:p>
    <w:p>
      <w:pPr>
        <w:widowControl/>
        <w:spacing w:line="600" w:lineRule="exact"/>
        <w:ind w:firstLine="560" w:firstLineChars="200"/>
        <w:jc w:val="left"/>
        <w:rPr>
          <w:color w:val="auto"/>
          <w:kern w:val="0"/>
          <w:sz w:val="28"/>
          <w:szCs w:val="28"/>
        </w:rPr>
      </w:pPr>
      <w:r>
        <w:rPr>
          <w:rFonts w:hint="eastAsia" w:ascii="宋体" w:hAnsi="宋体"/>
          <w:color w:val="auto"/>
          <w:kern w:val="0"/>
          <w:sz w:val="28"/>
          <w:szCs w:val="28"/>
        </w:rPr>
        <w:t>九、禁止安全生产监管部门及其工作人员参与、擅自干预中介机构从业活动，或者有获取不正当利益的行为。</w:t>
      </w:r>
    </w:p>
    <w:p>
      <w:pPr>
        <w:spacing w:before="388" w:beforeLines="100" w:after="388" w:afterLines="100"/>
        <w:jc w:val="center"/>
        <w:rPr>
          <w:color w:val="auto"/>
          <w:sz w:val="32"/>
        </w:rPr>
      </w:pPr>
      <w:r>
        <w:rPr>
          <w:color w:val="auto"/>
          <w:sz w:val="28"/>
          <w:szCs w:val="28"/>
        </w:rPr>
        <w:t xml:space="preserve"> </w:t>
      </w:r>
      <w:r>
        <w:rPr>
          <w:color w:val="auto"/>
          <w:sz w:val="32"/>
        </w:rPr>
        <w:br w:type="page"/>
      </w:r>
    </w:p>
    <w:p>
      <w:pPr>
        <w:spacing w:before="388" w:beforeLines="100" w:after="388" w:afterLines="100"/>
        <w:jc w:val="center"/>
        <w:rPr>
          <w:color w:val="auto"/>
          <w:sz w:val="32"/>
        </w:rPr>
      </w:pPr>
      <w:r>
        <w:rPr>
          <w:color w:val="auto"/>
          <w:sz w:val="32"/>
        </w:rPr>
        <w:t>评 价 人 员</w:t>
      </w:r>
    </w:p>
    <w:tbl>
      <w:tblPr>
        <w:tblStyle w:val="31"/>
        <w:tblW w:w="851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22"/>
        <w:gridCol w:w="1115"/>
        <w:gridCol w:w="2968"/>
        <w:gridCol w:w="1461"/>
        <w:gridCol w:w="13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1" w:hRule="atLeast"/>
          <w:jc w:val="center"/>
        </w:trPr>
        <w:tc>
          <w:tcPr>
            <w:tcW w:w="1622" w:type="dxa"/>
            <w:tcBorders>
              <w:top w:val="single" w:color="auto" w:sz="4" w:space="0"/>
              <w:left w:val="single" w:color="auto" w:sz="4" w:space="0"/>
            </w:tcBorders>
            <w:vAlign w:val="center"/>
          </w:tcPr>
          <w:p>
            <w:pPr>
              <w:spacing w:line="320" w:lineRule="exact"/>
              <w:jc w:val="center"/>
              <w:rPr>
                <w:color w:val="auto"/>
                <w:sz w:val="24"/>
              </w:rPr>
            </w:pPr>
          </w:p>
        </w:tc>
        <w:tc>
          <w:tcPr>
            <w:tcW w:w="1115" w:type="dxa"/>
            <w:tcBorders>
              <w:top w:val="single" w:color="auto" w:sz="4" w:space="0"/>
            </w:tcBorders>
            <w:vAlign w:val="center"/>
          </w:tcPr>
          <w:p>
            <w:pPr>
              <w:spacing w:line="320" w:lineRule="exact"/>
              <w:jc w:val="center"/>
              <w:rPr>
                <w:color w:val="auto"/>
                <w:sz w:val="24"/>
              </w:rPr>
            </w:pPr>
            <w:r>
              <w:rPr>
                <w:color w:val="auto"/>
                <w:sz w:val="24"/>
              </w:rPr>
              <w:t>姓  名</w:t>
            </w:r>
          </w:p>
        </w:tc>
        <w:tc>
          <w:tcPr>
            <w:tcW w:w="2968" w:type="dxa"/>
            <w:tcBorders>
              <w:top w:val="single" w:color="auto" w:sz="4" w:space="0"/>
            </w:tcBorders>
            <w:vAlign w:val="center"/>
          </w:tcPr>
          <w:p>
            <w:pPr>
              <w:spacing w:line="320" w:lineRule="exact"/>
              <w:jc w:val="center"/>
              <w:rPr>
                <w:color w:val="auto"/>
                <w:sz w:val="24"/>
              </w:rPr>
            </w:pPr>
            <w:r>
              <w:rPr>
                <w:color w:val="auto"/>
                <w:sz w:val="24"/>
              </w:rPr>
              <w:t>职业资格证书编号</w:t>
            </w:r>
          </w:p>
        </w:tc>
        <w:tc>
          <w:tcPr>
            <w:tcW w:w="1461" w:type="dxa"/>
            <w:tcBorders>
              <w:top w:val="single" w:color="auto" w:sz="4" w:space="0"/>
            </w:tcBorders>
            <w:vAlign w:val="center"/>
          </w:tcPr>
          <w:p>
            <w:pPr>
              <w:spacing w:line="320" w:lineRule="exact"/>
              <w:jc w:val="center"/>
              <w:rPr>
                <w:color w:val="auto"/>
                <w:sz w:val="24"/>
              </w:rPr>
            </w:pPr>
            <w:r>
              <w:rPr>
                <w:color w:val="auto"/>
                <w:sz w:val="24"/>
              </w:rPr>
              <w:t>从业信息</w:t>
            </w:r>
          </w:p>
          <w:p>
            <w:pPr>
              <w:spacing w:line="320" w:lineRule="exact"/>
              <w:jc w:val="center"/>
              <w:rPr>
                <w:color w:val="auto"/>
                <w:sz w:val="24"/>
              </w:rPr>
            </w:pPr>
            <w:r>
              <w:rPr>
                <w:color w:val="auto"/>
                <w:sz w:val="24"/>
              </w:rPr>
              <w:t>识别卡编号</w:t>
            </w:r>
          </w:p>
        </w:tc>
        <w:tc>
          <w:tcPr>
            <w:tcW w:w="1351" w:type="dxa"/>
            <w:tcBorders>
              <w:top w:val="single" w:color="auto" w:sz="4" w:space="0"/>
              <w:right w:val="single" w:color="auto" w:sz="4" w:space="0"/>
            </w:tcBorders>
            <w:vAlign w:val="center"/>
          </w:tcPr>
          <w:p>
            <w:pPr>
              <w:spacing w:line="320" w:lineRule="exact"/>
              <w:jc w:val="center"/>
              <w:rPr>
                <w:color w:val="auto"/>
                <w:sz w:val="24"/>
              </w:rPr>
            </w:pPr>
            <w:r>
              <w:rPr>
                <w:color w:val="auto"/>
                <w:sz w:val="24"/>
              </w:rPr>
              <w:t>签    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tcBorders>
              <w:left w:val="single" w:color="auto" w:sz="4" w:space="0"/>
            </w:tcBorders>
            <w:vAlign w:val="center"/>
          </w:tcPr>
          <w:p>
            <w:pPr>
              <w:spacing w:line="320" w:lineRule="exact"/>
              <w:jc w:val="center"/>
              <w:rPr>
                <w:color w:val="auto"/>
                <w:sz w:val="24"/>
              </w:rPr>
            </w:pPr>
            <w:r>
              <w:rPr>
                <w:color w:val="auto"/>
                <w:sz w:val="24"/>
              </w:rPr>
              <w:t>项目负责人</w:t>
            </w:r>
          </w:p>
        </w:tc>
        <w:tc>
          <w:tcPr>
            <w:tcW w:w="1115" w:type="dxa"/>
            <w:vAlign w:val="center"/>
          </w:tcPr>
          <w:p>
            <w:pPr>
              <w:spacing w:line="320" w:lineRule="exact"/>
              <w:jc w:val="center"/>
              <w:rPr>
                <w:color w:val="auto"/>
                <w:sz w:val="24"/>
              </w:rPr>
            </w:pPr>
            <w:r>
              <w:rPr>
                <w:rFonts w:hint="eastAsia"/>
                <w:color w:val="auto"/>
                <w:sz w:val="24"/>
              </w:rPr>
              <w:t>周红波</w:t>
            </w:r>
          </w:p>
        </w:tc>
        <w:tc>
          <w:tcPr>
            <w:tcW w:w="2968" w:type="dxa"/>
            <w:vAlign w:val="center"/>
          </w:tcPr>
          <w:p>
            <w:pPr>
              <w:jc w:val="center"/>
              <w:rPr>
                <w:color w:val="auto"/>
                <w:sz w:val="24"/>
              </w:rPr>
            </w:pPr>
            <w:r>
              <w:rPr>
                <w:rFonts w:hint="eastAsia"/>
                <w:color w:val="auto"/>
                <w:sz w:val="24"/>
              </w:rPr>
              <w:t>1700000000100121</w:t>
            </w:r>
          </w:p>
        </w:tc>
        <w:tc>
          <w:tcPr>
            <w:tcW w:w="1461" w:type="dxa"/>
            <w:vAlign w:val="center"/>
          </w:tcPr>
          <w:p>
            <w:pPr>
              <w:jc w:val="center"/>
              <w:rPr>
                <w:color w:val="auto"/>
                <w:sz w:val="24"/>
              </w:rPr>
            </w:pPr>
            <w:r>
              <w:rPr>
                <w:rFonts w:hint="eastAsia"/>
                <w:color w:val="auto"/>
                <w:sz w:val="24"/>
              </w:rPr>
              <w:t>020702</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vMerge w:val="restart"/>
            <w:tcBorders>
              <w:left w:val="single" w:color="auto" w:sz="4" w:space="0"/>
            </w:tcBorders>
            <w:vAlign w:val="center"/>
          </w:tcPr>
          <w:p>
            <w:pPr>
              <w:spacing w:line="320" w:lineRule="exact"/>
              <w:jc w:val="center"/>
              <w:rPr>
                <w:color w:val="auto"/>
                <w:sz w:val="24"/>
              </w:rPr>
            </w:pPr>
            <w:r>
              <w:rPr>
                <w:rFonts w:hint="eastAsia"/>
                <w:color w:val="auto"/>
                <w:sz w:val="24"/>
              </w:rPr>
              <w:t>项目组成员</w:t>
            </w:r>
          </w:p>
        </w:tc>
        <w:tc>
          <w:tcPr>
            <w:tcW w:w="1115" w:type="dxa"/>
            <w:vAlign w:val="center"/>
          </w:tcPr>
          <w:p>
            <w:pPr>
              <w:spacing w:line="320" w:lineRule="exact"/>
              <w:jc w:val="center"/>
              <w:rPr>
                <w:color w:val="auto"/>
                <w:sz w:val="24"/>
              </w:rPr>
            </w:pPr>
            <w:r>
              <w:rPr>
                <w:rFonts w:hint="eastAsia"/>
                <w:color w:val="auto"/>
                <w:sz w:val="24"/>
              </w:rPr>
              <w:t>黄香港</w:t>
            </w:r>
          </w:p>
        </w:tc>
        <w:tc>
          <w:tcPr>
            <w:tcW w:w="2968" w:type="dxa"/>
            <w:vAlign w:val="center"/>
          </w:tcPr>
          <w:p>
            <w:pPr>
              <w:jc w:val="center"/>
              <w:rPr>
                <w:color w:val="auto"/>
                <w:sz w:val="24"/>
              </w:rPr>
            </w:pPr>
            <w:r>
              <w:rPr>
                <w:rFonts w:hint="eastAsia"/>
                <w:color w:val="auto"/>
                <w:sz w:val="24"/>
              </w:rPr>
              <w:t>S011035000110191000617</w:t>
            </w:r>
          </w:p>
        </w:tc>
        <w:tc>
          <w:tcPr>
            <w:tcW w:w="1461" w:type="dxa"/>
            <w:vAlign w:val="center"/>
          </w:tcPr>
          <w:p>
            <w:pPr>
              <w:jc w:val="center"/>
              <w:rPr>
                <w:color w:val="auto"/>
                <w:sz w:val="24"/>
              </w:rPr>
            </w:pPr>
            <w:r>
              <w:rPr>
                <w:rFonts w:hint="eastAsia"/>
                <w:color w:val="auto"/>
                <w:sz w:val="24"/>
              </w:rPr>
              <w:t>024436</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vMerge w:val="continue"/>
            <w:tcBorders>
              <w:left w:val="single" w:color="auto" w:sz="4" w:space="0"/>
            </w:tcBorders>
            <w:vAlign w:val="center"/>
          </w:tcPr>
          <w:p>
            <w:pPr>
              <w:spacing w:line="320" w:lineRule="exact"/>
              <w:jc w:val="center"/>
              <w:rPr>
                <w:color w:val="auto"/>
                <w:sz w:val="24"/>
              </w:rPr>
            </w:pPr>
          </w:p>
        </w:tc>
        <w:tc>
          <w:tcPr>
            <w:tcW w:w="1115" w:type="dxa"/>
            <w:vAlign w:val="center"/>
          </w:tcPr>
          <w:p>
            <w:pPr>
              <w:spacing w:line="320" w:lineRule="exact"/>
              <w:jc w:val="center"/>
              <w:rPr>
                <w:color w:val="auto"/>
                <w:sz w:val="24"/>
              </w:rPr>
            </w:pPr>
            <w:r>
              <w:rPr>
                <w:rFonts w:hint="eastAsia"/>
                <w:color w:val="auto"/>
                <w:sz w:val="24"/>
              </w:rPr>
              <w:t>谢寒梅</w:t>
            </w:r>
          </w:p>
        </w:tc>
        <w:tc>
          <w:tcPr>
            <w:tcW w:w="2968" w:type="dxa"/>
            <w:vAlign w:val="center"/>
          </w:tcPr>
          <w:p>
            <w:pPr>
              <w:jc w:val="center"/>
              <w:rPr>
                <w:color w:val="auto"/>
                <w:sz w:val="24"/>
              </w:rPr>
            </w:pPr>
            <w:r>
              <w:rPr>
                <w:rFonts w:hint="eastAsia"/>
                <w:color w:val="auto"/>
                <w:sz w:val="24"/>
              </w:rPr>
              <w:t>S011035000110192001584</w:t>
            </w:r>
          </w:p>
        </w:tc>
        <w:tc>
          <w:tcPr>
            <w:tcW w:w="1461" w:type="dxa"/>
            <w:vAlign w:val="center"/>
          </w:tcPr>
          <w:p>
            <w:pPr>
              <w:jc w:val="center"/>
              <w:rPr>
                <w:color w:val="auto"/>
                <w:sz w:val="24"/>
              </w:rPr>
            </w:pPr>
            <w:r>
              <w:rPr>
                <w:rFonts w:hint="eastAsia"/>
                <w:color w:val="auto"/>
                <w:sz w:val="24"/>
              </w:rPr>
              <w:t>027089</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vMerge w:val="continue"/>
            <w:tcBorders>
              <w:left w:val="single" w:color="auto" w:sz="4" w:space="0"/>
            </w:tcBorders>
            <w:vAlign w:val="center"/>
          </w:tcPr>
          <w:p>
            <w:pPr>
              <w:spacing w:line="320" w:lineRule="exact"/>
              <w:jc w:val="center"/>
              <w:rPr>
                <w:color w:val="auto"/>
                <w:sz w:val="24"/>
              </w:rPr>
            </w:pPr>
          </w:p>
        </w:tc>
        <w:tc>
          <w:tcPr>
            <w:tcW w:w="1115" w:type="dxa"/>
            <w:vAlign w:val="center"/>
          </w:tcPr>
          <w:p>
            <w:pPr>
              <w:spacing w:line="320" w:lineRule="exact"/>
              <w:jc w:val="center"/>
              <w:rPr>
                <w:color w:val="auto"/>
                <w:sz w:val="24"/>
              </w:rPr>
            </w:pPr>
            <w:r>
              <w:rPr>
                <w:rFonts w:hint="eastAsia"/>
                <w:color w:val="auto"/>
                <w:sz w:val="24"/>
              </w:rPr>
              <w:t xml:space="preserve">王 </w:t>
            </w:r>
            <w:r>
              <w:rPr>
                <w:color w:val="auto"/>
                <w:sz w:val="24"/>
              </w:rPr>
              <w:t xml:space="preserve"> </w:t>
            </w:r>
            <w:r>
              <w:rPr>
                <w:rFonts w:hint="eastAsia"/>
                <w:color w:val="auto"/>
                <w:sz w:val="24"/>
              </w:rPr>
              <w:t>冠</w:t>
            </w:r>
          </w:p>
        </w:tc>
        <w:tc>
          <w:tcPr>
            <w:tcW w:w="2968" w:type="dxa"/>
            <w:vAlign w:val="center"/>
          </w:tcPr>
          <w:p>
            <w:pPr>
              <w:jc w:val="center"/>
              <w:rPr>
                <w:color w:val="auto"/>
                <w:sz w:val="24"/>
              </w:rPr>
            </w:pPr>
            <w:r>
              <w:rPr>
                <w:rFonts w:hint="eastAsia"/>
                <w:color w:val="auto"/>
                <w:sz w:val="24"/>
              </w:rPr>
              <w:t>S011035000110192001523</w:t>
            </w:r>
          </w:p>
        </w:tc>
        <w:tc>
          <w:tcPr>
            <w:tcW w:w="1461" w:type="dxa"/>
            <w:vAlign w:val="center"/>
          </w:tcPr>
          <w:p>
            <w:pPr>
              <w:jc w:val="center"/>
              <w:rPr>
                <w:color w:val="auto"/>
                <w:sz w:val="24"/>
              </w:rPr>
            </w:pPr>
            <w:r>
              <w:rPr>
                <w:rFonts w:hint="eastAsia"/>
                <w:color w:val="auto"/>
                <w:sz w:val="24"/>
              </w:rPr>
              <w:t>027086</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vMerge w:val="continue"/>
            <w:tcBorders>
              <w:left w:val="single" w:color="auto" w:sz="4" w:space="0"/>
            </w:tcBorders>
            <w:vAlign w:val="center"/>
          </w:tcPr>
          <w:p>
            <w:pPr>
              <w:spacing w:line="320" w:lineRule="exact"/>
              <w:jc w:val="center"/>
              <w:rPr>
                <w:color w:val="auto"/>
                <w:sz w:val="24"/>
              </w:rPr>
            </w:pPr>
          </w:p>
        </w:tc>
        <w:tc>
          <w:tcPr>
            <w:tcW w:w="1115" w:type="dxa"/>
            <w:vAlign w:val="center"/>
          </w:tcPr>
          <w:p>
            <w:pPr>
              <w:spacing w:line="320" w:lineRule="exact"/>
              <w:jc w:val="center"/>
              <w:rPr>
                <w:color w:val="auto"/>
                <w:sz w:val="24"/>
              </w:rPr>
            </w:pPr>
            <w:r>
              <w:rPr>
                <w:rFonts w:hint="eastAsia"/>
                <w:color w:val="auto"/>
                <w:sz w:val="24"/>
              </w:rPr>
              <w:t>罗沙浪</w:t>
            </w:r>
          </w:p>
        </w:tc>
        <w:tc>
          <w:tcPr>
            <w:tcW w:w="2968" w:type="dxa"/>
            <w:vAlign w:val="center"/>
          </w:tcPr>
          <w:p>
            <w:pPr>
              <w:jc w:val="center"/>
              <w:rPr>
                <w:color w:val="auto"/>
                <w:sz w:val="24"/>
              </w:rPr>
            </w:pPr>
            <w:r>
              <w:rPr>
                <w:rFonts w:hint="eastAsia"/>
                <w:color w:val="auto"/>
                <w:sz w:val="24"/>
              </w:rPr>
              <w:t>S011035000110193001260</w:t>
            </w:r>
          </w:p>
        </w:tc>
        <w:tc>
          <w:tcPr>
            <w:tcW w:w="1461" w:type="dxa"/>
            <w:vAlign w:val="center"/>
          </w:tcPr>
          <w:p>
            <w:pPr>
              <w:jc w:val="center"/>
              <w:rPr>
                <w:color w:val="auto"/>
                <w:sz w:val="24"/>
              </w:rPr>
            </w:pPr>
            <w:r>
              <w:rPr>
                <w:rFonts w:hint="eastAsia"/>
                <w:color w:val="auto"/>
                <w:sz w:val="24"/>
              </w:rPr>
              <w:t>036829</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vMerge w:val="continue"/>
            <w:tcBorders>
              <w:left w:val="single" w:color="auto" w:sz="4" w:space="0"/>
            </w:tcBorders>
            <w:vAlign w:val="center"/>
          </w:tcPr>
          <w:p>
            <w:pPr>
              <w:spacing w:line="320" w:lineRule="exact"/>
              <w:jc w:val="center"/>
              <w:rPr>
                <w:color w:val="auto"/>
                <w:sz w:val="24"/>
              </w:rPr>
            </w:pPr>
          </w:p>
        </w:tc>
        <w:tc>
          <w:tcPr>
            <w:tcW w:w="1115" w:type="dxa"/>
            <w:vAlign w:val="center"/>
          </w:tcPr>
          <w:p>
            <w:pPr>
              <w:spacing w:line="320" w:lineRule="exact"/>
              <w:jc w:val="center"/>
              <w:rPr>
                <w:color w:val="auto"/>
                <w:sz w:val="24"/>
              </w:rPr>
            </w:pPr>
            <w:r>
              <w:rPr>
                <w:rFonts w:hint="eastAsia"/>
                <w:color w:val="auto"/>
                <w:sz w:val="24"/>
              </w:rPr>
              <w:t>王</w:t>
            </w:r>
            <w:r>
              <w:rPr>
                <w:rFonts w:hint="eastAsia" w:ascii="宋体" w:hAnsi="宋体"/>
                <w:color w:val="auto"/>
                <w:sz w:val="24"/>
              </w:rPr>
              <w:t xml:space="preserve"> </w:t>
            </w:r>
            <w:r>
              <w:rPr>
                <w:rFonts w:ascii="宋体" w:hAnsi="宋体"/>
                <w:color w:val="auto"/>
                <w:sz w:val="24"/>
              </w:rPr>
              <w:t xml:space="preserve"> </w:t>
            </w:r>
            <w:r>
              <w:rPr>
                <w:rFonts w:hint="eastAsia"/>
                <w:color w:val="auto"/>
                <w:sz w:val="24"/>
              </w:rPr>
              <w:t>波</w:t>
            </w:r>
          </w:p>
        </w:tc>
        <w:tc>
          <w:tcPr>
            <w:tcW w:w="2968" w:type="dxa"/>
            <w:vAlign w:val="center"/>
          </w:tcPr>
          <w:p>
            <w:pPr>
              <w:spacing w:line="320" w:lineRule="exact"/>
              <w:jc w:val="center"/>
              <w:rPr>
                <w:color w:val="auto"/>
                <w:sz w:val="24"/>
              </w:rPr>
            </w:pPr>
            <w:r>
              <w:rPr>
                <w:rFonts w:hint="eastAsia"/>
                <w:color w:val="auto"/>
                <w:sz w:val="24"/>
              </w:rPr>
              <w:t>S011035000110202001263</w:t>
            </w:r>
          </w:p>
        </w:tc>
        <w:tc>
          <w:tcPr>
            <w:tcW w:w="1461" w:type="dxa"/>
            <w:vAlign w:val="center"/>
          </w:tcPr>
          <w:p>
            <w:pPr>
              <w:spacing w:line="320" w:lineRule="exact"/>
              <w:jc w:val="center"/>
              <w:rPr>
                <w:color w:val="auto"/>
                <w:sz w:val="24"/>
              </w:rPr>
            </w:pPr>
            <w:r>
              <w:rPr>
                <w:rFonts w:hint="eastAsia"/>
                <w:color w:val="auto"/>
                <w:sz w:val="24"/>
              </w:rPr>
              <w:t>0</w:t>
            </w:r>
            <w:r>
              <w:rPr>
                <w:color w:val="auto"/>
                <w:sz w:val="24"/>
              </w:rPr>
              <w:t>40122</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tcBorders>
              <w:left w:val="single" w:color="auto" w:sz="4" w:space="0"/>
            </w:tcBorders>
            <w:vAlign w:val="center"/>
          </w:tcPr>
          <w:p>
            <w:pPr>
              <w:spacing w:line="320" w:lineRule="exact"/>
              <w:jc w:val="center"/>
              <w:rPr>
                <w:color w:val="auto"/>
                <w:sz w:val="24"/>
              </w:rPr>
            </w:pPr>
            <w:r>
              <w:rPr>
                <w:color w:val="auto"/>
                <w:sz w:val="24"/>
              </w:rPr>
              <w:t>报告编制人</w:t>
            </w:r>
          </w:p>
        </w:tc>
        <w:tc>
          <w:tcPr>
            <w:tcW w:w="1115" w:type="dxa"/>
            <w:vAlign w:val="center"/>
          </w:tcPr>
          <w:p>
            <w:pPr>
              <w:spacing w:line="320" w:lineRule="exact"/>
              <w:jc w:val="center"/>
              <w:rPr>
                <w:color w:val="auto"/>
                <w:sz w:val="24"/>
              </w:rPr>
            </w:pPr>
            <w:r>
              <w:rPr>
                <w:rFonts w:hint="eastAsia"/>
                <w:color w:val="auto"/>
                <w:sz w:val="24"/>
              </w:rPr>
              <w:t>黄香港</w:t>
            </w:r>
          </w:p>
        </w:tc>
        <w:tc>
          <w:tcPr>
            <w:tcW w:w="2968" w:type="dxa"/>
            <w:vAlign w:val="center"/>
          </w:tcPr>
          <w:p>
            <w:pPr>
              <w:jc w:val="center"/>
              <w:rPr>
                <w:color w:val="auto"/>
                <w:sz w:val="24"/>
              </w:rPr>
            </w:pPr>
            <w:r>
              <w:rPr>
                <w:rFonts w:hint="eastAsia"/>
                <w:color w:val="auto"/>
                <w:sz w:val="24"/>
              </w:rPr>
              <w:t>S011035000110191000617</w:t>
            </w:r>
          </w:p>
        </w:tc>
        <w:tc>
          <w:tcPr>
            <w:tcW w:w="1461" w:type="dxa"/>
            <w:vAlign w:val="center"/>
          </w:tcPr>
          <w:p>
            <w:pPr>
              <w:jc w:val="center"/>
              <w:rPr>
                <w:color w:val="auto"/>
                <w:sz w:val="24"/>
              </w:rPr>
            </w:pPr>
            <w:r>
              <w:rPr>
                <w:rFonts w:hint="eastAsia"/>
                <w:color w:val="auto"/>
                <w:sz w:val="24"/>
              </w:rPr>
              <w:t>024436</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tcBorders>
              <w:left w:val="single" w:color="auto" w:sz="4" w:space="0"/>
            </w:tcBorders>
            <w:vAlign w:val="center"/>
          </w:tcPr>
          <w:p>
            <w:pPr>
              <w:spacing w:line="320" w:lineRule="exact"/>
              <w:jc w:val="center"/>
              <w:rPr>
                <w:color w:val="auto"/>
                <w:sz w:val="24"/>
              </w:rPr>
            </w:pPr>
            <w:r>
              <w:rPr>
                <w:color w:val="auto"/>
                <w:sz w:val="24"/>
              </w:rPr>
              <w:t>报告审核人</w:t>
            </w:r>
          </w:p>
        </w:tc>
        <w:tc>
          <w:tcPr>
            <w:tcW w:w="1115" w:type="dxa"/>
            <w:vAlign w:val="center"/>
          </w:tcPr>
          <w:p>
            <w:pPr>
              <w:spacing w:line="320" w:lineRule="exact"/>
              <w:jc w:val="center"/>
              <w:rPr>
                <w:color w:val="auto"/>
                <w:sz w:val="24"/>
              </w:rPr>
            </w:pPr>
            <w:r>
              <w:rPr>
                <w:rFonts w:hint="eastAsia"/>
                <w:color w:val="auto"/>
                <w:sz w:val="24"/>
              </w:rPr>
              <w:t xml:space="preserve">戴 </w:t>
            </w:r>
            <w:r>
              <w:rPr>
                <w:color w:val="auto"/>
                <w:sz w:val="24"/>
              </w:rPr>
              <w:t xml:space="preserve"> </w:t>
            </w:r>
            <w:r>
              <w:rPr>
                <w:rFonts w:hint="eastAsia"/>
                <w:color w:val="auto"/>
                <w:sz w:val="24"/>
              </w:rPr>
              <w:t>磷</w:t>
            </w:r>
          </w:p>
        </w:tc>
        <w:tc>
          <w:tcPr>
            <w:tcW w:w="2968" w:type="dxa"/>
            <w:vAlign w:val="center"/>
          </w:tcPr>
          <w:p>
            <w:pPr>
              <w:jc w:val="center"/>
              <w:rPr>
                <w:color w:val="auto"/>
                <w:sz w:val="24"/>
              </w:rPr>
            </w:pPr>
            <w:r>
              <w:rPr>
                <w:rFonts w:hint="eastAsia"/>
                <w:color w:val="auto"/>
                <w:sz w:val="24"/>
              </w:rPr>
              <w:t>1100000000200597</w:t>
            </w:r>
          </w:p>
        </w:tc>
        <w:tc>
          <w:tcPr>
            <w:tcW w:w="1461" w:type="dxa"/>
            <w:vAlign w:val="center"/>
          </w:tcPr>
          <w:p>
            <w:pPr>
              <w:jc w:val="center"/>
              <w:rPr>
                <w:color w:val="auto"/>
                <w:sz w:val="24"/>
              </w:rPr>
            </w:pPr>
            <w:r>
              <w:rPr>
                <w:rFonts w:hint="eastAsia"/>
                <w:color w:val="auto"/>
                <w:sz w:val="24"/>
              </w:rPr>
              <w:t>019915</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atLeast"/>
          <w:jc w:val="center"/>
        </w:trPr>
        <w:tc>
          <w:tcPr>
            <w:tcW w:w="1622" w:type="dxa"/>
            <w:tcBorders>
              <w:left w:val="single" w:color="auto" w:sz="4" w:space="0"/>
            </w:tcBorders>
            <w:vAlign w:val="center"/>
          </w:tcPr>
          <w:p>
            <w:pPr>
              <w:spacing w:line="320" w:lineRule="exact"/>
              <w:jc w:val="center"/>
              <w:rPr>
                <w:color w:val="auto"/>
                <w:sz w:val="24"/>
              </w:rPr>
            </w:pPr>
            <w:r>
              <w:rPr>
                <w:color w:val="auto"/>
                <w:sz w:val="24"/>
              </w:rPr>
              <w:t>过程控制</w:t>
            </w:r>
          </w:p>
          <w:p>
            <w:pPr>
              <w:spacing w:line="320" w:lineRule="exact"/>
              <w:jc w:val="center"/>
              <w:rPr>
                <w:color w:val="auto"/>
                <w:sz w:val="24"/>
              </w:rPr>
            </w:pPr>
            <w:r>
              <w:rPr>
                <w:color w:val="auto"/>
                <w:sz w:val="24"/>
              </w:rPr>
              <w:t>负责人</w:t>
            </w:r>
          </w:p>
        </w:tc>
        <w:tc>
          <w:tcPr>
            <w:tcW w:w="1115" w:type="dxa"/>
            <w:vAlign w:val="center"/>
          </w:tcPr>
          <w:p>
            <w:pPr>
              <w:spacing w:line="320" w:lineRule="exact"/>
              <w:jc w:val="center"/>
              <w:rPr>
                <w:color w:val="auto"/>
                <w:sz w:val="24"/>
              </w:rPr>
            </w:pPr>
            <w:r>
              <w:rPr>
                <w:color w:val="auto"/>
                <w:sz w:val="24"/>
              </w:rPr>
              <w:t>王海波</w:t>
            </w:r>
          </w:p>
        </w:tc>
        <w:tc>
          <w:tcPr>
            <w:tcW w:w="2968" w:type="dxa"/>
            <w:vAlign w:val="center"/>
          </w:tcPr>
          <w:p>
            <w:pPr>
              <w:jc w:val="center"/>
              <w:rPr>
                <w:color w:val="auto"/>
                <w:sz w:val="24"/>
              </w:rPr>
            </w:pPr>
            <w:r>
              <w:rPr>
                <w:color w:val="auto"/>
                <w:sz w:val="24"/>
              </w:rPr>
              <w:t>S011035000110201000579</w:t>
            </w:r>
          </w:p>
        </w:tc>
        <w:tc>
          <w:tcPr>
            <w:tcW w:w="1461" w:type="dxa"/>
            <w:vAlign w:val="center"/>
          </w:tcPr>
          <w:p>
            <w:pPr>
              <w:jc w:val="center"/>
              <w:rPr>
                <w:color w:val="auto"/>
                <w:sz w:val="24"/>
              </w:rPr>
            </w:pPr>
            <w:r>
              <w:rPr>
                <w:rFonts w:hint="eastAsia"/>
                <w:color w:val="auto"/>
                <w:sz w:val="24"/>
              </w:rPr>
              <w:t>032727</w:t>
            </w:r>
          </w:p>
        </w:tc>
        <w:tc>
          <w:tcPr>
            <w:tcW w:w="1351" w:type="dxa"/>
            <w:tcBorders>
              <w:right w:val="single" w:color="auto" w:sz="4" w:space="0"/>
            </w:tcBorders>
            <w:vAlign w:val="center"/>
          </w:tcPr>
          <w:p>
            <w:pPr>
              <w:spacing w:line="320" w:lineRule="exact"/>
              <w:jc w:val="center"/>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2" w:hRule="atLeast"/>
          <w:jc w:val="center"/>
        </w:trPr>
        <w:tc>
          <w:tcPr>
            <w:tcW w:w="1622" w:type="dxa"/>
            <w:tcBorders>
              <w:left w:val="single" w:color="auto" w:sz="4" w:space="0"/>
              <w:bottom w:val="single" w:color="auto" w:sz="4" w:space="0"/>
            </w:tcBorders>
            <w:vAlign w:val="center"/>
          </w:tcPr>
          <w:p>
            <w:pPr>
              <w:spacing w:line="320" w:lineRule="exact"/>
              <w:jc w:val="center"/>
              <w:rPr>
                <w:color w:val="auto"/>
                <w:sz w:val="24"/>
              </w:rPr>
            </w:pPr>
            <w:r>
              <w:rPr>
                <w:color w:val="auto"/>
                <w:sz w:val="24"/>
              </w:rPr>
              <w:t>技术负责人</w:t>
            </w:r>
          </w:p>
        </w:tc>
        <w:tc>
          <w:tcPr>
            <w:tcW w:w="1115" w:type="dxa"/>
            <w:tcBorders>
              <w:bottom w:val="single" w:color="auto" w:sz="4" w:space="0"/>
            </w:tcBorders>
            <w:vAlign w:val="center"/>
          </w:tcPr>
          <w:p>
            <w:pPr>
              <w:spacing w:line="320" w:lineRule="exact"/>
              <w:jc w:val="center"/>
              <w:rPr>
                <w:color w:val="auto"/>
                <w:sz w:val="24"/>
              </w:rPr>
            </w:pPr>
            <w:r>
              <w:rPr>
                <w:rFonts w:hint="eastAsia"/>
                <w:color w:val="auto"/>
                <w:sz w:val="24"/>
              </w:rPr>
              <w:t>周红波</w:t>
            </w:r>
          </w:p>
        </w:tc>
        <w:tc>
          <w:tcPr>
            <w:tcW w:w="2968" w:type="dxa"/>
            <w:tcBorders>
              <w:bottom w:val="single" w:color="auto" w:sz="4" w:space="0"/>
            </w:tcBorders>
            <w:vAlign w:val="center"/>
          </w:tcPr>
          <w:p>
            <w:pPr>
              <w:jc w:val="center"/>
              <w:rPr>
                <w:color w:val="auto"/>
                <w:sz w:val="24"/>
              </w:rPr>
            </w:pPr>
            <w:r>
              <w:rPr>
                <w:rFonts w:hint="eastAsia"/>
                <w:color w:val="auto"/>
                <w:sz w:val="24"/>
              </w:rPr>
              <w:t>1700000000100121</w:t>
            </w:r>
          </w:p>
        </w:tc>
        <w:tc>
          <w:tcPr>
            <w:tcW w:w="1461" w:type="dxa"/>
            <w:tcBorders>
              <w:bottom w:val="single" w:color="auto" w:sz="4" w:space="0"/>
            </w:tcBorders>
            <w:vAlign w:val="center"/>
          </w:tcPr>
          <w:p>
            <w:pPr>
              <w:jc w:val="center"/>
              <w:rPr>
                <w:color w:val="auto"/>
                <w:sz w:val="24"/>
              </w:rPr>
            </w:pPr>
            <w:r>
              <w:rPr>
                <w:rFonts w:hint="eastAsia"/>
                <w:color w:val="auto"/>
                <w:sz w:val="24"/>
              </w:rPr>
              <w:t>020702</w:t>
            </w:r>
          </w:p>
        </w:tc>
        <w:tc>
          <w:tcPr>
            <w:tcW w:w="1351" w:type="dxa"/>
            <w:tcBorders>
              <w:bottom w:val="single" w:color="auto" w:sz="4" w:space="0"/>
              <w:right w:val="single" w:color="auto" w:sz="4" w:space="0"/>
            </w:tcBorders>
            <w:vAlign w:val="center"/>
          </w:tcPr>
          <w:p>
            <w:pPr>
              <w:spacing w:line="320" w:lineRule="exact"/>
              <w:jc w:val="center"/>
              <w:rPr>
                <w:color w:val="auto"/>
                <w:sz w:val="24"/>
              </w:rPr>
            </w:pPr>
          </w:p>
        </w:tc>
      </w:tr>
    </w:tbl>
    <w:p>
      <w:pPr>
        <w:pStyle w:val="20"/>
        <w:tabs>
          <w:tab w:val="left" w:pos="3079"/>
        </w:tabs>
        <w:rPr>
          <w:color w:val="auto"/>
          <w:kern w:val="0"/>
          <w:sz w:val="24"/>
          <w:szCs w:val="24"/>
        </w:rPr>
      </w:pPr>
    </w:p>
    <w:p>
      <w:pPr>
        <w:jc w:val="center"/>
        <w:rPr>
          <w:b/>
          <w:color w:val="auto"/>
          <w:kern w:val="0"/>
          <w:sz w:val="32"/>
          <w:szCs w:val="32"/>
        </w:rPr>
      </w:pPr>
      <w:r>
        <w:rPr>
          <w:rFonts w:ascii="宋体" w:hAnsi="宋体"/>
          <w:b/>
          <w:color w:val="auto"/>
          <w:kern w:val="0"/>
          <w:sz w:val="32"/>
          <w:szCs w:val="32"/>
        </w:rPr>
        <w:t>参与人员</w:t>
      </w:r>
    </w:p>
    <w:tbl>
      <w:tblPr>
        <w:tblStyle w:val="31"/>
        <w:tblW w:w="85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8"/>
        <w:gridCol w:w="2982"/>
        <w:gridCol w:w="2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2858"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color w:val="auto"/>
                <w:sz w:val="24"/>
                <w:szCs w:val="24"/>
              </w:rPr>
            </w:pPr>
            <w:r>
              <w:rPr>
                <w:rFonts w:ascii="宋体" w:hAnsi="宋体"/>
                <w:color w:val="auto"/>
                <w:sz w:val="24"/>
                <w:szCs w:val="24"/>
              </w:rPr>
              <w:t>姓名</w:t>
            </w:r>
          </w:p>
        </w:tc>
        <w:tc>
          <w:tcPr>
            <w:tcW w:w="2982"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color w:val="auto"/>
                <w:sz w:val="24"/>
                <w:szCs w:val="24"/>
              </w:rPr>
            </w:pPr>
            <w:r>
              <w:rPr>
                <w:rFonts w:ascii="宋体" w:hAnsi="宋体"/>
                <w:color w:val="auto"/>
                <w:sz w:val="24"/>
                <w:szCs w:val="24"/>
              </w:rPr>
              <w:t>专业</w:t>
            </w:r>
          </w:p>
        </w:tc>
        <w:tc>
          <w:tcPr>
            <w:tcW w:w="2744"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color w:val="auto"/>
                <w:sz w:val="24"/>
                <w:szCs w:val="24"/>
              </w:rPr>
            </w:pPr>
            <w:r>
              <w:rPr>
                <w:rFonts w:ascii="宋体" w:hAnsi="宋体"/>
                <w:color w:val="auto"/>
                <w:sz w:val="24"/>
                <w:szCs w:val="24"/>
              </w:rPr>
              <w:t>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2858"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rFonts w:hAnsi="宋体"/>
                <w:color w:val="auto"/>
                <w:sz w:val="24"/>
                <w:szCs w:val="24"/>
              </w:rPr>
            </w:pPr>
            <w:r>
              <w:rPr>
                <w:rFonts w:hint="eastAsia" w:ascii="宋体" w:hAnsi="宋体"/>
                <w:color w:val="auto"/>
                <w:sz w:val="24"/>
                <w:szCs w:val="24"/>
              </w:rPr>
              <w:t>姜萌萌</w:t>
            </w:r>
          </w:p>
        </w:tc>
        <w:tc>
          <w:tcPr>
            <w:tcW w:w="2982"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color w:val="auto"/>
                <w:sz w:val="24"/>
                <w:szCs w:val="24"/>
              </w:rPr>
            </w:pPr>
            <w:r>
              <w:rPr>
                <w:rFonts w:hint="eastAsia" w:ascii="宋体" w:hAnsi="宋体"/>
                <w:color w:val="auto"/>
                <w:sz w:val="24"/>
                <w:szCs w:val="24"/>
              </w:rPr>
              <w:t>化学工程与技术</w:t>
            </w:r>
          </w:p>
        </w:tc>
        <w:tc>
          <w:tcPr>
            <w:tcW w:w="2744" w:type="dxa"/>
            <w:tcBorders>
              <w:top w:val="single" w:color="auto" w:sz="4" w:space="0"/>
              <w:left w:val="single" w:color="auto" w:sz="4" w:space="0"/>
              <w:bottom w:val="single" w:color="auto" w:sz="4" w:space="0"/>
              <w:right w:val="single" w:color="auto" w:sz="4" w:space="0"/>
            </w:tcBorders>
            <w:vAlign w:val="center"/>
          </w:tcPr>
          <w:p>
            <w:pPr>
              <w:spacing w:line="480" w:lineRule="auto"/>
              <w:jc w:val="center"/>
              <w:rPr>
                <w:color w:val="auto"/>
                <w:sz w:val="24"/>
                <w:szCs w:val="24"/>
              </w:rPr>
            </w:pPr>
          </w:p>
        </w:tc>
      </w:tr>
    </w:tbl>
    <w:p>
      <w:pPr>
        <w:pStyle w:val="27"/>
        <w:rPr>
          <w:rFonts w:ascii="Times New Roman" w:hAnsi="Times New Roman"/>
          <w:color w:val="auto"/>
          <w:sz w:val="44"/>
          <w:szCs w:val="44"/>
        </w:rPr>
      </w:pPr>
    </w:p>
    <w:p>
      <w:pPr>
        <w:pageBreakBefore/>
        <w:widowControl/>
        <w:spacing w:before="388" w:beforeLines="100" w:after="388" w:afterLines="100"/>
        <w:jc w:val="center"/>
        <w:rPr>
          <w:b/>
          <w:bCs/>
          <w:color w:val="auto"/>
          <w:sz w:val="36"/>
          <w:szCs w:val="36"/>
        </w:rPr>
      </w:pPr>
      <w:r>
        <w:rPr>
          <w:rFonts w:hint="eastAsia"/>
          <w:b/>
          <w:bCs/>
          <w:color w:val="auto"/>
          <w:sz w:val="36"/>
          <w:szCs w:val="36"/>
        </w:rPr>
        <w:t>名词术语</w:t>
      </w:r>
    </w:p>
    <w:p>
      <w:pPr>
        <w:pStyle w:val="2"/>
        <w:spacing w:line="360" w:lineRule="auto"/>
        <w:ind w:firstLine="560" w:firstLineChars="200"/>
        <w:rPr>
          <w:color w:val="auto"/>
          <w:sz w:val="28"/>
          <w:szCs w:val="28"/>
        </w:rPr>
      </w:pPr>
      <w:r>
        <w:rPr>
          <w:rFonts w:hint="eastAsia"/>
          <w:color w:val="auto"/>
          <w:sz w:val="28"/>
          <w:szCs w:val="28"/>
        </w:rPr>
        <w:t>DMF：N，N</w:t>
      </w:r>
      <w:r>
        <w:rPr>
          <w:color w:val="auto"/>
          <w:sz w:val="28"/>
          <w:szCs w:val="28"/>
        </w:rPr>
        <w:t>-</w:t>
      </w:r>
      <w:r>
        <w:rPr>
          <w:rFonts w:hint="eastAsia"/>
          <w:color w:val="auto"/>
          <w:sz w:val="28"/>
          <w:szCs w:val="28"/>
        </w:rPr>
        <w:t>二甲基甲酰胺</w:t>
      </w:r>
    </w:p>
    <w:p>
      <w:pPr>
        <w:pStyle w:val="2"/>
        <w:spacing w:line="360" w:lineRule="auto"/>
        <w:ind w:firstLine="560" w:firstLineChars="200"/>
        <w:rPr>
          <w:color w:val="auto"/>
          <w:sz w:val="28"/>
          <w:szCs w:val="28"/>
        </w:rPr>
      </w:pPr>
      <w:r>
        <w:rPr>
          <w:rFonts w:hint="eastAsia"/>
          <w:color w:val="auto"/>
          <w:sz w:val="28"/>
          <w:szCs w:val="28"/>
        </w:rPr>
        <w:t>TEMPO：四甲基哌啶氧化物</w:t>
      </w:r>
    </w:p>
    <w:p>
      <w:pPr>
        <w:pStyle w:val="2"/>
        <w:spacing w:line="360" w:lineRule="auto"/>
        <w:ind w:firstLine="560" w:firstLineChars="200"/>
        <w:rPr>
          <w:color w:val="auto"/>
          <w:sz w:val="28"/>
          <w:szCs w:val="28"/>
        </w:rPr>
      </w:pPr>
      <w:r>
        <w:rPr>
          <w:rFonts w:hint="eastAsia"/>
          <w:color w:val="auto"/>
          <w:sz w:val="28"/>
          <w:szCs w:val="28"/>
        </w:rPr>
        <w:t>SC</w:t>
      </w:r>
      <w:r>
        <w:rPr>
          <w:color w:val="auto"/>
          <w:sz w:val="28"/>
          <w:szCs w:val="28"/>
        </w:rPr>
        <w:t>001</w:t>
      </w:r>
      <w:r>
        <w:rPr>
          <w:rFonts w:hint="eastAsia"/>
          <w:color w:val="auto"/>
          <w:sz w:val="28"/>
          <w:szCs w:val="28"/>
        </w:rPr>
        <w:t>：苯乙基苯酚聚氧乙烯醚硫酸盐</w:t>
      </w:r>
    </w:p>
    <w:p>
      <w:pPr>
        <w:pStyle w:val="2"/>
        <w:spacing w:line="360" w:lineRule="auto"/>
        <w:ind w:firstLine="560" w:firstLineChars="200"/>
        <w:rPr>
          <w:color w:val="auto"/>
          <w:sz w:val="28"/>
          <w:szCs w:val="28"/>
        </w:rPr>
      </w:pPr>
      <w:r>
        <w:rPr>
          <w:rFonts w:hint="eastAsia"/>
          <w:color w:val="auto"/>
          <w:sz w:val="28"/>
          <w:szCs w:val="28"/>
        </w:rPr>
        <w:t>NP</w:t>
      </w:r>
      <w:r>
        <w:rPr>
          <w:color w:val="auto"/>
          <w:sz w:val="28"/>
          <w:szCs w:val="28"/>
        </w:rPr>
        <w:t>-10</w:t>
      </w:r>
      <w:r>
        <w:rPr>
          <w:rFonts w:hint="eastAsia"/>
          <w:color w:val="auto"/>
          <w:sz w:val="28"/>
          <w:szCs w:val="28"/>
        </w:rPr>
        <w:t>：壬基酚聚氧乙烯醚</w:t>
      </w:r>
    </w:p>
    <w:p>
      <w:pPr>
        <w:pageBreakBefore/>
        <w:widowControl/>
        <w:spacing w:before="388" w:beforeLines="100" w:after="388" w:afterLines="100"/>
        <w:jc w:val="center"/>
        <w:rPr>
          <w:b/>
          <w:bCs/>
          <w:color w:val="auto"/>
          <w:sz w:val="36"/>
          <w:szCs w:val="36"/>
        </w:rPr>
      </w:pPr>
      <w:r>
        <w:rPr>
          <w:b/>
          <w:bCs/>
          <w:color w:val="auto"/>
          <w:sz w:val="36"/>
          <w:szCs w:val="36"/>
        </w:rPr>
        <w:t>前  言</w:t>
      </w:r>
    </w:p>
    <w:p>
      <w:pPr>
        <w:spacing w:line="600" w:lineRule="exact"/>
        <w:ind w:firstLine="560" w:firstLineChars="200"/>
        <w:jc w:val="left"/>
        <w:rPr>
          <w:color w:val="auto"/>
          <w:sz w:val="28"/>
          <w:szCs w:val="28"/>
        </w:rPr>
      </w:pPr>
      <w:r>
        <w:rPr>
          <w:rFonts w:hint="eastAsia"/>
          <w:color w:val="auto"/>
          <w:sz w:val="28"/>
          <w:szCs w:val="28"/>
        </w:rPr>
        <w:t>江西鑫立莱生化有限责任公司是由江西鑫邦生化有限公司100%全额投资设立的子公司，母公司于2019年4月注册成立，注册资本：1000万元。公司自成立以来一直致力于植物生长调节剂——芸苔素内酯原药系列产品的研发、生产和销售，拥有24-表芸苔素内酯原药、28-表高芸苔素内酯原药、28-高芸苔素内酯原药、丙酰芸苔素内酯原药以及芸苔素内酯和其他植物调节剂、杀虫剂、杀菌剂混配制剂的生产工艺和应用技术。江西鑫立莱生化有限责任公司目前已在江西省吉安市新干县盐化工业城内征地3</w:t>
      </w:r>
      <w:r>
        <w:rPr>
          <w:color w:val="auto"/>
          <w:sz w:val="28"/>
          <w:szCs w:val="28"/>
        </w:rPr>
        <w:t>2456.83</w:t>
      </w:r>
      <w:r>
        <w:rPr>
          <w:rFonts w:hint="eastAsia"/>
          <w:color w:val="auto"/>
          <w:sz w:val="28"/>
          <w:szCs w:val="28"/>
        </w:rPr>
        <w:t>m</w:t>
      </w:r>
      <w:r>
        <w:rPr>
          <w:color w:val="auto"/>
          <w:sz w:val="28"/>
          <w:szCs w:val="28"/>
          <w:vertAlign w:val="superscript"/>
        </w:rPr>
        <w:t>2</w:t>
      </w:r>
      <w:r>
        <w:rPr>
          <w:rFonts w:hint="eastAsia"/>
          <w:color w:val="auto"/>
          <w:sz w:val="28"/>
          <w:szCs w:val="28"/>
        </w:rPr>
        <w:t>，公司投资3</w:t>
      </w:r>
      <w:r>
        <w:rPr>
          <w:color w:val="auto"/>
          <w:sz w:val="28"/>
          <w:szCs w:val="28"/>
        </w:rPr>
        <w:t>0000</w:t>
      </w:r>
      <w:r>
        <w:rPr>
          <w:rFonts w:hint="eastAsia"/>
          <w:color w:val="auto"/>
          <w:sz w:val="28"/>
          <w:szCs w:val="28"/>
        </w:rPr>
        <w:t>万元拟建设年产芸苔素内酯原药5千kg、制剂3万吨项目（以下简称该项目）。该项目拟建地点位于江西省吉安市新干县盐化工业城内，东临盐化大道，用地面积32456.83m</w:t>
      </w:r>
      <w:r>
        <w:rPr>
          <w:rFonts w:hint="eastAsia"/>
          <w:color w:val="auto"/>
          <w:sz w:val="28"/>
          <w:szCs w:val="28"/>
          <w:vertAlign w:val="superscript"/>
        </w:rPr>
        <w:t>2</w:t>
      </w:r>
      <w:r>
        <w:rPr>
          <w:rFonts w:hint="eastAsia"/>
          <w:color w:val="auto"/>
          <w:sz w:val="28"/>
          <w:szCs w:val="28"/>
        </w:rPr>
        <w:t>，法人代表李志江。</w:t>
      </w:r>
    </w:p>
    <w:p>
      <w:pPr>
        <w:spacing w:line="600" w:lineRule="exact"/>
        <w:ind w:firstLine="560" w:firstLineChars="200"/>
        <w:rPr>
          <w:color w:val="auto"/>
          <w:sz w:val="28"/>
          <w:szCs w:val="28"/>
        </w:rPr>
      </w:pPr>
      <w:r>
        <w:rPr>
          <w:rFonts w:hint="eastAsia"/>
          <w:color w:val="auto"/>
          <w:sz w:val="28"/>
          <w:szCs w:val="28"/>
        </w:rPr>
        <w:t>根据《产业结构调整指导目录（2019年本）》（2</w:t>
      </w:r>
      <w:r>
        <w:rPr>
          <w:color w:val="auto"/>
          <w:sz w:val="28"/>
          <w:szCs w:val="28"/>
        </w:rPr>
        <w:t>021</w:t>
      </w:r>
      <w:r>
        <w:rPr>
          <w:rFonts w:hint="eastAsia"/>
          <w:color w:val="auto"/>
          <w:sz w:val="28"/>
          <w:szCs w:val="28"/>
        </w:rPr>
        <w:t>年发改委4</w:t>
      </w:r>
      <w:r>
        <w:rPr>
          <w:color w:val="auto"/>
          <w:sz w:val="28"/>
          <w:szCs w:val="28"/>
        </w:rPr>
        <w:t>9</w:t>
      </w:r>
      <w:r>
        <w:rPr>
          <w:rFonts w:hint="eastAsia"/>
          <w:color w:val="auto"/>
          <w:sz w:val="28"/>
          <w:szCs w:val="28"/>
        </w:rPr>
        <w:t>号修改），本项目</w:t>
      </w:r>
      <w:r>
        <w:rPr>
          <w:rFonts w:hint="eastAsia" w:ascii="宋体" w:hAnsi="宋体"/>
          <w:color w:val="auto"/>
          <w:sz w:val="28"/>
          <w:szCs w:val="28"/>
        </w:rPr>
        <w:t>属于鼓励类“十一、石化化工”中“6、高效、安全、环境友好的农药新品种、新剂型，生物农药新产品、新技术的开发与生产”。</w:t>
      </w:r>
      <w:r>
        <w:rPr>
          <w:rFonts w:hint="eastAsia"/>
          <w:color w:val="auto"/>
          <w:sz w:val="28"/>
          <w:szCs w:val="28"/>
        </w:rPr>
        <w:t>根据国民经济行业分类标准(GB/T4754-2017)，该项目</w:t>
      </w:r>
      <w:r>
        <w:rPr>
          <w:color w:val="auto"/>
          <w:sz w:val="28"/>
          <w:szCs w:val="28"/>
        </w:rPr>
        <w:t>行业类别及代码</w:t>
      </w:r>
      <w:r>
        <w:rPr>
          <w:rFonts w:hint="eastAsia"/>
          <w:color w:val="auto"/>
          <w:sz w:val="28"/>
          <w:szCs w:val="28"/>
        </w:rPr>
        <w:t>为</w:t>
      </w:r>
      <w:r>
        <w:rPr>
          <w:color w:val="auto"/>
          <w:sz w:val="28"/>
          <w:szCs w:val="28"/>
        </w:rPr>
        <w:t>C2631</w:t>
      </w:r>
      <w:r>
        <w:rPr>
          <w:rFonts w:hint="eastAsia"/>
          <w:color w:val="auto"/>
          <w:sz w:val="28"/>
          <w:szCs w:val="28"/>
        </w:rPr>
        <w:t>化学农药制造。该项目生产过程中涉及使用的原辅料为麦角淄醇、丙酮、四甲基哌啶氧化物（TEMPO）、甲苯、次氯酸钠、液氨、液氮、金属锂粒、氯化铵、对甲苯磺酸、甲基磺酰胺、锇酸钾、双氧水（3</w:t>
      </w:r>
      <w:r>
        <w:rPr>
          <w:color w:val="auto"/>
          <w:sz w:val="28"/>
          <w:szCs w:val="28"/>
        </w:rPr>
        <w:t>0%&amp;50%</w:t>
      </w:r>
      <w:r>
        <w:rPr>
          <w:rFonts w:hint="eastAsia"/>
          <w:color w:val="auto"/>
          <w:sz w:val="28"/>
          <w:szCs w:val="28"/>
        </w:rPr>
        <w:t>）、豆甾醇、三乙胺、甲基磺酰氯、丁酮、碳酸氢钾、硫酸、氢溴酸、溴化钠、二甲基甲酰胺（DMF）、乙酸乙酯、碳酸钾、铁氰化钾、碳酸氢钠、叔丁醇、奎尼丁、三氟乙酸酐、二氯甲烷、甲醇、石油醚、硅胶、亚硫酸氢钠、N</w:t>
      </w:r>
      <w:r>
        <w:rPr>
          <w:color w:val="auto"/>
          <w:sz w:val="28"/>
          <w:szCs w:val="28"/>
        </w:rPr>
        <w:t>-</w:t>
      </w:r>
      <w:r>
        <w:rPr>
          <w:rFonts w:hint="eastAsia"/>
          <w:color w:val="auto"/>
          <w:sz w:val="28"/>
          <w:szCs w:val="28"/>
        </w:rPr>
        <w:t>甲基氧化吗啉、亚硫酸钠、四氢呋喃、丙酸酐、间氯过氧苯甲酸、2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高芸苔素内酯、丙酰芸苔素内酯、NP</w:t>
      </w:r>
      <w:r>
        <w:rPr>
          <w:color w:val="auto"/>
          <w:sz w:val="28"/>
          <w:szCs w:val="28"/>
        </w:rPr>
        <w:t>-10</w:t>
      </w:r>
      <w:r>
        <w:rPr>
          <w:rFonts w:hint="eastAsia"/>
          <w:color w:val="auto"/>
          <w:sz w:val="28"/>
          <w:szCs w:val="28"/>
        </w:rPr>
        <w:t>（壬基酚聚氧乙烯醚）、乙醇、异丙醇、消泡剂、S</w:t>
      </w:r>
      <w:r>
        <w:rPr>
          <w:color w:val="auto"/>
          <w:sz w:val="28"/>
          <w:szCs w:val="28"/>
        </w:rPr>
        <w:t>-</w:t>
      </w:r>
      <w:r>
        <w:rPr>
          <w:rFonts w:hint="eastAsia"/>
          <w:color w:val="auto"/>
          <w:sz w:val="28"/>
          <w:szCs w:val="28"/>
        </w:rPr>
        <w:t>诱抗素、赤霉酸A</w:t>
      </w:r>
      <w:r>
        <w:rPr>
          <w:color w:val="auto"/>
          <w:sz w:val="28"/>
          <w:szCs w:val="28"/>
        </w:rPr>
        <w:t>3</w:t>
      </w:r>
      <w:r>
        <w:rPr>
          <w:rFonts w:hint="eastAsia"/>
          <w:color w:val="auto"/>
          <w:sz w:val="28"/>
          <w:szCs w:val="28"/>
        </w:rPr>
        <w:t>、烯效唑、黄原胶、苯甲酸钠、乙二醇、白炭黑（主要成分二氧化硅）、SC001（苯乙基苯酚聚氧乙烯醚硫酸盐）、苄氨基嘌呤、三十烷醇、氯吡脲、噻苯隆、环己酮、氨基寡糖素、朗钛LT</w:t>
      </w:r>
      <w:r>
        <w:rPr>
          <w:color w:val="auto"/>
          <w:sz w:val="28"/>
          <w:szCs w:val="28"/>
        </w:rPr>
        <w:t>-569</w:t>
      </w:r>
      <w:r>
        <w:rPr>
          <w:rFonts w:hint="eastAsia"/>
          <w:color w:val="auto"/>
          <w:sz w:val="28"/>
          <w:szCs w:val="28"/>
        </w:rPr>
        <w:t>、三聚磷酸钠、吲哚丁酸、赤霉素A</w:t>
      </w:r>
      <w:r>
        <w:rPr>
          <w:color w:val="auto"/>
          <w:sz w:val="28"/>
          <w:szCs w:val="28"/>
        </w:rPr>
        <w:t>4</w:t>
      </w:r>
      <w:r>
        <w:rPr>
          <w:rFonts w:hint="eastAsia"/>
          <w:color w:val="auto"/>
          <w:sz w:val="28"/>
          <w:szCs w:val="28"/>
        </w:rPr>
        <w:t>、氯化胆碱、胺鲜酯、复合肥（主要为磷酸一铵）、氯化钠等。中间产物中涉及氢氧化锂、二氧化碳、氯化钠、氨气、氢气、溴化钠、亚铁氰化钾、过氧三氟乙酸、碳酸氢钾、N</w:t>
      </w:r>
      <w:r>
        <w:rPr>
          <w:color w:val="auto"/>
          <w:sz w:val="28"/>
          <w:szCs w:val="28"/>
        </w:rPr>
        <w:t>-</w:t>
      </w:r>
      <w:r>
        <w:rPr>
          <w:rFonts w:hint="eastAsia"/>
          <w:color w:val="auto"/>
          <w:sz w:val="28"/>
          <w:szCs w:val="28"/>
        </w:rPr>
        <w:t>甲基吗啉、硫酸钾、亚硫酸钾、三氟乙酸、三氟乙酸钾、甲基磺酸、氯化氢、氨基锂、氯化锂、二氧化硫、间氯苯甲酸、硫酸氢钠、硫酸钠等。该项目产品为2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高芸苔素内酯、丙酰芸苔素内酯以及芸苔素制剂。发电机涉及使用柴油。</w:t>
      </w:r>
    </w:p>
    <w:p>
      <w:pPr>
        <w:spacing w:line="600" w:lineRule="exact"/>
        <w:ind w:firstLine="560" w:firstLineChars="200"/>
        <w:rPr>
          <w:color w:val="auto"/>
          <w:sz w:val="28"/>
          <w:szCs w:val="28"/>
        </w:rPr>
      </w:pPr>
      <w:r>
        <w:rPr>
          <w:rFonts w:hint="eastAsia"/>
          <w:color w:val="auto"/>
          <w:sz w:val="28"/>
          <w:szCs w:val="28"/>
        </w:rPr>
        <w:t>该项目原辅料涉及的危险化学品：三乙胺、甲基磺酰氯、四氢呋喃、丙酮、甲苯、液氨、液氮、金属锂粒、双氧水、丁酮、硫酸、氢溴酸、二甲基甲酰胺、乙酸乙酯、叔丁醇、三氟乙酸酐、二氯甲烷、石油醚、亚硫酸氢钠、次氯酸钠水溶液、甲醇、乙醇、丙酸酐、间氯过氧苯甲酸、异丙醇、环己酮、NP</w:t>
      </w:r>
      <w:r>
        <w:rPr>
          <w:color w:val="auto"/>
          <w:sz w:val="28"/>
          <w:szCs w:val="28"/>
        </w:rPr>
        <w:t>-10</w:t>
      </w:r>
      <w:r>
        <w:rPr>
          <w:rFonts w:hint="eastAsia"/>
          <w:color w:val="auto"/>
          <w:sz w:val="28"/>
          <w:szCs w:val="28"/>
        </w:rPr>
        <w:t>、柴油等；中间产物中氢氧化锂、氨气、氢气、N</w:t>
      </w:r>
      <w:r>
        <w:rPr>
          <w:color w:val="auto"/>
          <w:sz w:val="28"/>
          <w:szCs w:val="28"/>
        </w:rPr>
        <w:t>-</w:t>
      </w:r>
      <w:r>
        <w:rPr>
          <w:rFonts w:hint="eastAsia"/>
          <w:color w:val="auto"/>
          <w:sz w:val="28"/>
          <w:szCs w:val="28"/>
        </w:rPr>
        <w:t>甲基吗啉、三氟乙酸、氯化氢、甲基磺酸、氨基锂、二氧化硫、硫酸氢钠等为危险化学品；该项目产品2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以及各芸苔素制剂不属于危险化学品。该项目涉及四氢呋喃、丙酮、乙酸乙酯、DMF、叔丁醇、二氯甲烷、丁酮、石油醚、甲醇、甲苯等回收套用，属于危化品生产、储存项目；该项目建成后运行前，项目单位应申请办理《危险化学品安全生产许可证》。该项目属于重点监管的危险化学品为液氨、甲醇、乙酸乙酯、甲苯、中间产物二氧化硫、中间产物氢气。该项目</w:t>
      </w:r>
      <w:r>
        <w:rPr>
          <w:color w:val="auto"/>
          <w:sz w:val="28"/>
          <w:szCs w:val="28"/>
        </w:rPr>
        <w:t>24-</w:t>
      </w:r>
      <w:r>
        <w:rPr>
          <w:rFonts w:hint="eastAsia"/>
          <w:color w:val="auto"/>
          <w:sz w:val="28"/>
          <w:szCs w:val="28"/>
        </w:rPr>
        <w:t>表芸苔素内酯生产工艺中磺酰化反应工段涉及磺化工艺，氧化反应工段和内酯化工段副反应涉及氧化工艺；2</w:t>
      </w:r>
      <w:r>
        <w:rPr>
          <w:color w:val="auto"/>
          <w:sz w:val="28"/>
          <w:szCs w:val="28"/>
        </w:rPr>
        <w:t>8-</w:t>
      </w:r>
      <w:r>
        <w:rPr>
          <w:rFonts w:hint="eastAsia"/>
          <w:color w:val="auto"/>
          <w:sz w:val="28"/>
          <w:szCs w:val="28"/>
        </w:rPr>
        <w:t>高芸苔素内酯生产工艺中磺酰化反应工段涉及磺化工艺，氧化反应工段和内酯化工段副反应涉及氧化工艺；丙酰芸苔素内酯生产工艺中磺酰化反应工段涉及磺化工艺，氧化反应工段涉及氧化工艺，环氧和内酯化反应工段涉及氧化工艺。</w:t>
      </w:r>
      <w:r>
        <w:rPr>
          <w:rFonts w:hint="eastAsia" w:ascii="宋体" w:hAnsi="宋体"/>
          <w:color w:val="auto"/>
          <w:sz w:val="28"/>
          <w:szCs w:val="28"/>
        </w:rPr>
        <w:t>该项目生产单元和储存单元</w:t>
      </w:r>
      <w:r>
        <w:rPr>
          <w:rFonts w:hint="eastAsia" w:ascii="宋体" w:hAnsi="宋体"/>
          <w:color w:val="auto"/>
          <w:kern w:val="0"/>
          <w:sz w:val="28"/>
          <w:szCs w:val="28"/>
        </w:rPr>
        <w:t>均不</w:t>
      </w:r>
      <w:r>
        <w:rPr>
          <w:rFonts w:hint="eastAsia" w:ascii="宋体" w:hAnsi="宋体"/>
          <w:color w:val="auto"/>
          <w:sz w:val="28"/>
          <w:szCs w:val="28"/>
        </w:rPr>
        <w:t>构成重大危险源。</w:t>
      </w:r>
    </w:p>
    <w:p>
      <w:pPr>
        <w:spacing w:line="600" w:lineRule="exact"/>
        <w:ind w:firstLine="560" w:firstLineChars="200"/>
        <w:jc w:val="left"/>
        <w:rPr>
          <w:color w:val="auto"/>
          <w:sz w:val="28"/>
          <w:szCs w:val="28"/>
        </w:rPr>
      </w:pPr>
      <w:r>
        <w:rPr>
          <w:color w:val="auto"/>
          <w:sz w:val="28"/>
          <w:szCs w:val="28"/>
        </w:rPr>
        <w:t>为落实“安全第一，预防为主、综合治理”的安全生产方针和国家关于新建、改建、扩建工程的安全设施必须与主体工程同时设计、同时施工、同时投入生产和使用的“三同时”的规定，完善安全生产监督管理程序，预防和减少生产安全事故的发生，保证项目在安全方面符合国家及行业有关法规和标准、规范。</w:t>
      </w:r>
      <w:r>
        <w:rPr>
          <w:rFonts w:hint="eastAsia"/>
          <w:color w:val="auto"/>
          <w:sz w:val="28"/>
          <w:szCs w:val="28"/>
        </w:rPr>
        <w:t>江西鑫立莱生化有限责任公司</w:t>
      </w:r>
      <w:r>
        <w:rPr>
          <w:color w:val="auto"/>
          <w:sz w:val="28"/>
          <w:szCs w:val="28"/>
        </w:rPr>
        <w:t>根据《中华人民共和国安全生产法》和《建设项目安全设施“三同时”监督管理办法》等相关法律法规要求，委托江西赣安安全生产科学技术咨询服务中心对其</w:t>
      </w:r>
      <w:r>
        <w:rPr>
          <w:rFonts w:hint="eastAsia"/>
          <w:color w:val="auto"/>
          <w:sz w:val="28"/>
          <w:szCs w:val="28"/>
        </w:rPr>
        <w:t>年产芸苔素内酯原药5千kg、制剂3万吨项目</w:t>
      </w:r>
      <w:r>
        <w:rPr>
          <w:color w:val="auto"/>
          <w:sz w:val="28"/>
          <w:szCs w:val="28"/>
        </w:rPr>
        <w:t>进行安全</w:t>
      </w:r>
      <w:r>
        <w:rPr>
          <w:rFonts w:hint="eastAsia"/>
          <w:color w:val="auto"/>
          <w:sz w:val="28"/>
          <w:szCs w:val="28"/>
        </w:rPr>
        <w:t>条件</w:t>
      </w:r>
      <w:r>
        <w:rPr>
          <w:color w:val="auto"/>
          <w:sz w:val="28"/>
          <w:szCs w:val="28"/>
        </w:rPr>
        <w:t>评价。</w:t>
      </w:r>
    </w:p>
    <w:p>
      <w:pPr>
        <w:spacing w:line="360" w:lineRule="auto"/>
        <w:ind w:firstLine="560" w:firstLineChars="200"/>
        <w:rPr>
          <w:color w:val="auto"/>
        </w:rPr>
      </w:pPr>
      <w:r>
        <w:rPr>
          <w:color w:val="auto"/>
          <w:sz w:val="28"/>
          <w:szCs w:val="28"/>
        </w:rPr>
        <w:t>江西赣安安全生产科学技术咨询服务中心受委托后，组成项目安全评价组，于202</w:t>
      </w:r>
      <w:r>
        <w:rPr>
          <w:rFonts w:hint="eastAsia"/>
          <w:color w:val="auto"/>
          <w:sz w:val="28"/>
          <w:szCs w:val="28"/>
        </w:rPr>
        <w:t>2</w:t>
      </w:r>
      <w:r>
        <w:rPr>
          <w:color w:val="auto"/>
          <w:sz w:val="28"/>
          <w:szCs w:val="28"/>
        </w:rPr>
        <w:t>年11月到建设单位收集有关资料。对拟建现场进行勘察，对委托方提供的资料进行认真分析，运用安全系统工程原理和评价方法，对项目可能出现的危险、有害因素辨识分析和定性、定量评价。在此基础上，根据《安全评价通则》（AQ8001-2007）</w:t>
      </w:r>
      <w:r>
        <w:rPr>
          <w:rFonts w:hint="eastAsia"/>
          <w:color w:val="auto"/>
          <w:sz w:val="28"/>
          <w:szCs w:val="28"/>
        </w:rPr>
        <w:t>、</w:t>
      </w:r>
      <w:r>
        <w:rPr>
          <w:color w:val="auto"/>
          <w:sz w:val="28"/>
          <w:szCs w:val="28"/>
        </w:rPr>
        <w:t>《安全预评价导则》（AQ8002-2007）</w:t>
      </w:r>
      <w:r>
        <w:rPr>
          <w:rFonts w:hint="eastAsia"/>
          <w:color w:val="auto"/>
          <w:sz w:val="28"/>
          <w:szCs w:val="28"/>
        </w:rPr>
        <w:t>、</w:t>
      </w:r>
      <w:r>
        <w:rPr>
          <w:rFonts w:hint="eastAsia" w:ascii="宋体" w:hAnsi="宋体"/>
          <w:color w:val="auto"/>
          <w:sz w:val="28"/>
          <w:szCs w:val="28"/>
        </w:rPr>
        <w:t>《危险化学品建设项目安全评价细则（试行）》（安监总危化</w:t>
      </w:r>
      <w:r>
        <w:rPr>
          <w:rFonts w:hint="eastAsia"/>
          <w:color w:val="auto"/>
          <w:sz w:val="28"/>
          <w:szCs w:val="28"/>
        </w:rPr>
        <w:t>[</w:t>
      </w:r>
      <w:r>
        <w:rPr>
          <w:color w:val="auto"/>
          <w:sz w:val="28"/>
          <w:szCs w:val="28"/>
        </w:rPr>
        <w:t>2007]255</w:t>
      </w:r>
      <w:r>
        <w:rPr>
          <w:rFonts w:hint="eastAsia" w:ascii="宋体" w:hAnsi="宋体"/>
          <w:color w:val="auto"/>
          <w:sz w:val="28"/>
          <w:szCs w:val="28"/>
        </w:rPr>
        <w:t>号）和《江西省危险化学品建设项目安全监督管理实施细则（试行）》（赣应急字</w:t>
      </w:r>
      <w:r>
        <w:rPr>
          <w:rFonts w:hint="eastAsia"/>
          <w:color w:val="auto"/>
          <w:sz w:val="28"/>
          <w:szCs w:val="28"/>
        </w:rPr>
        <w:t>[</w:t>
      </w:r>
      <w:r>
        <w:rPr>
          <w:color w:val="auto"/>
          <w:sz w:val="28"/>
          <w:szCs w:val="28"/>
        </w:rPr>
        <w:t>2021]100</w:t>
      </w:r>
      <w:r>
        <w:rPr>
          <w:rFonts w:hint="eastAsia" w:ascii="宋体" w:hAnsi="宋体"/>
          <w:color w:val="auto"/>
          <w:sz w:val="28"/>
          <w:szCs w:val="28"/>
        </w:rPr>
        <w:t>号）</w:t>
      </w:r>
      <w:r>
        <w:rPr>
          <w:color w:val="auto"/>
          <w:sz w:val="28"/>
          <w:szCs w:val="28"/>
        </w:rPr>
        <w:t>的要求</w:t>
      </w:r>
      <w:r>
        <w:rPr>
          <w:rFonts w:hint="eastAsia"/>
          <w:color w:val="auto"/>
          <w:sz w:val="28"/>
          <w:szCs w:val="28"/>
        </w:rPr>
        <w:t>和项目工艺功能、设备、设施情况</w:t>
      </w:r>
      <w:r>
        <w:rPr>
          <w:color w:val="auto"/>
          <w:sz w:val="28"/>
          <w:szCs w:val="28"/>
        </w:rPr>
        <w:t>，</w:t>
      </w:r>
      <w:r>
        <w:rPr>
          <w:rFonts w:hint="eastAsia"/>
          <w:color w:val="auto"/>
          <w:sz w:val="28"/>
          <w:szCs w:val="28"/>
        </w:rPr>
        <w:t>确定安全评价单元。</w:t>
      </w:r>
      <w:r>
        <w:rPr>
          <w:color w:val="auto"/>
          <w:sz w:val="28"/>
          <w:szCs w:val="28"/>
        </w:rPr>
        <w:t>编制完成该项目安全</w:t>
      </w:r>
      <w:r>
        <w:rPr>
          <w:rFonts w:hint="eastAsia"/>
          <w:color w:val="auto"/>
          <w:sz w:val="28"/>
          <w:szCs w:val="28"/>
        </w:rPr>
        <w:t>条件</w:t>
      </w:r>
      <w:r>
        <w:rPr>
          <w:color w:val="auto"/>
          <w:sz w:val="28"/>
          <w:szCs w:val="28"/>
        </w:rPr>
        <w:t>评价报告。</w:t>
      </w:r>
    </w:p>
    <w:p>
      <w:pPr>
        <w:spacing w:line="600" w:lineRule="exact"/>
        <w:ind w:firstLine="560" w:firstLineChars="200"/>
        <w:rPr>
          <w:color w:val="auto"/>
          <w:sz w:val="28"/>
          <w:szCs w:val="28"/>
        </w:rPr>
      </w:pPr>
      <w:r>
        <w:rPr>
          <w:color w:val="auto"/>
          <w:sz w:val="28"/>
          <w:szCs w:val="28"/>
        </w:rPr>
        <w:t>此次评价工作，得到</w:t>
      </w:r>
      <w:r>
        <w:rPr>
          <w:rFonts w:hint="eastAsia"/>
          <w:color w:val="auto"/>
          <w:sz w:val="28"/>
          <w:szCs w:val="28"/>
        </w:rPr>
        <w:t>江西鑫立莱生化有限责任公司</w:t>
      </w:r>
      <w:r>
        <w:rPr>
          <w:color w:val="auto"/>
          <w:sz w:val="28"/>
          <w:szCs w:val="28"/>
        </w:rPr>
        <w:t>的大力支持和协作，在此表示衷心感谢。</w:t>
      </w:r>
    </w:p>
    <w:p>
      <w:pPr>
        <w:keepNext/>
        <w:keepLines/>
        <w:pageBreakBefore/>
        <w:widowControl/>
        <w:spacing w:line="600" w:lineRule="exact"/>
        <w:jc w:val="center"/>
        <w:rPr>
          <w:color w:val="auto"/>
          <w:sz w:val="36"/>
        </w:rPr>
      </w:pPr>
      <w:r>
        <w:rPr>
          <w:rFonts w:hint="eastAsia"/>
          <w:color w:val="auto"/>
          <w:sz w:val="36"/>
        </w:rPr>
        <w:t>目 录</w:t>
      </w:r>
    </w:p>
    <w:p>
      <w:pPr>
        <w:pStyle w:val="20"/>
        <w:rPr>
          <w:color w:val="auto"/>
          <w:sz w:val="24"/>
          <w:szCs w:val="24"/>
        </w:rPr>
      </w:pPr>
    </w:p>
    <w:p>
      <w:pPr>
        <w:pStyle w:val="22"/>
        <w:tabs>
          <w:tab w:val="right" w:leader="dot" w:pos="9061"/>
        </w:tabs>
        <w:rPr>
          <w:rFonts w:asciiTheme="minorHAnsi" w:hAnsiTheme="minorHAnsi" w:eastAsiaTheme="minorEastAsia" w:cstheme="minorBidi"/>
          <w:color w:val="auto"/>
          <w:sz w:val="24"/>
          <w:szCs w:val="24"/>
          <w14:ligatures w14:val="standardContextual"/>
        </w:rPr>
      </w:pPr>
      <w:r>
        <w:rPr>
          <w:rFonts w:hint="eastAsia" w:asciiTheme="minorEastAsia" w:hAnsiTheme="minorEastAsia" w:eastAsiaTheme="minorEastAsia" w:cstheme="minorEastAsia"/>
          <w:color w:val="auto"/>
          <w:sz w:val="24"/>
          <w:szCs w:val="24"/>
        </w:rPr>
        <w:fldChar w:fldCharType="begin"/>
      </w:r>
      <w:r>
        <w:rPr>
          <w:rFonts w:hint="eastAsia" w:asciiTheme="minorEastAsia" w:hAnsiTheme="minorEastAsia" w:eastAsiaTheme="minorEastAsia" w:cstheme="minorEastAsia"/>
          <w:color w:val="auto"/>
          <w:sz w:val="24"/>
          <w:szCs w:val="24"/>
        </w:rPr>
        <w:instrText xml:space="preserve">TOC \o "1-3" \h \u </w:instrText>
      </w:r>
      <w:r>
        <w:rPr>
          <w:rFonts w:hint="eastAsia" w:asciiTheme="minorEastAsia" w:hAnsiTheme="minorEastAsia" w:eastAsiaTheme="minorEastAsia" w:cstheme="minorEastAsia"/>
          <w:color w:val="auto"/>
          <w:sz w:val="24"/>
          <w:szCs w:val="24"/>
        </w:rPr>
        <w:fldChar w:fldCharType="separate"/>
      </w:r>
      <w:r>
        <w:rPr>
          <w:color w:val="auto"/>
        </w:rPr>
        <w:fldChar w:fldCharType="begin"/>
      </w:r>
      <w:r>
        <w:rPr>
          <w:color w:val="auto"/>
        </w:rPr>
        <w:instrText xml:space="preserve"> HYPERLINK \l "_Toc144109129" </w:instrText>
      </w:r>
      <w:r>
        <w:rPr>
          <w:color w:val="auto"/>
        </w:rPr>
        <w:fldChar w:fldCharType="separate"/>
      </w:r>
      <w:r>
        <w:rPr>
          <w:rStyle w:val="36"/>
          <w:color w:val="auto"/>
          <w:sz w:val="24"/>
          <w:szCs w:val="24"/>
        </w:rPr>
        <w:t>1.编制说明</w:t>
      </w:r>
      <w:r>
        <w:rPr>
          <w:color w:val="auto"/>
          <w:sz w:val="24"/>
          <w:szCs w:val="24"/>
        </w:rPr>
        <w:tab/>
      </w:r>
      <w:r>
        <w:rPr>
          <w:color w:val="auto"/>
          <w:sz w:val="24"/>
          <w:szCs w:val="24"/>
        </w:rPr>
        <w:fldChar w:fldCharType="begin"/>
      </w:r>
      <w:r>
        <w:rPr>
          <w:color w:val="auto"/>
          <w:sz w:val="24"/>
          <w:szCs w:val="24"/>
        </w:rPr>
        <w:instrText xml:space="preserve"> PAGEREF _Toc144109129 \h </w:instrText>
      </w:r>
      <w:r>
        <w:rPr>
          <w:color w:val="auto"/>
          <w:sz w:val="24"/>
          <w:szCs w:val="24"/>
        </w:rPr>
        <w:fldChar w:fldCharType="separate"/>
      </w:r>
      <w:r>
        <w:rPr>
          <w:color w:val="auto"/>
          <w:sz w:val="24"/>
          <w:szCs w:val="24"/>
        </w:rPr>
        <w:t>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"_Toc144109130" </w:instrText>
      </w:r>
      <w:r>
        <w:rPr>
          <w:color w:val="auto"/>
        </w:rPr>
        <w:fldChar w:fldCharType="separate"/>
      </w:r>
      <w:r>
        <w:rPr>
          <w:rStyle w:val="36"/>
          <w:color w:val="auto"/>
          <w:sz w:val="24"/>
          <w:szCs w:val="24"/>
        </w:rPr>
        <w:t>1.1 评价目的</w:t>
      </w:r>
      <w:r>
        <w:rPr>
          <w:color w:val="auto"/>
          <w:sz w:val="24"/>
          <w:szCs w:val="24"/>
        </w:rPr>
        <w:tab/>
      </w:r>
      <w:r>
        <w:rPr>
          <w:color w:val="auto"/>
          <w:sz w:val="24"/>
          <w:szCs w:val="24"/>
        </w:rPr>
        <w:fldChar w:fldCharType="begin"/>
      </w:r>
      <w:r>
        <w:rPr>
          <w:color w:val="auto"/>
          <w:sz w:val="24"/>
          <w:szCs w:val="24"/>
        </w:rPr>
        <w:instrText xml:space="preserve"> PAGEREF _Toc144109130 \h </w:instrText>
      </w:r>
      <w:r>
        <w:rPr>
          <w:color w:val="auto"/>
          <w:sz w:val="24"/>
          <w:szCs w:val="24"/>
        </w:rPr>
        <w:fldChar w:fldCharType="separate"/>
      </w:r>
      <w:r>
        <w:rPr>
          <w:color w:val="auto"/>
          <w:sz w:val="24"/>
          <w:szCs w:val="24"/>
        </w:rPr>
        <w:t>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"_Toc144109131" </w:instrText>
      </w:r>
      <w:r>
        <w:rPr>
          <w:color w:val="auto"/>
        </w:rPr>
        <w:fldChar w:fldCharType="separate"/>
      </w:r>
      <w:r>
        <w:rPr>
          <w:rStyle w:val="36"/>
          <w:color w:val="auto"/>
          <w:sz w:val="24"/>
          <w:szCs w:val="24"/>
        </w:rPr>
        <w:t>1.2 评价原则</w:t>
      </w:r>
      <w:r>
        <w:rPr>
          <w:color w:val="auto"/>
          <w:sz w:val="24"/>
          <w:szCs w:val="24"/>
        </w:rPr>
        <w:tab/>
      </w:r>
      <w:r>
        <w:rPr>
          <w:color w:val="auto"/>
          <w:sz w:val="24"/>
          <w:szCs w:val="24"/>
        </w:rPr>
        <w:fldChar w:fldCharType="begin"/>
      </w:r>
      <w:r>
        <w:rPr>
          <w:color w:val="auto"/>
          <w:sz w:val="24"/>
          <w:szCs w:val="24"/>
        </w:rPr>
        <w:instrText xml:space="preserve"> PAGEREF _Toc144109131 \h </w:instrText>
      </w:r>
      <w:r>
        <w:rPr>
          <w:color w:val="auto"/>
          <w:sz w:val="24"/>
          <w:szCs w:val="24"/>
        </w:rPr>
        <w:fldChar w:fldCharType="separate"/>
      </w:r>
      <w:r>
        <w:rPr>
          <w:color w:val="auto"/>
          <w:sz w:val="24"/>
          <w:szCs w:val="24"/>
        </w:rPr>
        <w:t>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"_Toc144109132" </w:instrText>
      </w:r>
      <w:r>
        <w:rPr>
          <w:color w:val="auto"/>
        </w:rPr>
        <w:fldChar w:fldCharType="separate"/>
      </w:r>
      <w:r>
        <w:rPr>
          <w:rStyle w:val="36"/>
          <w:color w:val="auto"/>
          <w:sz w:val="24"/>
          <w:szCs w:val="24"/>
        </w:rPr>
        <w:t>1.3 前期准备情况</w:t>
      </w:r>
      <w:r>
        <w:rPr>
          <w:color w:val="auto"/>
          <w:sz w:val="24"/>
          <w:szCs w:val="24"/>
        </w:rPr>
        <w:tab/>
      </w:r>
      <w:r>
        <w:rPr>
          <w:color w:val="auto"/>
          <w:sz w:val="24"/>
          <w:szCs w:val="24"/>
        </w:rPr>
        <w:fldChar w:fldCharType="begin"/>
      </w:r>
      <w:r>
        <w:rPr>
          <w:color w:val="auto"/>
          <w:sz w:val="24"/>
          <w:szCs w:val="24"/>
        </w:rPr>
        <w:instrText xml:space="preserve"> PAGEREF _Toc144109132 \h </w:instrText>
      </w:r>
      <w:r>
        <w:rPr>
          <w:color w:val="auto"/>
          <w:sz w:val="24"/>
          <w:szCs w:val="24"/>
        </w:rPr>
        <w:fldChar w:fldCharType="separate"/>
      </w:r>
      <w:r>
        <w:rPr>
          <w:color w:val="auto"/>
          <w:sz w:val="24"/>
          <w:szCs w:val="24"/>
        </w:rPr>
        <w:t>2</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"_Toc144109133" </w:instrText>
      </w:r>
      <w:r>
        <w:rPr>
          <w:color w:val="auto"/>
        </w:rPr>
        <w:fldChar w:fldCharType="separate"/>
      </w:r>
      <w:r>
        <w:rPr>
          <w:rStyle w:val="36"/>
          <w:color w:val="auto"/>
          <w:sz w:val="24"/>
          <w:szCs w:val="24"/>
        </w:rPr>
        <w:t>1.4 评价对象和范围</w:t>
      </w:r>
      <w:r>
        <w:rPr>
          <w:color w:val="auto"/>
          <w:sz w:val="24"/>
          <w:szCs w:val="24"/>
        </w:rPr>
        <w:tab/>
      </w:r>
      <w:r>
        <w:rPr>
          <w:color w:val="auto"/>
          <w:sz w:val="24"/>
          <w:szCs w:val="24"/>
        </w:rPr>
        <w:fldChar w:fldCharType="begin"/>
      </w:r>
      <w:r>
        <w:rPr>
          <w:color w:val="auto"/>
          <w:sz w:val="24"/>
          <w:szCs w:val="24"/>
        </w:rPr>
        <w:instrText xml:space="preserve"> PAGEREF _Toc144109133 \h </w:instrText>
      </w:r>
      <w:r>
        <w:rPr>
          <w:color w:val="auto"/>
          <w:sz w:val="24"/>
          <w:szCs w:val="24"/>
        </w:rPr>
        <w:fldChar w:fldCharType="separate"/>
      </w:r>
      <w:r>
        <w:rPr>
          <w:color w:val="auto"/>
          <w:sz w:val="24"/>
          <w:szCs w:val="24"/>
        </w:rPr>
        <w:t>2</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"_Toc144109134" </w:instrText>
      </w:r>
      <w:r>
        <w:rPr>
          <w:color w:val="auto"/>
        </w:rPr>
        <w:fldChar w:fldCharType="separate"/>
      </w:r>
      <w:r>
        <w:rPr>
          <w:rStyle w:val="36"/>
          <w:color w:val="auto"/>
          <w:sz w:val="24"/>
          <w:szCs w:val="24"/>
        </w:rPr>
        <w:t>1.5 评价工作经过和程序</w:t>
      </w:r>
      <w:r>
        <w:rPr>
          <w:color w:val="auto"/>
          <w:sz w:val="24"/>
          <w:szCs w:val="24"/>
        </w:rPr>
        <w:tab/>
      </w:r>
      <w:r>
        <w:rPr>
          <w:color w:val="auto"/>
          <w:sz w:val="24"/>
          <w:szCs w:val="24"/>
        </w:rPr>
        <w:fldChar w:fldCharType="begin"/>
      </w:r>
      <w:r>
        <w:rPr>
          <w:color w:val="auto"/>
          <w:sz w:val="24"/>
          <w:szCs w:val="24"/>
        </w:rPr>
        <w:instrText xml:space="preserve"> PAGEREF _Toc144109134 \h </w:instrText>
      </w:r>
      <w:r>
        <w:rPr>
          <w:color w:val="auto"/>
          <w:sz w:val="24"/>
          <w:szCs w:val="24"/>
        </w:rPr>
        <w:fldChar w:fldCharType="separate"/>
      </w:r>
      <w:r>
        <w:rPr>
          <w:color w:val="auto"/>
          <w:sz w:val="24"/>
          <w:szCs w:val="24"/>
        </w:rPr>
        <w:t>3</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"_Toc144109135" </w:instrText>
      </w:r>
      <w:r>
        <w:rPr>
          <w:color w:val="auto"/>
        </w:rPr>
        <w:fldChar w:fldCharType="separate"/>
      </w:r>
      <w:r>
        <w:rPr>
          <w:rStyle w:val="36"/>
          <w:color w:val="auto"/>
          <w:sz w:val="24"/>
          <w:szCs w:val="24"/>
        </w:rPr>
        <w:t>2.建设项目概况</w:t>
      </w:r>
      <w:r>
        <w:rPr>
          <w:color w:val="auto"/>
          <w:sz w:val="24"/>
          <w:szCs w:val="24"/>
        </w:rPr>
        <w:tab/>
      </w:r>
      <w:r>
        <w:rPr>
          <w:color w:val="auto"/>
          <w:sz w:val="24"/>
          <w:szCs w:val="24"/>
        </w:rPr>
        <w:fldChar w:fldCharType="begin"/>
      </w:r>
      <w:r>
        <w:rPr>
          <w:color w:val="auto"/>
          <w:sz w:val="24"/>
          <w:szCs w:val="24"/>
        </w:rPr>
        <w:instrText xml:space="preserve"> PAGEREF _Toc144109135 \h </w:instrText>
      </w:r>
      <w:r>
        <w:rPr>
          <w:color w:val="auto"/>
          <w:sz w:val="24"/>
          <w:szCs w:val="24"/>
        </w:rPr>
        <w:fldChar w:fldCharType="separate"/>
      </w:r>
      <w:r>
        <w:rPr>
          <w:color w:val="auto"/>
          <w:sz w:val="24"/>
          <w:szCs w:val="24"/>
        </w:rPr>
        <w:t>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"_Toc144109136" </w:instrText>
      </w:r>
      <w:r>
        <w:rPr>
          <w:color w:val="auto"/>
        </w:rPr>
        <w:fldChar w:fldCharType="separate"/>
      </w:r>
      <w:r>
        <w:rPr>
          <w:rStyle w:val="36"/>
          <w:color w:val="auto"/>
          <w:sz w:val="24"/>
          <w:szCs w:val="24"/>
        </w:rPr>
        <w:t>2.1 企业简介及建设项目由来</w:t>
      </w:r>
      <w:r>
        <w:rPr>
          <w:color w:val="auto"/>
          <w:sz w:val="24"/>
          <w:szCs w:val="24"/>
        </w:rPr>
        <w:tab/>
      </w:r>
      <w:r>
        <w:rPr>
          <w:color w:val="auto"/>
          <w:sz w:val="24"/>
          <w:szCs w:val="24"/>
        </w:rPr>
        <w:fldChar w:fldCharType="begin"/>
      </w:r>
      <w:r>
        <w:rPr>
          <w:color w:val="auto"/>
          <w:sz w:val="24"/>
          <w:szCs w:val="24"/>
        </w:rPr>
        <w:instrText xml:space="preserve"> PAGEREF _Toc144109136 \h </w:instrText>
      </w:r>
      <w:r>
        <w:rPr>
          <w:color w:val="auto"/>
          <w:sz w:val="24"/>
          <w:szCs w:val="24"/>
        </w:rPr>
        <w:fldChar w:fldCharType="separate"/>
      </w:r>
      <w:r>
        <w:rPr>
          <w:color w:val="auto"/>
          <w:sz w:val="24"/>
          <w:szCs w:val="24"/>
        </w:rPr>
        <w:t>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"_Toc144109137" </w:instrText>
      </w:r>
      <w:r>
        <w:rPr>
          <w:color w:val="auto"/>
        </w:rPr>
        <w:fldChar w:fldCharType="separate"/>
      </w:r>
      <w:r>
        <w:rPr>
          <w:rStyle w:val="36"/>
          <w:color w:val="auto"/>
          <w:sz w:val="24"/>
          <w:szCs w:val="24"/>
        </w:rPr>
        <w:t>2.1.1 企业简介</w:t>
      </w:r>
      <w:r>
        <w:rPr>
          <w:color w:val="auto"/>
          <w:sz w:val="24"/>
          <w:szCs w:val="24"/>
        </w:rPr>
        <w:tab/>
      </w:r>
      <w:r>
        <w:rPr>
          <w:color w:val="auto"/>
          <w:sz w:val="24"/>
          <w:szCs w:val="24"/>
        </w:rPr>
        <w:fldChar w:fldCharType="begin"/>
      </w:r>
      <w:r>
        <w:rPr>
          <w:color w:val="auto"/>
          <w:sz w:val="24"/>
          <w:szCs w:val="24"/>
        </w:rPr>
        <w:instrText xml:space="preserve"> PAGEREF _Toc144109137 \h </w:instrText>
      </w:r>
      <w:r>
        <w:rPr>
          <w:color w:val="auto"/>
          <w:sz w:val="24"/>
          <w:szCs w:val="24"/>
        </w:rPr>
        <w:fldChar w:fldCharType="separate"/>
      </w:r>
      <w:r>
        <w:rPr>
          <w:color w:val="auto"/>
          <w:sz w:val="24"/>
          <w:szCs w:val="24"/>
        </w:rPr>
        <w:t>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"_Toc144109138" </w:instrText>
      </w:r>
      <w:r>
        <w:rPr>
          <w:color w:val="auto"/>
        </w:rPr>
        <w:fldChar w:fldCharType="separate"/>
      </w:r>
      <w:r>
        <w:rPr>
          <w:rStyle w:val="36"/>
          <w:color w:val="auto"/>
          <w:sz w:val="24"/>
          <w:szCs w:val="24"/>
        </w:rPr>
        <w:t>2.1.2 项目由来</w:t>
      </w:r>
      <w:r>
        <w:rPr>
          <w:color w:val="auto"/>
          <w:sz w:val="24"/>
          <w:szCs w:val="24"/>
        </w:rPr>
        <w:tab/>
      </w:r>
      <w:r>
        <w:rPr>
          <w:color w:val="auto"/>
          <w:sz w:val="24"/>
          <w:szCs w:val="24"/>
        </w:rPr>
        <w:fldChar w:fldCharType="begin"/>
      </w:r>
      <w:r>
        <w:rPr>
          <w:color w:val="auto"/>
          <w:sz w:val="24"/>
          <w:szCs w:val="24"/>
        </w:rPr>
        <w:instrText xml:space="preserve"> PAGEREF _Toc144109138 \h </w:instrText>
      </w:r>
      <w:r>
        <w:rPr>
          <w:color w:val="auto"/>
          <w:sz w:val="24"/>
          <w:szCs w:val="24"/>
        </w:rPr>
        <w:fldChar w:fldCharType="separate"/>
      </w:r>
      <w:r>
        <w:rPr>
          <w:color w:val="auto"/>
          <w:sz w:val="24"/>
          <w:szCs w:val="24"/>
        </w:rPr>
        <w:t>6</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"_Toc144109139" </w:instrText>
      </w:r>
      <w:r>
        <w:rPr>
          <w:color w:val="auto"/>
        </w:rPr>
        <w:fldChar w:fldCharType="separate"/>
      </w:r>
      <w:r>
        <w:rPr>
          <w:rStyle w:val="36"/>
          <w:color w:val="auto"/>
          <w:sz w:val="24"/>
          <w:szCs w:val="24"/>
        </w:rPr>
        <w:t>2.2 项目基本情况</w:t>
      </w:r>
      <w:r>
        <w:rPr>
          <w:color w:val="auto"/>
          <w:sz w:val="24"/>
          <w:szCs w:val="24"/>
        </w:rPr>
        <w:tab/>
      </w:r>
      <w:r>
        <w:rPr>
          <w:color w:val="auto"/>
          <w:sz w:val="24"/>
          <w:szCs w:val="24"/>
        </w:rPr>
        <w:fldChar w:fldCharType="begin"/>
      </w:r>
      <w:r>
        <w:rPr>
          <w:color w:val="auto"/>
          <w:sz w:val="24"/>
          <w:szCs w:val="24"/>
        </w:rPr>
        <w:instrText xml:space="preserve"> PAGEREF _Toc144109139 \h </w:instrText>
      </w:r>
      <w:r>
        <w:rPr>
          <w:color w:val="auto"/>
          <w:sz w:val="24"/>
          <w:szCs w:val="24"/>
        </w:rPr>
        <w:fldChar w:fldCharType="separate"/>
      </w:r>
      <w:r>
        <w:rPr>
          <w:color w:val="auto"/>
          <w:sz w:val="24"/>
          <w:szCs w:val="24"/>
        </w:rPr>
        <w:t>6</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"_Toc144109140" </w:instrText>
      </w:r>
      <w:r>
        <w:rPr>
          <w:color w:val="auto"/>
        </w:rPr>
        <w:fldChar w:fldCharType="separate"/>
      </w:r>
      <w:r>
        <w:rPr>
          <w:rStyle w:val="36"/>
          <w:color w:val="auto"/>
          <w:sz w:val="24"/>
          <w:szCs w:val="24"/>
        </w:rPr>
        <w:t>2.2.1 建设项目所在的地理位置及周边环境</w:t>
      </w:r>
      <w:r>
        <w:rPr>
          <w:color w:val="auto"/>
          <w:sz w:val="24"/>
          <w:szCs w:val="24"/>
        </w:rPr>
        <w:tab/>
      </w:r>
      <w:r>
        <w:rPr>
          <w:color w:val="auto"/>
          <w:sz w:val="24"/>
          <w:szCs w:val="24"/>
        </w:rPr>
        <w:fldChar w:fldCharType="begin"/>
      </w:r>
      <w:r>
        <w:rPr>
          <w:color w:val="auto"/>
          <w:sz w:val="24"/>
          <w:szCs w:val="24"/>
        </w:rPr>
        <w:instrText xml:space="preserve"> PAGEREF _Toc144109140 \h </w:instrText>
      </w:r>
      <w:r>
        <w:rPr>
          <w:color w:val="auto"/>
          <w:sz w:val="24"/>
          <w:szCs w:val="24"/>
        </w:rPr>
        <w:fldChar w:fldCharType="separate"/>
      </w:r>
      <w:r>
        <w:rPr>
          <w:color w:val="auto"/>
          <w:sz w:val="24"/>
          <w:szCs w:val="24"/>
        </w:rPr>
        <w:t>10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"_Toc144109141" </w:instrText>
      </w:r>
      <w:r>
        <w:rPr>
          <w:color w:val="auto"/>
        </w:rPr>
        <w:fldChar w:fldCharType="separate"/>
      </w:r>
      <w:r>
        <w:rPr>
          <w:rStyle w:val="36"/>
          <w:color w:val="auto"/>
          <w:sz w:val="24"/>
          <w:szCs w:val="24"/>
        </w:rPr>
        <w:t>2.2.2 建设项目拟采用的主要技术、工艺方法（方式）和国内外同类建设项目水平对比情况</w:t>
      </w:r>
      <w:r>
        <w:rPr>
          <w:color w:val="auto"/>
          <w:sz w:val="24"/>
          <w:szCs w:val="24"/>
        </w:rPr>
        <w:tab/>
      </w:r>
      <w:r>
        <w:rPr>
          <w:color w:val="auto"/>
          <w:sz w:val="24"/>
          <w:szCs w:val="24"/>
        </w:rPr>
        <w:fldChar w:fldCharType="begin"/>
      </w:r>
      <w:r>
        <w:rPr>
          <w:color w:val="auto"/>
          <w:sz w:val="24"/>
          <w:szCs w:val="24"/>
        </w:rPr>
        <w:instrText xml:space="preserve"> PAGEREF _Toc144109141 \h </w:instrText>
      </w:r>
      <w:r>
        <w:rPr>
          <w:color w:val="auto"/>
          <w:sz w:val="24"/>
          <w:szCs w:val="24"/>
        </w:rPr>
        <w:fldChar w:fldCharType="separate"/>
      </w:r>
      <w:r>
        <w:rPr>
          <w:color w:val="auto"/>
          <w:sz w:val="24"/>
          <w:szCs w:val="24"/>
        </w:rPr>
        <w:t>15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"_Toc144109142" </w:instrText>
      </w:r>
      <w:r>
        <w:rPr>
          <w:color w:val="auto"/>
        </w:rPr>
        <w:fldChar w:fldCharType="separate"/>
      </w:r>
      <w:r>
        <w:rPr>
          <w:rStyle w:val="36"/>
          <w:color w:val="auto"/>
          <w:sz w:val="24"/>
          <w:szCs w:val="24"/>
        </w:rPr>
        <w:t>2.2.3 上下游生产装置及与现有及在建生产装置间的关系</w:t>
      </w:r>
      <w:r>
        <w:rPr>
          <w:color w:val="auto"/>
          <w:sz w:val="24"/>
          <w:szCs w:val="24"/>
        </w:rPr>
        <w:tab/>
      </w:r>
      <w:r>
        <w:rPr>
          <w:color w:val="auto"/>
          <w:sz w:val="24"/>
          <w:szCs w:val="24"/>
        </w:rPr>
        <w:fldChar w:fldCharType="begin"/>
      </w:r>
      <w:r>
        <w:rPr>
          <w:color w:val="auto"/>
          <w:sz w:val="24"/>
          <w:szCs w:val="24"/>
        </w:rPr>
        <w:instrText xml:space="preserve"> PAGEREF _Toc144109142 \h </w:instrText>
      </w:r>
      <w:r>
        <w:rPr>
          <w:color w:val="auto"/>
          <w:sz w:val="24"/>
          <w:szCs w:val="24"/>
        </w:rPr>
        <w:fldChar w:fldCharType="separate"/>
      </w:r>
      <w:r>
        <w:rPr>
          <w:color w:val="auto"/>
          <w:sz w:val="24"/>
          <w:szCs w:val="24"/>
        </w:rPr>
        <w:t>18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"_Toc144109143" </w:instrText>
      </w:r>
      <w:r>
        <w:rPr>
          <w:color w:val="auto"/>
        </w:rPr>
        <w:fldChar w:fldCharType="separate"/>
      </w:r>
      <w:r>
        <w:rPr>
          <w:rStyle w:val="36"/>
          <w:color w:val="auto"/>
          <w:sz w:val="24"/>
          <w:szCs w:val="24"/>
        </w:rPr>
        <w:t>2.3 建设项目的产品和原辅材料</w:t>
      </w:r>
      <w:r>
        <w:rPr>
          <w:color w:val="auto"/>
          <w:sz w:val="24"/>
          <w:szCs w:val="24"/>
        </w:rPr>
        <w:tab/>
      </w:r>
      <w:r>
        <w:rPr>
          <w:color w:val="auto"/>
          <w:sz w:val="24"/>
          <w:szCs w:val="24"/>
        </w:rPr>
        <w:fldChar w:fldCharType="begin"/>
      </w:r>
      <w:r>
        <w:rPr>
          <w:color w:val="auto"/>
          <w:sz w:val="24"/>
          <w:szCs w:val="24"/>
        </w:rPr>
        <w:instrText xml:space="preserve"> PAGEREF _Toc144109143 \h </w:instrText>
      </w:r>
      <w:r>
        <w:rPr>
          <w:color w:val="auto"/>
          <w:sz w:val="24"/>
          <w:szCs w:val="24"/>
        </w:rPr>
        <w:fldChar w:fldCharType="separate"/>
      </w:r>
      <w:r>
        <w:rPr>
          <w:color w:val="auto"/>
          <w:sz w:val="24"/>
          <w:szCs w:val="24"/>
        </w:rPr>
        <w:t>20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"_Toc144109144" </w:instrText>
      </w:r>
      <w:r>
        <w:rPr>
          <w:color w:val="auto"/>
        </w:rPr>
        <w:fldChar w:fldCharType="separate"/>
      </w:r>
      <w:r>
        <w:rPr>
          <w:rStyle w:val="36"/>
          <w:color w:val="auto"/>
          <w:sz w:val="24"/>
          <w:szCs w:val="24"/>
        </w:rPr>
        <w:t>2.3.1 原辅材料</w:t>
      </w:r>
      <w:r>
        <w:rPr>
          <w:color w:val="auto"/>
          <w:sz w:val="24"/>
          <w:szCs w:val="24"/>
        </w:rPr>
        <w:tab/>
      </w:r>
      <w:r>
        <w:rPr>
          <w:color w:val="auto"/>
          <w:sz w:val="24"/>
          <w:szCs w:val="24"/>
        </w:rPr>
        <w:fldChar w:fldCharType="begin"/>
      </w:r>
      <w:r>
        <w:rPr>
          <w:color w:val="auto"/>
          <w:sz w:val="24"/>
          <w:szCs w:val="24"/>
        </w:rPr>
        <w:instrText xml:space="preserve"> PAGEREF _Toc144109144 \h </w:instrText>
      </w:r>
      <w:r>
        <w:rPr>
          <w:color w:val="auto"/>
          <w:sz w:val="24"/>
          <w:szCs w:val="24"/>
        </w:rPr>
        <w:fldChar w:fldCharType="separate"/>
      </w:r>
      <w:r>
        <w:rPr>
          <w:color w:val="auto"/>
          <w:sz w:val="24"/>
          <w:szCs w:val="24"/>
        </w:rPr>
        <w:t>20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"_Toc144109145" </w:instrText>
      </w:r>
      <w:r>
        <w:rPr>
          <w:color w:val="auto"/>
        </w:rPr>
        <w:fldChar w:fldCharType="separate"/>
      </w:r>
      <w:r>
        <w:rPr>
          <w:rStyle w:val="36"/>
          <w:color w:val="auto"/>
          <w:sz w:val="24"/>
          <w:szCs w:val="24"/>
        </w:rPr>
        <w:t>2.3.2 产品性状与质量指标</w:t>
      </w:r>
      <w:r>
        <w:rPr>
          <w:color w:val="auto"/>
          <w:sz w:val="24"/>
          <w:szCs w:val="24"/>
        </w:rPr>
        <w:tab/>
      </w:r>
      <w:r>
        <w:rPr>
          <w:color w:val="auto"/>
          <w:sz w:val="24"/>
          <w:szCs w:val="24"/>
        </w:rPr>
        <w:fldChar w:fldCharType="begin"/>
      </w:r>
      <w:r>
        <w:rPr>
          <w:color w:val="auto"/>
          <w:sz w:val="24"/>
          <w:szCs w:val="24"/>
        </w:rPr>
        <w:instrText xml:space="preserve"> PAGEREF _Toc144109145 \h </w:instrText>
      </w:r>
      <w:r>
        <w:rPr>
          <w:color w:val="auto"/>
          <w:sz w:val="24"/>
          <w:szCs w:val="24"/>
        </w:rPr>
        <w:fldChar w:fldCharType="separate"/>
      </w:r>
      <w:r>
        <w:rPr>
          <w:color w:val="auto"/>
          <w:sz w:val="24"/>
          <w:szCs w:val="24"/>
        </w:rPr>
        <w:t>24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"_Toc144109146" </w:instrText>
      </w:r>
      <w:r>
        <w:rPr>
          <w:color w:val="auto"/>
        </w:rPr>
        <w:fldChar w:fldCharType="separate"/>
      </w:r>
      <w:r>
        <w:rPr>
          <w:rStyle w:val="36"/>
          <w:color w:val="auto"/>
          <w:sz w:val="24"/>
          <w:szCs w:val="24"/>
        </w:rPr>
        <w:t>2.3.3 储运</w:t>
      </w:r>
      <w:r>
        <w:rPr>
          <w:color w:val="auto"/>
          <w:sz w:val="24"/>
          <w:szCs w:val="24"/>
        </w:rPr>
        <w:tab/>
      </w:r>
      <w:r>
        <w:rPr>
          <w:color w:val="auto"/>
          <w:sz w:val="24"/>
          <w:szCs w:val="24"/>
        </w:rPr>
        <w:fldChar w:fldCharType="begin"/>
      </w:r>
      <w:r>
        <w:rPr>
          <w:color w:val="auto"/>
          <w:sz w:val="24"/>
          <w:szCs w:val="24"/>
        </w:rPr>
        <w:instrText xml:space="preserve"> PAGEREF _Toc144109146 \h </w:instrText>
      </w:r>
      <w:r>
        <w:rPr>
          <w:color w:val="auto"/>
          <w:sz w:val="24"/>
          <w:szCs w:val="24"/>
        </w:rPr>
        <w:fldChar w:fldCharType="separate"/>
      </w:r>
      <w:r>
        <w:rPr>
          <w:color w:val="auto"/>
          <w:sz w:val="24"/>
          <w:szCs w:val="24"/>
        </w:rPr>
        <w:t>28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"_Toc144109147" </w:instrText>
      </w:r>
      <w:r>
        <w:rPr>
          <w:color w:val="auto"/>
        </w:rPr>
        <w:fldChar w:fldCharType="separate"/>
      </w:r>
      <w:r>
        <w:rPr>
          <w:rStyle w:val="36"/>
          <w:color w:val="auto"/>
          <w:sz w:val="24"/>
          <w:szCs w:val="24"/>
        </w:rPr>
        <w:t>2.4 建设项目选择的工艺流程</w:t>
      </w:r>
      <w:r>
        <w:rPr>
          <w:color w:val="auto"/>
          <w:sz w:val="24"/>
          <w:szCs w:val="24"/>
        </w:rPr>
        <w:tab/>
      </w:r>
      <w:r>
        <w:rPr>
          <w:color w:val="auto"/>
          <w:sz w:val="24"/>
          <w:szCs w:val="24"/>
        </w:rPr>
        <w:fldChar w:fldCharType="begin"/>
      </w:r>
      <w:r>
        <w:rPr>
          <w:color w:val="auto"/>
          <w:sz w:val="24"/>
          <w:szCs w:val="24"/>
        </w:rPr>
        <w:instrText xml:space="preserve"> PAGEREF _Toc144109147 \h </w:instrText>
      </w:r>
      <w:r>
        <w:rPr>
          <w:color w:val="auto"/>
          <w:sz w:val="24"/>
          <w:szCs w:val="24"/>
        </w:rPr>
        <w:fldChar w:fldCharType="separate"/>
      </w:r>
      <w:r>
        <w:rPr>
          <w:color w:val="auto"/>
          <w:sz w:val="24"/>
          <w:szCs w:val="24"/>
        </w:rPr>
        <w:t>31</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"_Toc144109148" </w:instrText>
      </w:r>
      <w:r>
        <w:rPr>
          <w:color w:val="auto"/>
        </w:rPr>
        <w:fldChar w:fldCharType="separate"/>
      </w:r>
      <w:r>
        <w:rPr>
          <w:rStyle w:val="36"/>
          <w:color w:val="auto"/>
          <w:sz w:val="24"/>
          <w:szCs w:val="24"/>
        </w:rPr>
        <w:t>2.4.1 建设项目选择的主要工艺流程</w:t>
      </w:r>
      <w:r>
        <w:rPr>
          <w:color w:val="auto"/>
          <w:sz w:val="24"/>
          <w:szCs w:val="24"/>
        </w:rPr>
        <w:tab/>
      </w:r>
      <w:r>
        <w:rPr>
          <w:color w:val="auto"/>
          <w:sz w:val="24"/>
          <w:szCs w:val="24"/>
        </w:rPr>
        <w:fldChar w:fldCharType="begin"/>
      </w:r>
      <w:r>
        <w:rPr>
          <w:color w:val="auto"/>
          <w:sz w:val="24"/>
          <w:szCs w:val="24"/>
        </w:rPr>
        <w:instrText xml:space="preserve"> PAGEREF _Toc144109148 \h </w:instrText>
      </w:r>
      <w:r>
        <w:rPr>
          <w:color w:val="auto"/>
          <w:sz w:val="24"/>
          <w:szCs w:val="24"/>
        </w:rPr>
        <w:fldChar w:fldCharType="separate"/>
      </w:r>
      <w:r>
        <w:rPr>
          <w:color w:val="auto"/>
          <w:sz w:val="24"/>
          <w:szCs w:val="24"/>
        </w:rPr>
        <w:t>31</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"_Toc144109149" </w:instrText>
      </w:r>
      <w:r>
        <w:rPr>
          <w:color w:val="auto"/>
        </w:rPr>
        <w:fldChar w:fldCharType="separate"/>
      </w:r>
      <w:r>
        <w:rPr>
          <w:rStyle w:val="36"/>
          <w:color w:val="auto"/>
          <w:sz w:val="24"/>
          <w:szCs w:val="24"/>
        </w:rPr>
        <w:t>2.4.2 仪表及自动控制系统</w:t>
      </w:r>
      <w:r>
        <w:rPr>
          <w:color w:val="auto"/>
          <w:sz w:val="24"/>
          <w:szCs w:val="24"/>
        </w:rPr>
        <w:tab/>
      </w:r>
      <w:r>
        <w:rPr>
          <w:color w:val="auto"/>
          <w:sz w:val="24"/>
          <w:szCs w:val="24"/>
        </w:rPr>
        <w:fldChar w:fldCharType="begin"/>
      </w:r>
      <w:r>
        <w:rPr>
          <w:color w:val="auto"/>
          <w:sz w:val="24"/>
          <w:szCs w:val="24"/>
        </w:rPr>
        <w:instrText xml:space="preserve"> PAGEREF _Toc144109149 \h </w:instrText>
      </w:r>
      <w:r>
        <w:rPr>
          <w:color w:val="auto"/>
          <w:sz w:val="24"/>
          <w:szCs w:val="24"/>
        </w:rPr>
        <w:fldChar w:fldCharType="separate"/>
      </w:r>
      <w:r>
        <w:rPr>
          <w:color w:val="auto"/>
          <w:sz w:val="24"/>
          <w:szCs w:val="24"/>
        </w:rPr>
        <w:t>69</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"_Toc144109150" </w:instrText>
      </w:r>
      <w:r>
        <w:rPr>
          <w:color w:val="auto"/>
        </w:rPr>
        <w:fldChar w:fldCharType="separate"/>
      </w:r>
      <w:r>
        <w:rPr>
          <w:rStyle w:val="36"/>
          <w:color w:val="auto"/>
          <w:sz w:val="24"/>
          <w:szCs w:val="24"/>
        </w:rPr>
        <w:t>2.5 主要装置（设备）和设施的布局、道路运输</w:t>
      </w:r>
      <w:r>
        <w:rPr>
          <w:color w:val="auto"/>
          <w:sz w:val="24"/>
          <w:szCs w:val="24"/>
        </w:rPr>
        <w:tab/>
      </w:r>
      <w:r>
        <w:rPr>
          <w:color w:val="auto"/>
          <w:sz w:val="24"/>
          <w:szCs w:val="24"/>
        </w:rPr>
        <w:fldChar w:fldCharType="begin"/>
      </w:r>
      <w:r>
        <w:rPr>
          <w:color w:val="auto"/>
          <w:sz w:val="24"/>
          <w:szCs w:val="24"/>
        </w:rPr>
        <w:instrText xml:space="preserve"> PAGEREF _Toc144109150 \h </w:instrText>
      </w:r>
      <w:r>
        <w:rPr>
          <w:color w:val="auto"/>
          <w:sz w:val="24"/>
          <w:szCs w:val="24"/>
        </w:rPr>
        <w:fldChar w:fldCharType="separate"/>
      </w:r>
      <w:r>
        <w:rPr>
          <w:color w:val="auto"/>
          <w:sz w:val="24"/>
          <w:szCs w:val="24"/>
        </w:rPr>
        <w:t>73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"_Toc144109151" </w:instrText>
      </w:r>
      <w:r>
        <w:rPr>
          <w:color w:val="auto"/>
        </w:rPr>
        <w:fldChar w:fldCharType="separate"/>
      </w:r>
      <w:r>
        <w:rPr>
          <w:rStyle w:val="36"/>
          <w:color w:val="auto"/>
          <w:sz w:val="24"/>
          <w:szCs w:val="24"/>
        </w:rPr>
        <w:t>2.5.1 平面布置</w:t>
      </w:r>
      <w:r>
        <w:rPr>
          <w:color w:val="auto"/>
          <w:sz w:val="24"/>
          <w:szCs w:val="24"/>
        </w:rPr>
        <w:tab/>
      </w:r>
      <w:r>
        <w:rPr>
          <w:color w:val="auto"/>
          <w:sz w:val="24"/>
          <w:szCs w:val="24"/>
        </w:rPr>
        <w:fldChar w:fldCharType="begin"/>
      </w:r>
      <w:r>
        <w:rPr>
          <w:color w:val="auto"/>
          <w:sz w:val="24"/>
          <w:szCs w:val="24"/>
        </w:rPr>
        <w:instrText xml:space="preserve"> PAGEREF _Toc144109151 \h </w:instrText>
      </w:r>
      <w:r>
        <w:rPr>
          <w:color w:val="auto"/>
          <w:sz w:val="24"/>
          <w:szCs w:val="24"/>
        </w:rPr>
        <w:fldChar w:fldCharType="separate"/>
      </w:r>
      <w:r>
        <w:rPr>
          <w:color w:val="auto"/>
          <w:sz w:val="24"/>
          <w:szCs w:val="24"/>
        </w:rPr>
        <w:t>73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"_Toc144109152" </w:instrText>
      </w:r>
      <w:r>
        <w:rPr>
          <w:color w:val="auto"/>
        </w:rPr>
        <w:fldChar w:fldCharType="separate"/>
      </w:r>
      <w:r>
        <w:rPr>
          <w:rStyle w:val="36"/>
          <w:color w:val="auto"/>
          <w:sz w:val="24"/>
          <w:szCs w:val="24"/>
        </w:rPr>
        <w:t>2.5.2 竖向设计</w:t>
      </w:r>
      <w:r>
        <w:rPr>
          <w:color w:val="auto"/>
          <w:sz w:val="24"/>
          <w:szCs w:val="24"/>
        </w:rPr>
        <w:tab/>
      </w:r>
      <w:r>
        <w:rPr>
          <w:color w:val="auto"/>
          <w:sz w:val="24"/>
          <w:szCs w:val="24"/>
        </w:rPr>
        <w:fldChar w:fldCharType="begin"/>
      </w:r>
      <w:r>
        <w:rPr>
          <w:color w:val="auto"/>
          <w:sz w:val="24"/>
          <w:szCs w:val="24"/>
        </w:rPr>
        <w:instrText xml:space="preserve"> PAGEREF _Toc144109152 \h </w:instrText>
      </w:r>
      <w:r>
        <w:rPr>
          <w:color w:val="auto"/>
          <w:sz w:val="24"/>
          <w:szCs w:val="24"/>
        </w:rPr>
        <w:fldChar w:fldCharType="separate"/>
      </w:r>
      <w:r>
        <w:rPr>
          <w:color w:val="auto"/>
          <w:sz w:val="24"/>
          <w:szCs w:val="24"/>
        </w:rPr>
        <w:t>74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"_Toc144109153" </w:instrText>
      </w:r>
      <w:r>
        <w:rPr>
          <w:color w:val="auto"/>
        </w:rPr>
        <w:fldChar w:fldCharType="separate"/>
      </w:r>
      <w:r>
        <w:rPr>
          <w:rStyle w:val="36"/>
          <w:color w:val="auto"/>
          <w:sz w:val="24"/>
          <w:szCs w:val="24"/>
        </w:rPr>
        <w:t>2.5.3 厂区防护和绿化</w:t>
      </w:r>
      <w:r>
        <w:rPr>
          <w:color w:val="auto"/>
          <w:sz w:val="24"/>
          <w:szCs w:val="24"/>
        </w:rPr>
        <w:tab/>
      </w:r>
      <w:r>
        <w:rPr>
          <w:color w:val="auto"/>
          <w:sz w:val="24"/>
          <w:szCs w:val="24"/>
        </w:rPr>
        <w:fldChar w:fldCharType="begin"/>
      </w:r>
      <w:r>
        <w:rPr>
          <w:color w:val="auto"/>
          <w:sz w:val="24"/>
          <w:szCs w:val="24"/>
        </w:rPr>
        <w:instrText xml:space="preserve"> PAGEREF _Toc144109153 \h </w:instrText>
      </w:r>
      <w:r>
        <w:rPr>
          <w:color w:val="auto"/>
          <w:sz w:val="24"/>
          <w:szCs w:val="24"/>
        </w:rPr>
        <w:fldChar w:fldCharType="separate"/>
      </w:r>
      <w:r>
        <w:rPr>
          <w:color w:val="auto"/>
          <w:sz w:val="24"/>
          <w:szCs w:val="24"/>
        </w:rPr>
        <w:t>75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"_Toc144109154" </w:instrText>
      </w:r>
      <w:r>
        <w:rPr>
          <w:color w:val="auto"/>
        </w:rPr>
        <w:fldChar w:fldCharType="separate"/>
      </w:r>
      <w:r>
        <w:rPr>
          <w:rStyle w:val="36"/>
          <w:color w:val="auto"/>
          <w:sz w:val="24"/>
          <w:szCs w:val="24"/>
        </w:rPr>
        <w:t>2.5.4 道路及场地</w:t>
      </w:r>
      <w:r>
        <w:rPr>
          <w:color w:val="auto"/>
          <w:sz w:val="24"/>
          <w:szCs w:val="24"/>
        </w:rPr>
        <w:tab/>
      </w:r>
      <w:r>
        <w:rPr>
          <w:color w:val="auto"/>
          <w:sz w:val="24"/>
          <w:szCs w:val="24"/>
        </w:rPr>
        <w:fldChar w:fldCharType="begin"/>
      </w:r>
      <w:r>
        <w:rPr>
          <w:color w:val="auto"/>
          <w:sz w:val="24"/>
          <w:szCs w:val="24"/>
        </w:rPr>
        <w:instrText xml:space="preserve"> PAGEREF _Toc144109154 \h </w:instrText>
      </w:r>
      <w:r>
        <w:rPr>
          <w:color w:val="auto"/>
          <w:sz w:val="24"/>
          <w:szCs w:val="24"/>
        </w:rPr>
        <w:fldChar w:fldCharType="separate"/>
      </w:r>
      <w:r>
        <w:rPr>
          <w:color w:val="auto"/>
          <w:sz w:val="24"/>
          <w:szCs w:val="24"/>
        </w:rPr>
        <w:t>75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"_Toc144109155" </w:instrText>
      </w:r>
      <w:r>
        <w:rPr>
          <w:color w:val="auto"/>
        </w:rPr>
        <w:fldChar w:fldCharType="separate"/>
      </w:r>
      <w:r>
        <w:rPr>
          <w:rStyle w:val="36"/>
          <w:color w:val="auto"/>
          <w:sz w:val="24"/>
          <w:szCs w:val="24"/>
        </w:rPr>
        <w:t>2.6 主要建（构）物及防火间距</w:t>
      </w:r>
      <w:r>
        <w:rPr>
          <w:color w:val="auto"/>
          <w:sz w:val="24"/>
          <w:szCs w:val="24"/>
        </w:rPr>
        <w:tab/>
      </w:r>
      <w:r>
        <w:rPr>
          <w:color w:val="auto"/>
          <w:sz w:val="24"/>
          <w:szCs w:val="24"/>
        </w:rPr>
        <w:fldChar w:fldCharType="begin"/>
      </w:r>
      <w:r>
        <w:rPr>
          <w:color w:val="auto"/>
          <w:sz w:val="24"/>
          <w:szCs w:val="24"/>
        </w:rPr>
        <w:instrText xml:space="preserve"> PAGEREF _Toc144109155 \h </w:instrText>
      </w:r>
      <w:r>
        <w:rPr>
          <w:color w:val="auto"/>
          <w:sz w:val="24"/>
          <w:szCs w:val="24"/>
        </w:rPr>
        <w:fldChar w:fldCharType="separate"/>
      </w:r>
      <w:r>
        <w:rPr>
          <w:color w:val="auto"/>
          <w:sz w:val="24"/>
          <w:szCs w:val="24"/>
        </w:rPr>
        <w:t>75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"_Toc144109156" </w:instrText>
      </w:r>
      <w:r>
        <w:rPr>
          <w:color w:val="auto"/>
        </w:rPr>
        <w:fldChar w:fldCharType="separate"/>
      </w:r>
      <w:r>
        <w:rPr>
          <w:rStyle w:val="36"/>
          <w:color w:val="auto"/>
          <w:sz w:val="24"/>
          <w:szCs w:val="24"/>
        </w:rPr>
        <w:t>2.7 公用辅助工程</w:t>
      </w:r>
      <w:r>
        <w:rPr>
          <w:color w:val="auto"/>
          <w:sz w:val="24"/>
          <w:szCs w:val="24"/>
        </w:rPr>
        <w:tab/>
      </w:r>
      <w:r>
        <w:rPr>
          <w:color w:val="auto"/>
          <w:sz w:val="24"/>
          <w:szCs w:val="24"/>
        </w:rPr>
        <w:fldChar w:fldCharType="begin"/>
      </w:r>
      <w:r>
        <w:rPr>
          <w:color w:val="auto"/>
          <w:sz w:val="24"/>
          <w:szCs w:val="24"/>
        </w:rPr>
        <w:instrText xml:space="preserve"> PAGEREF _Toc144109156 \h </w:instrText>
      </w:r>
      <w:r>
        <w:rPr>
          <w:color w:val="auto"/>
          <w:sz w:val="24"/>
          <w:szCs w:val="24"/>
        </w:rPr>
        <w:fldChar w:fldCharType="separate"/>
      </w:r>
      <w:r>
        <w:rPr>
          <w:color w:val="auto"/>
          <w:sz w:val="24"/>
          <w:szCs w:val="24"/>
        </w:rPr>
        <w:t>79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"_Toc144109157" </w:instrText>
      </w:r>
      <w:r>
        <w:rPr>
          <w:color w:val="auto"/>
        </w:rPr>
        <w:fldChar w:fldCharType="separate"/>
      </w:r>
      <w:r>
        <w:rPr>
          <w:rStyle w:val="36"/>
          <w:color w:val="auto"/>
          <w:sz w:val="24"/>
          <w:szCs w:val="24"/>
        </w:rPr>
        <w:t>2.7.1 供配电</w:t>
      </w:r>
      <w:r>
        <w:rPr>
          <w:color w:val="auto"/>
          <w:sz w:val="24"/>
          <w:szCs w:val="24"/>
        </w:rPr>
        <w:tab/>
      </w:r>
      <w:r>
        <w:rPr>
          <w:color w:val="auto"/>
          <w:sz w:val="24"/>
          <w:szCs w:val="24"/>
        </w:rPr>
        <w:fldChar w:fldCharType="begin"/>
      </w:r>
      <w:r>
        <w:rPr>
          <w:color w:val="auto"/>
          <w:sz w:val="24"/>
          <w:szCs w:val="24"/>
        </w:rPr>
        <w:instrText xml:space="preserve"> PAGEREF _Toc144109157 \h </w:instrText>
      </w:r>
      <w:r>
        <w:rPr>
          <w:color w:val="auto"/>
          <w:sz w:val="24"/>
          <w:szCs w:val="24"/>
        </w:rPr>
        <w:fldChar w:fldCharType="separate"/>
      </w:r>
      <w:r>
        <w:rPr>
          <w:color w:val="auto"/>
          <w:sz w:val="24"/>
          <w:szCs w:val="24"/>
        </w:rPr>
        <w:t>79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"_Toc144109158" </w:instrText>
      </w:r>
      <w:r>
        <w:rPr>
          <w:color w:val="auto"/>
        </w:rPr>
        <w:fldChar w:fldCharType="separate"/>
      </w:r>
      <w:r>
        <w:rPr>
          <w:rStyle w:val="36"/>
          <w:color w:val="auto"/>
          <w:sz w:val="24"/>
          <w:szCs w:val="24"/>
        </w:rPr>
        <w:t>2.7.2 给排水</w:t>
      </w:r>
      <w:r>
        <w:rPr>
          <w:color w:val="auto"/>
          <w:sz w:val="24"/>
          <w:szCs w:val="24"/>
        </w:rPr>
        <w:tab/>
      </w:r>
      <w:r>
        <w:rPr>
          <w:color w:val="auto"/>
          <w:sz w:val="24"/>
          <w:szCs w:val="24"/>
        </w:rPr>
        <w:fldChar w:fldCharType="begin"/>
      </w:r>
      <w:r>
        <w:rPr>
          <w:color w:val="auto"/>
          <w:sz w:val="24"/>
          <w:szCs w:val="24"/>
        </w:rPr>
        <w:instrText xml:space="preserve"> PAGEREF _Toc144109158 \h </w:instrText>
      </w:r>
      <w:r>
        <w:rPr>
          <w:color w:val="auto"/>
          <w:sz w:val="24"/>
          <w:szCs w:val="24"/>
        </w:rPr>
        <w:fldChar w:fldCharType="separate"/>
      </w:r>
      <w:r>
        <w:rPr>
          <w:color w:val="auto"/>
          <w:sz w:val="24"/>
          <w:szCs w:val="24"/>
        </w:rPr>
        <w:t>82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"_Toc144109159" </w:instrText>
      </w:r>
      <w:r>
        <w:rPr>
          <w:color w:val="auto"/>
        </w:rPr>
        <w:fldChar w:fldCharType="separate"/>
      </w:r>
      <w:r>
        <w:rPr>
          <w:rStyle w:val="36"/>
          <w:color w:val="auto"/>
          <w:sz w:val="24"/>
          <w:szCs w:val="24"/>
        </w:rPr>
        <w:t>2.7.3 供热</w:t>
      </w:r>
      <w:r>
        <w:rPr>
          <w:color w:val="auto"/>
          <w:sz w:val="24"/>
          <w:szCs w:val="24"/>
        </w:rPr>
        <w:tab/>
      </w:r>
      <w:r>
        <w:rPr>
          <w:color w:val="auto"/>
          <w:sz w:val="24"/>
          <w:szCs w:val="24"/>
        </w:rPr>
        <w:fldChar w:fldCharType="begin"/>
      </w:r>
      <w:r>
        <w:rPr>
          <w:color w:val="auto"/>
          <w:sz w:val="24"/>
          <w:szCs w:val="24"/>
        </w:rPr>
        <w:instrText xml:space="preserve"> PAGEREF _Toc144109159 \h </w:instrText>
      </w:r>
      <w:r>
        <w:rPr>
          <w:color w:val="auto"/>
          <w:sz w:val="24"/>
          <w:szCs w:val="24"/>
        </w:rPr>
        <w:fldChar w:fldCharType="separate"/>
      </w:r>
      <w:r>
        <w:rPr>
          <w:color w:val="auto"/>
          <w:sz w:val="24"/>
          <w:szCs w:val="24"/>
        </w:rPr>
        <w:t>84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"_Toc144109160" </w:instrText>
      </w:r>
      <w:r>
        <w:rPr>
          <w:color w:val="auto"/>
        </w:rPr>
        <w:fldChar w:fldCharType="separate"/>
      </w:r>
      <w:r>
        <w:rPr>
          <w:rStyle w:val="36"/>
          <w:color w:val="auto"/>
          <w:sz w:val="24"/>
          <w:szCs w:val="24"/>
        </w:rPr>
        <w:t>2.7.4 通讯</w:t>
      </w:r>
      <w:r>
        <w:rPr>
          <w:color w:val="auto"/>
          <w:sz w:val="24"/>
          <w:szCs w:val="24"/>
        </w:rPr>
        <w:tab/>
      </w:r>
      <w:r>
        <w:rPr>
          <w:color w:val="auto"/>
          <w:sz w:val="24"/>
          <w:szCs w:val="24"/>
        </w:rPr>
        <w:fldChar w:fldCharType="begin"/>
      </w:r>
      <w:r>
        <w:rPr>
          <w:color w:val="auto"/>
          <w:sz w:val="24"/>
          <w:szCs w:val="24"/>
        </w:rPr>
        <w:instrText xml:space="preserve"> PAGEREF _Toc144109160 \h </w:instrText>
      </w:r>
      <w:r>
        <w:rPr>
          <w:color w:val="auto"/>
          <w:sz w:val="24"/>
          <w:szCs w:val="24"/>
        </w:rPr>
        <w:fldChar w:fldCharType="separate"/>
      </w:r>
      <w:r>
        <w:rPr>
          <w:color w:val="auto"/>
          <w:sz w:val="24"/>
          <w:szCs w:val="24"/>
        </w:rPr>
        <w:t>84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"_Toc144109161" </w:instrText>
      </w:r>
      <w:r>
        <w:rPr>
          <w:color w:val="auto"/>
        </w:rPr>
        <w:fldChar w:fldCharType="separate"/>
      </w:r>
      <w:r>
        <w:rPr>
          <w:rStyle w:val="36"/>
          <w:color w:val="auto"/>
          <w:sz w:val="24"/>
          <w:szCs w:val="24"/>
        </w:rPr>
        <w:t>2.7.5 供气</w:t>
      </w:r>
      <w:r>
        <w:rPr>
          <w:color w:val="auto"/>
          <w:sz w:val="24"/>
          <w:szCs w:val="24"/>
        </w:rPr>
        <w:tab/>
      </w:r>
      <w:r>
        <w:rPr>
          <w:color w:val="auto"/>
          <w:sz w:val="24"/>
          <w:szCs w:val="24"/>
        </w:rPr>
        <w:fldChar w:fldCharType="begin"/>
      </w:r>
      <w:r>
        <w:rPr>
          <w:color w:val="auto"/>
          <w:sz w:val="24"/>
          <w:szCs w:val="24"/>
        </w:rPr>
        <w:instrText xml:space="preserve"> PAGEREF _Toc144109161 \h </w:instrText>
      </w:r>
      <w:r>
        <w:rPr>
          <w:color w:val="auto"/>
          <w:sz w:val="24"/>
          <w:szCs w:val="24"/>
        </w:rPr>
        <w:fldChar w:fldCharType="separate"/>
      </w:r>
      <w:r>
        <w:rPr>
          <w:color w:val="auto"/>
          <w:sz w:val="24"/>
          <w:szCs w:val="24"/>
        </w:rPr>
        <w:t>85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"_Toc144109162" </w:instrText>
      </w:r>
      <w:r>
        <w:rPr>
          <w:color w:val="auto"/>
        </w:rPr>
        <w:fldChar w:fldCharType="separate"/>
      </w:r>
      <w:r>
        <w:rPr>
          <w:rStyle w:val="36"/>
          <w:color w:val="auto"/>
          <w:sz w:val="24"/>
          <w:szCs w:val="24"/>
        </w:rPr>
        <w:t>2.7.6 通风</w:t>
      </w:r>
      <w:r>
        <w:rPr>
          <w:color w:val="auto"/>
          <w:sz w:val="24"/>
          <w:szCs w:val="24"/>
        </w:rPr>
        <w:tab/>
      </w:r>
      <w:r>
        <w:rPr>
          <w:color w:val="auto"/>
          <w:sz w:val="24"/>
          <w:szCs w:val="24"/>
        </w:rPr>
        <w:fldChar w:fldCharType="begin"/>
      </w:r>
      <w:r>
        <w:rPr>
          <w:color w:val="auto"/>
          <w:sz w:val="24"/>
          <w:szCs w:val="24"/>
        </w:rPr>
        <w:instrText xml:space="preserve"> PAGEREF _Toc144109162 \h </w:instrText>
      </w:r>
      <w:r>
        <w:rPr>
          <w:color w:val="auto"/>
          <w:sz w:val="24"/>
          <w:szCs w:val="24"/>
        </w:rPr>
        <w:fldChar w:fldCharType="separate"/>
      </w:r>
      <w:r>
        <w:rPr>
          <w:color w:val="auto"/>
          <w:sz w:val="24"/>
          <w:szCs w:val="24"/>
        </w:rPr>
        <w:t>86</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"_Toc144109163" </w:instrText>
      </w:r>
      <w:r>
        <w:rPr>
          <w:color w:val="auto"/>
        </w:rPr>
        <w:fldChar w:fldCharType="separate"/>
      </w:r>
      <w:r>
        <w:rPr>
          <w:rStyle w:val="36"/>
          <w:color w:val="auto"/>
          <w:sz w:val="24"/>
          <w:szCs w:val="24"/>
        </w:rPr>
        <w:t>2.7.7 消防</w:t>
      </w:r>
      <w:r>
        <w:rPr>
          <w:color w:val="auto"/>
          <w:sz w:val="24"/>
          <w:szCs w:val="24"/>
        </w:rPr>
        <w:tab/>
      </w:r>
      <w:r>
        <w:rPr>
          <w:color w:val="auto"/>
          <w:sz w:val="24"/>
          <w:szCs w:val="24"/>
        </w:rPr>
        <w:fldChar w:fldCharType="begin"/>
      </w:r>
      <w:r>
        <w:rPr>
          <w:color w:val="auto"/>
          <w:sz w:val="24"/>
          <w:szCs w:val="24"/>
        </w:rPr>
        <w:instrText xml:space="preserve"> PAGEREF _Toc144109163 \h </w:instrText>
      </w:r>
      <w:r>
        <w:rPr>
          <w:color w:val="auto"/>
          <w:sz w:val="24"/>
          <w:szCs w:val="24"/>
        </w:rPr>
        <w:fldChar w:fldCharType="separate"/>
      </w:r>
      <w:r>
        <w:rPr>
          <w:color w:val="auto"/>
          <w:sz w:val="24"/>
          <w:szCs w:val="24"/>
        </w:rPr>
        <w:t>86</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"_Toc144109164" </w:instrText>
      </w:r>
      <w:r>
        <w:rPr>
          <w:color w:val="auto"/>
        </w:rPr>
        <w:fldChar w:fldCharType="separate"/>
      </w:r>
      <w:r>
        <w:rPr>
          <w:rStyle w:val="36"/>
          <w:color w:val="auto"/>
          <w:sz w:val="24"/>
          <w:szCs w:val="24"/>
        </w:rPr>
        <w:t>2.8 建设项目选用的主要装置（设备）和设施</w:t>
      </w:r>
      <w:r>
        <w:rPr>
          <w:color w:val="auto"/>
          <w:sz w:val="24"/>
          <w:szCs w:val="24"/>
        </w:rPr>
        <w:tab/>
      </w:r>
      <w:r>
        <w:rPr>
          <w:color w:val="auto"/>
          <w:sz w:val="24"/>
          <w:szCs w:val="24"/>
        </w:rPr>
        <w:fldChar w:fldCharType="begin"/>
      </w:r>
      <w:r>
        <w:rPr>
          <w:color w:val="auto"/>
          <w:sz w:val="24"/>
          <w:szCs w:val="24"/>
        </w:rPr>
        <w:instrText xml:space="preserve"> PAGEREF _Toc144109164 \h </w:instrText>
      </w:r>
      <w:r>
        <w:rPr>
          <w:color w:val="auto"/>
          <w:sz w:val="24"/>
          <w:szCs w:val="24"/>
        </w:rPr>
        <w:fldChar w:fldCharType="separate"/>
      </w:r>
      <w:r>
        <w:rPr>
          <w:color w:val="auto"/>
          <w:sz w:val="24"/>
          <w:szCs w:val="24"/>
        </w:rPr>
        <w:t>88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"_Toc144109165" </w:instrText>
      </w:r>
      <w:r>
        <w:rPr>
          <w:color w:val="auto"/>
        </w:rPr>
        <w:fldChar w:fldCharType="separate"/>
      </w:r>
      <w:r>
        <w:rPr>
          <w:rStyle w:val="36"/>
          <w:color w:val="auto"/>
          <w:sz w:val="24"/>
          <w:szCs w:val="24"/>
        </w:rPr>
        <w:t>2.9 三废处理</w:t>
      </w:r>
      <w:r>
        <w:rPr>
          <w:color w:val="auto"/>
          <w:sz w:val="24"/>
          <w:szCs w:val="24"/>
        </w:rPr>
        <w:tab/>
      </w:r>
      <w:r>
        <w:rPr>
          <w:color w:val="auto"/>
          <w:sz w:val="24"/>
          <w:szCs w:val="24"/>
        </w:rPr>
        <w:fldChar w:fldCharType="begin"/>
      </w:r>
      <w:r>
        <w:rPr>
          <w:color w:val="auto"/>
          <w:sz w:val="24"/>
          <w:szCs w:val="24"/>
        </w:rPr>
        <w:instrText xml:space="preserve"> PAGEREF _Toc144109165 \h </w:instrText>
      </w:r>
      <w:r>
        <w:rPr>
          <w:color w:val="auto"/>
          <w:sz w:val="24"/>
          <w:szCs w:val="24"/>
        </w:rPr>
        <w:fldChar w:fldCharType="separate"/>
      </w:r>
      <w:r>
        <w:rPr>
          <w:color w:val="auto"/>
          <w:sz w:val="24"/>
          <w:szCs w:val="24"/>
        </w:rPr>
        <w:t>98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"_Toc144109166" </w:instrText>
      </w:r>
      <w:r>
        <w:rPr>
          <w:color w:val="auto"/>
        </w:rPr>
        <w:fldChar w:fldCharType="separate"/>
      </w:r>
      <w:r>
        <w:rPr>
          <w:rStyle w:val="36"/>
          <w:color w:val="auto"/>
          <w:sz w:val="24"/>
          <w:szCs w:val="24"/>
        </w:rPr>
        <w:t>2.10 主要技术经济指标</w:t>
      </w:r>
      <w:r>
        <w:rPr>
          <w:color w:val="auto"/>
          <w:sz w:val="24"/>
          <w:szCs w:val="24"/>
        </w:rPr>
        <w:tab/>
      </w:r>
      <w:r>
        <w:rPr>
          <w:color w:val="auto"/>
          <w:sz w:val="24"/>
          <w:szCs w:val="24"/>
        </w:rPr>
        <w:fldChar w:fldCharType="begin"/>
      </w:r>
      <w:r>
        <w:rPr>
          <w:color w:val="auto"/>
          <w:sz w:val="24"/>
          <w:szCs w:val="24"/>
        </w:rPr>
        <w:instrText xml:space="preserve"> PAGEREF _Toc144109166 \h </w:instrText>
      </w:r>
      <w:r>
        <w:rPr>
          <w:color w:val="auto"/>
          <w:sz w:val="24"/>
          <w:szCs w:val="24"/>
        </w:rPr>
        <w:fldChar w:fldCharType="separate"/>
      </w:r>
      <w:r>
        <w:rPr>
          <w:color w:val="auto"/>
          <w:sz w:val="24"/>
          <w:szCs w:val="24"/>
        </w:rPr>
        <w:t>100</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"_Toc144109167" </w:instrText>
      </w:r>
      <w:r>
        <w:rPr>
          <w:color w:val="auto"/>
        </w:rPr>
        <w:fldChar w:fldCharType="separate"/>
      </w:r>
      <w:r>
        <w:rPr>
          <w:rStyle w:val="36"/>
          <w:color w:val="auto"/>
          <w:sz w:val="24"/>
          <w:szCs w:val="24"/>
        </w:rPr>
        <w:t>2.11 组织机构及劳动定员</w:t>
      </w:r>
      <w:r>
        <w:rPr>
          <w:color w:val="auto"/>
          <w:sz w:val="24"/>
          <w:szCs w:val="24"/>
        </w:rPr>
        <w:tab/>
      </w:r>
      <w:r>
        <w:rPr>
          <w:color w:val="auto"/>
          <w:sz w:val="24"/>
          <w:szCs w:val="24"/>
        </w:rPr>
        <w:fldChar w:fldCharType="begin"/>
      </w:r>
      <w:r>
        <w:rPr>
          <w:color w:val="auto"/>
          <w:sz w:val="24"/>
          <w:szCs w:val="24"/>
        </w:rPr>
        <w:instrText xml:space="preserve"> PAGEREF _Toc144109167 \h </w:instrText>
      </w:r>
      <w:r>
        <w:rPr>
          <w:color w:val="auto"/>
          <w:sz w:val="24"/>
          <w:szCs w:val="24"/>
        </w:rPr>
        <w:fldChar w:fldCharType="separate"/>
      </w:r>
      <w:r>
        <w:rPr>
          <w:color w:val="auto"/>
          <w:sz w:val="24"/>
          <w:szCs w:val="24"/>
        </w:rPr>
        <w:t>101</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"_Toc144109168" </w:instrText>
      </w:r>
      <w:r>
        <w:rPr>
          <w:color w:val="auto"/>
        </w:rPr>
        <w:fldChar w:fldCharType="separate"/>
      </w:r>
      <w:r>
        <w:rPr>
          <w:rStyle w:val="36"/>
          <w:color w:val="auto"/>
          <w:sz w:val="24"/>
          <w:szCs w:val="24"/>
        </w:rPr>
        <w:t>3.主要危险、有害因素辨识与分析</w:t>
      </w:r>
      <w:r>
        <w:rPr>
          <w:color w:val="auto"/>
          <w:sz w:val="24"/>
          <w:szCs w:val="24"/>
        </w:rPr>
        <w:tab/>
      </w:r>
      <w:r>
        <w:rPr>
          <w:color w:val="auto"/>
          <w:sz w:val="24"/>
          <w:szCs w:val="24"/>
        </w:rPr>
        <w:fldChar w:fldCharType="begin"/>
      </w:r>
      <w:r>
        <w:rPr>
          <w:color w:val="auto"/>
          <w:sz w:val="24"/>
          <w:szCs w:val="24"/>
        </w:rPr>
        <w:instrText xml:space="preserve"> PAGEREF _Toc144109168 \h </w:instrText>
      </w:r>
      <w:r>
        <w:rPr>
          <w:color w:val="auto"/>
          <w:sz w:val="24"/>
          <w:szCs w:val="24"/>
        </w:rPr>
        <w:fldChar w:fldCharType="separate"/>
      </w:r>
      <w:r>
        <w:rPr>
          <w:color w:val="auto"/>
          <w:sz w:val="24"/>
          <w:szCs w:val="24"/>
        </w:rPr>
        <w:t>103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"_Toc144109169" </w:instrText>
      </w:r>
      <w:r>
        <w:rPr>
          <w:color w:val="auto"/>
        </w:rPr>
        <w:fldChar w:fldCharType="separate"/>
      </w:r>
      <w:r>
        <w:rPr>
          <w:rStyle w:val="36"/>
          <w:color w:val="auto"/>
          <w:sz w:val="24"/>
          <w:szCs w:val="24"/>
        </w:rPr>
        <w:t>3.1 危险物质的辨识结果及依据</w:t>
      </w:r>
      <w:r>
        <w:rPr>
          <w:color w:val="auto"/>
          <w:sz w:val="24"/>
          <w:szCs w:val="24"/>
        </w:rPr>
        <w:tab/>
      </w:r>
      <w:r>
        <w:rPr>
          <w:color w:val="auto"/>
          <w:sz w:val="24"/>
          <w:szCs w:val="24"/>
        </w:rPr>
        <w:fldChar w:fldCharType="begin"/>
      </w:r>
      <w:r>
        <w:rPr>
          <w:color w:val="auto"/>
          <w:sz w:val="24"/>
          <w:szCs w:val="24"/>
        </w:rPr>
        <w:instrText xml:space="preserve"> PAGEREF _Toc144109169 \h </w:instrText>
      </w:r>
      <w:r>
        <w:rPr>
          <w:color w:val="auto"/>
          <w:sz w:val="24"/>
          <w:szCs w:val="24"/>
        </w:rPr>
        <w:fldChar w:fldCharType="separate"/>
      </w:r>
      <w:r>
        <w:rPr>
          <w:color w:val="auto"/>
          <w:sz w:val="24"/>
          <w:szCs w:val="24"/>
        </w:rPr>
        <w:t>103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"_Toc144109170" </w:instrText>
      </w:r>
      <w:r>
        <w:rPr>
          <w:color w:val="auto"/>
        </w:rPr>
        <w:fldChar w:fldCharType="separate"/>
      </w:r>
      <w:r>
        <w:rPr>
          <w:rStyle w:val="36"/>
          <w:color w:val="auto"/>
          <w:sz w:val="24"/>
          <w:szCs w:val="24"/>
        </w:rPr>
        <w:t>3.2 危险化学品包装、储存、运输的技术要求及信息来源</w:t>
      </w:r>
      <w:r>
        <w:rPr>
          <w:color w:val="auto"/>
          <w:sz w:val="24"/>
          <w:szCs w:val="24"/>
        </w:rPr>
        <w:tab/>
      </w:r>
      <w:r>
        <w:rPr>
          <w:color w:val="auto"/>
          <w:sz w:val="24"/>
          <w:szCs w:val="24"/>
        </w:rPr>
        <w:fldChar w:fldCharType="begin"/>
      </w:r>
      <w:r>
        <w:rPr>
          <w:color w:val="auto"/>
          <w:sz w:val="24"/>
          <w:szCs w:val="24"/>
        </w:rPr>
        <w:instrText xml:space="preserve"> PAGEREF _Toc144109170 \h </w:instrText>
      </w:r>
      <w:r>
        <w:rPr>
          <w:color w:val="auto"/>
          <w:sz w:val="24"/>
          <w:szCs w:val="24"/>
        </w:rPr>
        <w:fldChar w:fldCharType="separate"/>
      </w:r>
      <w:r>
        <w:rPr>
          <w:color w:val="auto"/>
          <w:sz w:val="24"/>
          <w:szCs w:val="24"/>
        </w:rPr>
        <w:t>108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"_Toc144109171" </w:instrText>
      </w:r>
      <w:r>
        <w:rPr>
          <w:color w:val="auto"/>
        </w:rPr>
        <w:fldChar w:fldCharType="separate"/>
      </w:r>
      <w:r>
        <w:rPr>
          <w:rStyle w:val="36"/>
          <w:color w:val="auto"/>
          <w:sz w:val="24"/>
          <w:szCs w:val="24"/>
        </w:rPr>
        <w:t>3.3 重点监管危险化学品、危险工艺分析</w:t>
      </w:r>
      <w:r>
        <w:rPr>
          <w:color w:val="auto"/>
          <w:sz w:val="24"/>
          <w:szCs w:val="24"/>
        </w:rPr>
        <w:tab/>
      </w:r>
      <w:r>
        <w:rPr>
          <w:color w:val="auto"/>
          <w:sz w:val="24"/>
          <w:szCs w:val="24"/>
        </w:rPr>
        <w:fldChar w:fldCharType="begin"/>
      </w:r>
      <w:r>
        <w:rPr>
          <w:color w:val="auto"/>
          <w:sz w:val="24"/>
          <w:szCs w:val="24"/>
        </w:rPr>
        <w:instrText xml:space="preserve"> PAGEREF _Toc144109171 \h </w:instrText>
      </w:r>
      <w:r>
        <w:rPr>
          <w:color w:val="auto"/>
          <w:sz w:val="24"/>
          <w:szCs w:val="24"/>
        </w:rPr>
        <w:fldChar w:fldCharType="separate"/>
      </w:r>
      <w:r>
        <w:rPr>
          <w:color w:val="auto"/>
          <w:sz w:val="24"/>
          <w:szCs w:val="24"/>
        </w:rPr>
        <w:t>108</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"_Toc144109172" </w:instrText>
      </w:r>
      <w:r>
        <w:rPr>
          <w:color w:val="auto"/>
        </w:rPr>
        <w:fldChar w:fldCharType="separate"/>
      </w:r>
      <w:r>
        <w:rPr>
          <w:rStyle w:val="36"/>
          <w:rFonts w:ascii="Calibri" w:hAnsi="Calibri"/>
          <w:color w:val="auto"/>
          <w:sz w:val="24"/>
          <w:szCs w:val="24"/>
        </w:rPr>
        <w:t>3.3.1 重点监管危险化工工艺辨识</w:t>
      </w:r>
      <w:r>
        <w:rPr>
          <w:color w:val="auto"/>
          <w:sz w:val="24"/>
          <w:szCs w:val="24"/>
        </w:rPr>
        <w:tab/>
      </w:r>
      <w:r>
        <w:rPr>
          <w:color w:val="auto"/>
          <w:sz w:val="24"/>
          <w:szCs w:val="24"/>
        </w:rPr>
        <w:fldChar w:fldCharType="begin"/>
      </w:r>
      <w:r>
        <w:rPr>
          <w:color w:val="auto"/>
          <w:sz w:val="24"/>
          <w:szCs w:val="24"/>
        </w:rPr>
        <w:instrText xml:space="preserve"> PAGEREF _Toc144109172 \h </w:instrText>
      </w:r>
      <w:r>
        <w:rPr>
          <w:color w:val="auto"/>
          <w:sz w:val="24"/>
          <w:szCs w:val="24"/>
        </w:rPr>
        <w:fldChar w:fldCharType="separate"/>
      </w:r>
      <w:r>
        <w:rPr>
          <w:color w:val="auto"/>
          <w:sz w:val="24"/>
          <w:szCs w:val="24"/>
        </w:rPr>
        <w:t>108</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"_Toc144109173" </w:instrText>
      </w:r>
      <w:r>
        <w:rPr>
          <w:color w:val="auto"/>
        </w:rPr>
        <w:fldChar w:fldCharType="separate"/>
      </w:r>
      <w:r>
        <w:rPr>
          <w:rStyle w:val="36"/>
          <w:rFonts w:ascii="Calibri" w:hAnsi="Calibri"/>
          <w:color w:val="auto"/>
          <w:sz w:val="24"/>
          <w:szCs w:val="24"/>
        </w:rPr>
        <w:t>3.3.2 重点监管危险化学品辨识</w:t>
      </w:r>
      <w:r>
        <w:rPr>
          <w:color w:val="auto"/>
          <w:sz w:val="24"/>
          <w:szCs w:val="24"/>
        </w:rPr>
        <w:tab/>
      </w:r>
      <w:r>
        <w:rPr>
          <w:color w:val="auto"/>
          <w:sz w:val="24"/>
          <w:szCs w:val="24"/>
        </w:rPr>
        <w:fldChar w:fldCharType="begin"/>
      </w:r>
      <w:r>
        <w:rPr>
          <w:color w:val="auto"/>
          <w:sz w:val="24"/>
          <w:szCs w:val="24"/>
        </w:rPr>
        <w:instrText xml:space="preserve"> PAGEREF _Toc144109173 \h </w:instrText>
      </w:r>
      <w:r>
        <w:rPr>
          <w:color w:val="auto"/>
          <w:sz w:val="24"/>
          <w:szCs w:val="24"/>
        </w:rPr>
        <w:fldChar w:fldCharType="separate"/>
      </w:r>
      <w:r>
        <w:rPr>
          <w:color w:val="auto"/>
          <w:sz w:val="24"/>
          <w:szCs w:val="24"/>
        </w:rPr>
        <w:t>110</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"_Toc144109174" </w:instrText>
      </w:r>
      <w:r>
        <w:rPr>
          <w:color w:val="auto"/>
        </w:rPr>
        <w:fldChar w:fldCharType="separate"/>
      </w:r>
      <w:r>
        <w:rPr>
          <w:rStyle w:val="36"/>
          <w:rFonts w:ascii="Cambria" w:hAnsi="Cambria"/>
          <w:color w:val="auto"/>
          <w:sz w:val="24"/>
          <w:szCs w:val="24"/>
        </w:rPr>
        <w:t>3.4 特殊化学品分析结果</w:t>
      </w:r>
      <w:r>
        <w:rPr>
          <w:color w:val="auto"/>
          <w:sz w:val="24"/>
          <w:szCs w:val="24"/>
        </w:rPr>
        <w:tab/>
      </w:r>
      <w:r>
        <w:rPr>
          <w:color w:val="auto"/>
          <w:sz w:val="24"/>
          <w:szCs w:val="24"/>
        </w:rPr>
        <w:fldChar w:fldCharType="begin"/>
      </w:r>
      <w:r>
        <w:rPr>
          <w:color w:val="auto"/>
          <w:sz w:val="24"/>
          <w:szCs w:val="24"/>
        </w:rPr>
        <w:instrText xml:space="preserve"> PAGEREF _Toc144109174 \h </w:instrText>
      </w:r>
      <w:r>
        <w:rPr>
          <w:color w:val="auto"/>
          <w:sz w:val="24"/>
          <w:szCs w:val="24"/>
        </w:rPr>
        <w:fldChar w:fldCharType="separate"/>
      </w:r>
      <w:r>
        <w:rPr>
          <w:color w:val="auto"/>
          <w:sz w:val="24"/>
          <w:szCs w:val="24"/>
        </w:rPr>
        <w:t>118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"_Toc144109175" </w:instrText>
      </w:r>
      <w:r>
        <w:rPr>
          <w:color w:val="auto"/>
        </w:rPr>
        <w:fldChar w:fldCharType="separate"/>
      </w:r>
      <w:r>
        <w:rPr>
          <w:rStyle w:val="36"/>
          <w:rFonts w:ascii="Cambria" w:hAnsi="Cambria"/>
          <w:color w:val="auto"/>
          <w:sz w:val="24"/>
          <w:szCs w:val="24"/>
        </w:rPr>
        <w:t>3.5 危险、有害因素的辨识结果</w:t>
      </w:r>
      <w:r>
        <w:rPr>
          <w:color w:val="auto"/>
          <w:sz w:val="24"/>
          <w:szCs w:val="24"/>
        </w:rPr>
        <w:tab/>
      </w:r>
      <w:r>
        <w:rPr>
          <w:color w:val="auto"/>
          <w:sz w:val="24"/>
          <w:szCs w:val="24"/>
        </w:rPr>
        <w:fldChar w:fldCharType="begin"/>
      </w:r>
      <w:r>
        <w:rPr>
          <w:color w:val="auto"/>
          <w:sz w:val="24"/>
          <w:szCs w:val="24"/>
        </w:rPr>
        <w:instrText xml:space="preserve"> PAGEREF _Toc144109175 \h </w:instrText>
      </w:r>
      <w:r>
        <w:rPr>
          <w:color w:val="auto"/>
          <w:sz w:val="24"/>
          <w:szCs w:val="24"/>
        </w:rPr>
        <w:fldChar w:fldCharType="separate"/>
      </w:r>
      <w:r>
        <w:rPr>
          <w:color w:val="auto"/>
          <w:sz w:val="24"/>
          <w:szCs w:val="24"/>
        </w:rPr>
        <w:t>120</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"_Toc144109176" </w:instrText>
      </w:r>
      <w:r>
        <w:rPr>
          <w:color w:val="auto"/>
        </w:rPr>
        <w:fldChar w:fldCharType="separate"/>
      </w:r>
      <w:r>
        <w:rPr>
          <w:rStyle w:val="36"/>
          <w:rFonts w:ascii="Cambria" w:hAnsi="Cambria"/>
          <w:color w:val="auto"/>
          <w:sz w:val="24"/>
          <w:szCs w:val="24"/>
        </w:rPr>
        <w:t>3.6可能造成爆炸、火灾、中毒、灼烫等事故的危险、有害因素的分布</w:t>
      </w:r>
      <w:r>
        <w:rPr>
          <w:color w:val="auto"/>
          <w:sz w:val="24"/>
          <w:szCs w:val="24"/>
        </w:rPr>
        <w:tab/>
      </w:r>
      <w:r>
        <w:rPr>
          <w:color w:val="auto"/>
          <w:sz w:val="24"/>
          <w:szCs w:val="24"/>
        </w:rPr>
        <w:fldChar w:fldCharType="begin"/>
      </w:r>
      <w:r>
        <w:rPr>
          <w:color w:val="auto"/>
          <w:sz w:val="24"/>
          <w:szCs w:val="24"/>
        </w:rPr>
        <w:instrText xml:space="preserve"> PAGEREF _Toc144109176 \h </w:instrText>
      </w:r>
      <w:r>
        <w:rPr>
          <w:color w:val="auto"/>
          <w:sz w:val="24"/>
          <w:szCs w:val="24"/>
        </w:rPr>
        <w:fldChar w:fldCharType="separate"/>
      </w:r>
      <w:r>
        <w:rPr>
          <w:color w:val="auto"/>
          <w:sz w:val="24"/>
          <w:szCs w:val="24"/>
        </w:rPr>
        <w:t>122</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"_Toc144109177" </w:instrText>
      </w:r>
      <w:r>
        <w:rPr>
          <w:color w:val="auto"/>
        </w:rPr>
        <w:fldChar w:fldCharType="separate"/>
      </w:r>
      <w:r>
        <w:rPr>
          <w:rStyle w:val="36"/>
          <w:rFonts w:ascii="Cambria" w:hAnsi="Cambria"/>
          <w:color w:val="auto"/>
          <w:sz w:val="24"/>
          <w:szCs w:val="24"/>
        </w:rPr>
        <w:t>3.7 重大危险源辨识结果</w:t>
      </w:r>
      <w:r>
        <w:rPr>
          <w:color w:val="auto"/>
          <w:sz w:val="24"/>
          <w:szCs w:val="24"/>
        </w:rPr>
        <w:tab/>
      </w:r>
      <w:r>
        <w:rPr>
          <w:color w:val="auto"/>
          <w:sz w:val="24"/>
          <w:szCs w:val="24"/>
        </w:rPr>
        <w:fldChar w:fldCharType="begin"/>
      </w:r>
      <w:r>
        <w:rPr>
          <w:color w:val="auto"/>
          <w:sz w:val="24"/>
          <w:szCs w:val="24"/>
        </w:rPr>
        <w:instrText xml:space="preserve"> PAGEREF _Toc144109177 \h </w:instrText>
      </w:r>
      <w:r>
        <w:rPr>
          <w:color w:val="auto"/>
          <w:sz w:val="24"/>
          <w:szCs w:val="24"/>
        </w:rPr>
        <w:fldChar w:fldCharType="separate"/>
      </w:r>
      <w:r>
        <w:rPr>
          <w:color w:val="auto"/>
          <w:sz w:val="24"/>
          <w:szCs w:val="24"/>
        </w:rPr>
        <w:t>123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"_Toc144109178" </w:instrText>
      </w:r>
      <w:r>
        <w:rPr>
          <w:color w:val="auto"/>
        </w:rPr>
        <w:fldChar w:fldCharType="separate"/>
      </w:r>
      <w:r>
        <w:rPr>
          <w:rStyle w:val="36"/>
          <w:rFonts w:ascii="Cambria" w:hAnsi="Cambria"/>
          <w:color w:val="auto"/>
          <w:sz w:val="24"/>
          <w:szCs w:val="24"/>
        </w:rPr>
        <w:t>3.8个人风险和社会风险值</w:t>
      </w:r>
      <w:r>
        <w:rPr>
          <w:color w:val="auto"/>
          <w:sz w:val="24"/>
          <w:szCs w:val="24"/>
        </w:rPr>
        <w:tab/>
      </w:r>
      <w:r>
        <w:rPr>
          <w:color w:val="auto"/>
          <w:sz w:val="24"/>
          <w:szCs w:val="24"/>
        </w:rPr>
        <w:fldChar w:fldCharType="begin"/>
      </w:r>
      <w:r>
        <w:rPr>
          <w:color w:val="auto"/>
          <w:sz w:val="24"/>
          <w:szCs w:val="24"/>
        </w:rPr>
        <w:instrText xml:space="preserve"> PAGEREF _Toc144109178 \h </w:instrText>
      </w:r>
      <w:r>
        <w:rPr>
          <w:color w:val="auto"/>
          <w:sz w:val="24"/>
          <w:szCs w:val="24"/>
        </w:rPr>
        <w:fldChar w:fldCharType="separate"/>
      </w:r>
      <w:r>
        <w:rPr>
          <w:color w:val="auto"/>
          <w:sz w:val="24"/>
          <w:szCs w:val="24"/>
        </w:rPr>
        <w:t>123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"_Toc144109179" </w:instrText>
      </w:r>
      <w:r>
        <w:rPr>
          <w:color w:val="auto"/>
        </w:rPr>
        <w:fldChar w:fldCharType="separate"/>
      </w:r>
      <w:r>
        <w:rPr>
          <w:rStyle w:val="36"/>
          <w:rFonts w:ascii="Calibri" w:hAnsi="Calibri"/>
          <w:color w:val="auto"/>
          <w:sz w:val="24"/>
          <w:szCs w:val="24"/>
        </w:rPr>
        <w:t>3.8.1个人风险和社会风险值标准</w:t>
      </w:r>
      <w:r>
        <w:rPr>
          <w:color w:val="auto"/>
          <w:sz w:val="24"/>
          <w:szCs w:val="24"/>
        </w:rPr>
        <w:tab/>
      </w:r>
      <w:r>
        <w:rPr>
          <w:color w:val="auto"/>
          <w:sz w:val="24"/>
          <w:szCs w:val="24"/>
        </w:rPr>
        <w:fldChar w:fldCharType="begin"/>
      </w:r>
      <w:r>
        <w:rPr>
          <w:color w:val="auto"/>
          <w:sz w:val="24"/>
          <w:szCs w:val="24"/>
        </w:rPr>
        <w:instrText xml:space="preserve"> PAGEREF _Toc144109179 \h </w:instrText>
      </w:r>
      <w:r>
        <w:rPr>
          <w:color w:val="auto"/>
          <w:sz w:val="24"/>
          <w:szCs w:val="24"/>
        </w:rPr>
        <w:fldChar w:fldCharType="separate"/>
      </w:r>
      <w:r>
        <w:rPr>
          <w:color w:val="auto"/>
          <w:sz w:val="24"/>
          <w:szCs w:val="24"/>
        </w:rPr>
        <w:t>123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"_Toc144109180" </w:instrText>
      </w:r>
      <w:r>
        <w:rPr>
          <w:color w:val="auto"/>
        </w:rPr>
        <w:fldChar w:fldCharType="separate"/>
      </w:r>
      <w:r>
        <w:rPr>
          <w:rStyle w:val="36"/>
          <w:rFonts w:ascii="Calibri" w:hAnsi="Calibri"/>
          <w:color w:val="auto"/>
          <w:sz w:val="24"/>
          <w:szCs w:val="24"/>
        </w:rPr>
        <w:t>3.8.2个人风险和社会风险值计算结果</w:t>
      </w:r>
      <w:r>
        <w:rPr>
          <w:color w:val="auto"/>
          <w:sz w:val="24"/>
          <w:szCs w:val="24"/>
        </w:rPr>
        <w:tab/>
      </w:r>
      <w:r>
        <w:rPr>
          <w:color w:val="auto"/>
          <w:sz w:val="24"/>
          <w:szCs w:val="24"/>
        </w:rPr>
        <w:fldChar w:fldCharType="begin"/>
      </w:r>
      <w:r>
        <w:rPr>
          <w:color w:val="auto"/>
          <w:sz w:val="24"/>
          <w:szCs w:val="24"/>
        </w:rPr>
        <w:instrText xml:space="preserve"> PAGEREF _Toc144109180 \h </w:instrText>
      </w:r>
      <w:r>
        <w:rPr>
          <w:color w:val="auto"/>
          <w:sz w:val="24"/>
          <w:szCs w:val="24"/>
        </w:rPr>
        <w:fldChar w:fldCharType="separate"/>
      </w:r>
      <w:r>
        <w:rPr>
          <w:color w:val="auto"/>
          <w:sz w:val="24"/>
          <w:szCs w:val="24"/>
        </w:rPr>
        <w:t>128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"_Toc144109181" </w:instrText>
      </w:r>
      <w:r>
        <w:rPr>
          <w:color w:val="auto"/>
        </w:rPr>
        <w:fldChar w:fldCharType="separate"/>
      </w:r>
      <w:r>
        <w:rPr>
          <w:rStyle w:val="36"/>
          <w:rFonts w:hAnsi="楷体_GB2312"/>
          <w:color w:val="auto"/>
          <w:sz w:val="24"/>
          <w:szCs w:val="24"/>
        </w:rPr>
        <w:t>3.9爆炸区域划分</w:t>
      </w:r>
      <w:r>
        <w:rPr>
          <w:color w:val="auto"/>
          <w:sz w:val="24"/>
          <w:szCs w:val="24"/>
        </w:rPr>
        <w:tab/>
      </w:r>
      <w:r>
        <w:rPr>
          <w:color w:val="auto"/>
          <w:sz w:val="24"/>
          <w:szCs w:val="24"/>
        </w:rPr>
        <w:fldChar w:fldCharType="begin"/>
      </w:r>
      <w:r>
        <w:rPr>
          <w:color w:val="auto"/>
          <w:sz w:val="24"/>
          <w:szCs w:val="24"/>
        </w:rPr>
        <w:instrText xml:space="preserve"> PAGEREF _Toc144109181 \h </w:instrText>
      </w:r>
      <w:r>
        <w:rPr>
          <w:color w:val="auto"/>
          <w:sz w:val="24"/>
          <w:szCs w:val="24"/>
        </w:rPr>
        <w:fldChar w:fldCharType="separate"/>
      </w:r>
      <w:r>
        <w:rPr>
          <w:color w:val="auto"/>
          <w:sz w:val="24"/>
          <w:szCs w:val="24"/>
        </w:rPr>
        <w:t>130</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"_Toc144109182" </w:instrText>
      </w:r>
      <w:r>
        <w:rPr>
          <w:color w:val="auto"/>
        </w:rPr>
        <w:fldChar w:fldCharType="separate"/>
      </w:r>
      <w:r>
        <w:rPr>
          <w:rStyle w:val="36"/>
          <w:rFonts w:ascii="Cambria" w:hAnsi="Cambria"/>
          <w:color w:val="auto"/>
          <w:sz w:val="24"/>
          <w:szCs w:val="24"/>
        </w:rPr>
        <w:t>3.10事故案例</w:t>
      </w:r>
      <w:r>
        <w:rPr>
          <w:color w:val="auto"/>
          <w:sz w:val="24"/>
          <w:szCs w:val="24"/>
        </w:rPr>
        <w:tab/>
      </w:r>
      <w:r>
        <w:rPr>
          <w:color w:val="auto"/>
          <w:sz w:val="24"/>
          <w:szCs w:val="24"/>
        </w:rPr>
        <w:fldChar w:fldCharType="begin"/>
      </w:r>
      <w:r>
        <w:rPr>
          <w:color w:val="auto"/>
          <w:sz w:val="24"/>
          <w:szCs w:val="24"/>
        </w:rPr>
        <w:instrText xml:space="preserve"> PAGEREF _Toc144109182 \h </w:instrText>
      </w:r>
      <w:r>
        <w:rPr>
          <w:color w:val="auto"/>
          <w:sz w:val="24"/>
          <w:szCs w:val="24"/>
        </w:rPr>
        <w:fldChar w:fldCharType="separate"/>
      </w:r>
      <w:r>
        <w:rPr>
          <w:color w:val="auto"/>
          <w:sz w:val="24"/>
          <w:szCs w:val="24"/>
        </w:rPr>
        <w:t>132</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"_Toc144109183" </w:instrText>
      </w:r>
      <w:r>
        <w:rPr>
          <w:color w:val="auto"/>
        </w:rPr>
        <w:fldChar w:fldCharType="separate"/>
      </w:r>
      <w:r>
        <w:rPr>
          <w:rStyle w:val="36"/>
          <w:rFonts w:ascii="Calibri" w:hAnsi="Calibri"/>
          <w:color w:val="auto"/>
          <w:kern w:val="44"/>
          <w:sz w:val="24"/>
          <w:szCs w:val="24"/>
        </w:rPr>
        <w:t>4.评价单元划分与评价方法</w:t>
      </w:r>
      <w:r>
        <w:rPr>
          <w:color w:val="auto"/>
          <w:sz w:val="24"/>
          <w:szCs w:val="24"/>
        </w:rPr>
        <w:tab/>
      </w:r>
      <w:r>
        <w:rPr>
          <w:color w:val="auto"/>
          <w:sz w:val="24"/>
          <w:szCs w:val="24"/>
        </w:rPr>
        <w:fldChar w:fldCharType="begin"/>
      </w:r>
      <w:r>
        <w:rPr>
          <w:color w:val="auto"/>
          <w:sz w:val="24"/>
          <w:szCs w:val="24"/>
        </w:rPr>
        <w:instrText xml:space="preserve"> PAGEREF _Toc144109183 \h </w:instrText>
      </w:r>
      <w:r>
        <w:rPr>
          <w:color w:val="auto"/>
          <w:sz w:val="24"/>
          <w:szCs w:val="24"/>
        </w:rPr>
        <w:fldChar w:fldCharType="separate"/>
      </w:r>
      <w:r>
        <w:rPr>
          <w:color w:val="auto"/>
          <w:sz w:val="24"/>
          <w:szCs w:val="24"/>
        </w:rPr>
        <w:t>135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"_Toc144109184" </w:instrText>
      </w:r>
      <w:r>
        <w:rPr>
          <w:color w:val="auto"/>
        </w:rPr>
        <w:fldChar w:fldCharType="separate"/>
      </w:r>
      <w:r>
        <w:rPr>
          <w:rStyle w:val="36"/>
          <w:rFonts w:ascii="Cambria" w:hAnsi="Cambria"/>
          <w:color w:val="auto"/>
          <w:sz w:val="24"/>
          <w:szCs w:val="24"/>
        </w:rPr>
        <w:t>4.1 评价单元的划分目的和原则</w:t>
      </w:r>
      <w:r>
        <w:rPr>
          <w:color w:val="auto"/>
          <w:sz w:val="24"/>
          <w:szCs w:val="24"/>
        </w:rPr>
        <w:tab/>
      </w:r>
      <w:r>
        <w:rPr>
          <w:color w:val="auto"/>
          <w:sz w:val="24"/>
          <w:szCs w:val="24"/>
        </w:rPr>
        <w:fldChar w:fldCharType="begin"/>
      </w:r>
      <w:r>
        <w:rPr>
          <w:color w:val="auto"/>
          <w:sz w:val="24"/>
          <w:szCs w:val="24"/>
        </w:rPr>
        <w:instrText xml:space="preserve"> PAGEREF _Toc144109184 \h </w:instrText>
      </w:r>
      <w:r>
        <w:rPr>
          <w:color w:val="auto"/>
          <w:sz w:val="24"/>
          <w:szCs w:val="24"/>
        </w:rPr>
        <w:fldChar w:fldCharType="separate"/>
      </w:r>
      <w:r>
        <w:rPr>
          <w:color w:val="auto"/>
          <w:sz w:val="24"/>
          <w:szCs w:val="24"/>
        </w:rPr>
        <w:t>135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"_Toc144109185" </w:instrText>
      </w:r>
      <w:r>
        <w:rPr>
          <w:color w:val="auto"/>
        </w:rPr>
        <w:fldChar w:fldCharType="separate"/>
      </w:r>
      <w:r>
        <w:rPr>
          <w:rStyle w:val="36"/>
          <w:rFonts w:ascii="Cambria" w:hAnsi="Cambria"/>
          <w:color w:val="auto"/>
          <w:sz w:val="24"/>
          <w:szCs w:val="24"/>
        </w:rPr>
        <w:t>4.2 评价单元的划分结果</w:t>
      </w:r>
      <w:r>
        <w:rPr>
          <w:color w:val="auto"/>
          <w:sz w:val="24"/>
          <w:szCs w:val="24"/>
        </w:rPr>
        <w:tab/>
      </w:r>
      <w:r>
        <w:rPr>
          <w:color w:val="auto"/>
          <w:sz w:val="24"/>
          <w:szCs w:val="24"/>
        </w:rPr>
        <w:fldChar w:fldCharType="begin"/>
      </w:r>
      <w:r>
        <w:rPr>
          <w:color w:val="auto"/>
          <w:sz w:val="24"/>
          <w:szCs w:val="24"/>
        </w:rPr>
        <w:instrText xml:space="preserve"> PAGEREF _Toc144109185 \h </w:instrText>
      </w:r>
      <w:r>
        <w:rPr>
          <w:color w:val="auto"/>
          <w:sz w:val="24"/>
          <w:szCs w:val="24"/>
        </w:rPr>
        <w:fldChar w:fldCharType="separate"/>
      </w:r>
      <w:r>
        <w:rPr>
          <w:color w:val="auto"/>
          <w:sz w:val="24"/>
          <w:szCs w:val="24"/>
        </w:rPr>
        <w:t>135</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"_Toc144109186" </w:instrText>
      </w:r>
      <w:r>
        <w:rPr>
          <w:color w:val="auto"/>
        </w:rPr>
        <w:fldChar w:fldCharType="separate"/>
      </w:r>
      <w:r>
        <w:rPr>
          <w:rStyle w:val="36"/>
          <w:rFonts w:ascii="Calibri" w:hAnsi="Calibri"/>
          <w:color w:val="auto"/>
          <w:kern w:val="44"/>
          <w:sz w:val="24"/>
          <w:szCs w:val="24"/>
        </w:rPr>
        <w:t>5.采用的安全评价方法及理由说明</w:t>
      </w:r>
      <w:r>
        <w:rPr>
          <w:color w:val="auto"/>
          <w:sz w:val="24"/>
          <w:szCs w:val="24"/>
        </w:rPr>
        <w:tab/>
      </w:r>
      <w:r>
        <w:rPr>
          <w:color w:val="auto"/>
          <w:sz w:val="24"/>
          <w:szCs w:val="24"/>
        </w:rPr>
        <w:fldChar w:fldCharType="begin"/>
      </w:r>
      <w:r>
        <w:rPr>
          <w:color w:val="auto"/>
          <w:sz w:val="24"/>
          <w:szCs w:val="24"/>
        </w:rPr>
        <w:instrText xml:space="preserve"> PAGEREF _Toc144109186 \h </w:instrText>
      </w:r>
      <w:r>
        <w:rPr>
          <w:color w:val="auto"/>
          <w:sz w:val="24"/>
          <w:szCs w:val="24"/>
        </w:rPr>
        <w:fldChar w:fldCharType="separate"/>
      </w:r>
      <w:r>
        <w:rPr>
          <w:color w:val="auto"/>
          <w:sz w:val="24"/>
          <w:szCs w:val="24"/>
        </w:rPr>
        <w:t>137</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"_Toc144109187" </w:instrText>
      </w:r>
      <w:r>
        <w:rPr>
          <w:color w:val="auto"/>
        </w:rPr>
        <w:fldChar w:fldCharType="separate"/>
      </w:r>
      <w:r>
        <w:rPr>
          <w:rStyle w:val="36"/>
          <w:color w:val="auto"/>
          <w:sz w:val="24"/>
          <w:szCs w:val="24"/>
        </w:rPr>
        <w:t>5.1 采用的安全评价方法理由及说明</w:t>
      </w:r>
      <w:r>
        <w:rPr>
          <w:color w:val="auto"/>
          <w:sz w:val="24"/>
          <w:szCs w:val="24"/>
        </w:rPr>
        <w:tab/>
      </w:r>
      <w:r>
        <w:rPr>
          <w:color w:val="auto"/>
          <w:sz w:val="24"/>
          <w:szCs w:val="24"/>
        </w:rPr>
        <w:fldChar w:fldCharType="begin"/>
      </w:r>
      <w:r>
        <w:rPr>
          <w:color w:val="auto"/>
          <w:sz w:val="24"/>
          <w:szCs w:val="24"/>
        </w:rPr>
        <w:instrText xml:space="preserve"> PAGEREF _Toc144109187 \h </w:instrText>
      </w:r>
      <w:r>
        <w:rPr>
          <w:color w:val="auto"/>
          <w:sz w:val="24"/>
          <w:szCs w:val="24"/>
        </w:rPr>
        <w:fldChar w:fldCharType="separate"/>
      </w:r>
      <w:r>
        <w:rPr>
          <w:color w:val="auto"/>
          <w:sz w:val="24"/>
          <w:szCs w:val="24"/>
        </w:rPr>
        <w:t>137</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"_Toc144109188" </w:instrText>
      </w:r>
      <w:r>
        <w:rPr>
          <w:color w:val="auto"/>
        </w:rPr>
        <w:fldChar w:fldCharType="separate"/>
      </w:r>
      <w:r>
        <w:rPr>
          <w:rStyle w:val="36"/>
          <w:color w:val="auto"/>
          <w:sz w:val="24"/>
          <w:szCs w:val="24"/>
        </w:rPr>
        <w:t>5.2 评价方法简介</w:t>
      </w:r>
      <w:r>
        <w:rPr>
          <w:color w:val="auto"/>
          <w:sz w:val="24"/>
          <w:szCs w:val="24"/>
        </w:rPr>
        <w:tab/>
      </w:r>
      <w:r>
        <w:rPr>
          <w:color w:val="auto"/>
          <w:sz w:val="24"/>
          <w:szCs w:val="24"/>
        </w:rPr>
        <w:fldChar w:fldCharType="begin"/>
      </w:r>
      <w:r>
        <w:rPr>
          <w:color w:val="auto"/>
          <w:sz w:val="24"/>
          <w:szCs w:val="24"/>
        </w:rPr>
        <w:instrText xml:space="preserve"> PAGEREF _Toc144109188 \h </w:instrText>
      </w:r>
      <w:r>
        <w:rPr>
          <w:color w:val="auto"/>
          <w:sz w:val="24"/>
          <w:szCs w:val="24"/>
        </w:rPr>
        <w:fldChar w:fldCharType="separate"/>
      </w:r>
      <w:r>
        <w:rPr>
          <w:color w:val="auto"/>
          <w:sz w:val="24"/>
          <w:szCs w:val="24"/>
        </w:rPr>
        <w:t>138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"_Toc144109189" </w:instrText>
      </w:r>
      <w:r>
        <w:rPr>
          <w:color w:val="auto"/>
        </w:rPr>
        <w:fldChar w:fldCharType="separate"/>
      </w:r>
      <w:r>
        <w:rPr>
          <w:rStyle w:val="36"/>
          <w:color w:val="auto"/>
          <w:sz w:val="24"/>
          <w:szCs w:val="24"/>
        </w:rPr>
        <w:t xml:space="preserve">5.3 </w:t>
      </w:r>
      <w:r>
        <w:rPr>
          <w:rStyle w:val="36"/>
          <w:rFonts w:ascii="宋体" w:hAnsi="宋体"/>
          <w:color w:val="auto"/>
          <w:sz w:val="24"/>
          <w:szCs w:val="24"/>
        </w:rPr>
        <w:t>评价单元与评价方法汇总</w:t>
      </w:r>
      <w:r>
        <w:rPr>
          <w:color w:val="auto"/>
          <w:sz w:val="24"/>
          <w:szCs w:val="24"/>
        </w:rPr>
        <w:tab/>
      </w:r>
      <w:r>
        <w:rPr>
          <w:color w:val="auto"/>
          <w:sz w:val="24"/>
          <w:szCs w:val="24"/>
        </w:rPr>
        <w:fldChar w:fldCharType="begin"/>
      </w:r>
      <w:r>
        <w:rPr>
          <w:color w:val="auto"/>
          <w:sz w:val="24"/>
          <w:szCs w:val="24"/>
        </w:rPr>
        <w:instrText xml:space="preserve"> PAGEREF _Toc144109189 \h </w:instrText>
      </w:r>
      <w:r>
        <w:rPr>
          <w:color w:val="auto"/>
          <w:sz w:val="24"/>
          <w:szCs w:val="24"/>
        </w:rPr>
        <w:fldChar w:fldCharType="separate"/>
      </w:r>
      <w:r>
        <w:rPr>
          <w:color w:val="auto"/>
          <w:sz w:val="24"/>
          <w:szCs w:val="24"/>
        </w:rPr>
        <w:t>141</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"_Toc144109190" </w:instrText>
      </w:r>
      <w:r>
        <w:rPr>
          <w:color w:val="auto"/>
        </w:rPr>
        <w:fldChar w:fldCharType="separate"/>
      </w:r>
      <w:r>
        <w:rPr>
          <w:rStyle w:val="36"/>
          <w:rFonts w:ascii="Calibri" w:hAnsi="Calibri"/>
          <w:color w:val="auto"/>
          <w:kern w:val="44"/>
          <w:sz w:val="24"/>
          <w:szCs w:val="24"/>
        </w:rPr>
        <w:t>6 定性、定量分析危险、有害因素的结果</w:t>
      </w:r>
      <w:r>
        <w:rPr>
          <w:color w:val="auto"/>
          <w:sz w:val="24"/>
          <w:szCs w:val="24"/>
        </w:rPr>
        <w:tab/>
      </w:r>
      <w:r>
        <w:rPr>
          <w:color w:val="auto"/>
          <w:sz w:val="24"/>
          <w:szCs w:val="24"/>
        </w:rPr>
        <w:fldChar w:fldCharType="begin"/>
      </w:r>
      <w:r>
        <w:rPr>
          <w:color w:val="auto"/>
          <w:sz w:val="24"/>
          <w:szCs w:val="24"/>
        </w:rPr>
        <w:instrText xml:space="preserve"> PAGEREF _Toc144109190 \h </w:instrText>
      </w:r>
      <w:r>
        <w:rPr>
          <w:color w:val="auto"/>
          <w:sz w:val="24"/>
          <w:szCs w:val="24"/>
        </w:rPr>
        <w:fldChar w:fldCharType="separate"/>
      </w:r>
      <w:r>
        <w:rPr>
          <w:color w:val="auto"/>
          <w:sz w:val="24"/>
          <w:szCs w:val="24"/>
        </w:rPr>
        <w:t>143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"_Toc144109191" </w:instrText>
      </w:r>
      <w:r>
        <w:rPr>
          <w:color w:val="auto"/>
        </w:rPr>
        <w:fldChar w:fldCharType="separate"/>
      </w:r>
      <w:r>
        <w:rPr>
          <w:rStyle w:val="36"/>
          <w:color w:val="auto"/>
          <w:sz w:val="24"/>
          <w:szCs w:val="24"/>
        </w:rPr>
        <w:t>6.1固有危险程度的分析</w:t>
      </w:r>
      <w:r>
        <w:rPr>
          <w:color w:val="auto"/>
          <w:sz w:val="24"/>
          <w:szCs w:val="24"/>
        </w:rPr>
        <w:tab/>
      </w:r>
      <w:r>
        <w:rPr>
          <w:color w:val="auto"/>
          <w:sz w:val="24"/>
          <w:szCs w:val="24"/>
        </w:rPr>
        <w:fldChar w:fldCharType="begin"/>
      </w:r>
      <w:r>
        <w:rPr>
          <w:color w:val="auto"/>
          <w:sz w:val="24"/>
          <w:szCs w:val="24"/>
        </w:rPr>
        <w:instrText xml:space="preserve"> PAGEREF _Toc144109191 \h </w:instrText>
      </w:r>
      <w:r>
        <w:rPr>
          <w:color w:val="auto"/>
          <w:sz w:val="24"/>
          <w:szCs w:val="24"/>
        </w:rPr>
        <w:fldChar w:fldCharType="separate"/>
      </w:r>
      <w:r>
        <w:rPr>
          <w:color w:val="auto"/>
          <w:sz w:val="24"/>
          <w:szCs w:val="24"/>
        </w:rPr>
        <w:t>143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"_Toc144109192" </w:instrText>
      </w:r>
      <w:r>
        <w:rPr>
          <w:color w:val="auto"/>
        </w:rPr>
        <w:fldChar w:fldCharType="separate"/>
      </w:r>
      <w:r>
        <w:rPr>
          <w:rStyle w:val="36"/>
          <w:rFonts w:ascii="Calibri" w:hAnsi="Calibri"/>
          <w:color w:val="auto"/>
          <w:sz w:val="24"/>
          <w:szCs w:val="24"/>
        </w:rPr>
        <w:t>6.1.1作业场所的固有危险程度分析</w:t>
      </w:r>
      <w:r>
        <w:rPr>
          <w:color w:val="auto"/>
          <w:sz w:val="24"/>
          <w:szCs w:val="24"/>
        </w:rPr>
        <w:tab/>
      </w:r>
      <w:r>
        <w:rPr>
          <w:color w:val="auto"/>
          <w:sz w:val="24"/>
          <w:szCs w:val="24"/>
        </w:rPr>
        <w:fldChar w:fldCharType="begin"/>
      </w:r>
      <w:r>
        <w:rPr>
          <w:color w:val="auto"/>
          <w:sz w:val="24"/>
          <w:szCs w:val="24"/>
        </w:rPr>
        <w:instrText xml:space="preserve"> PAGEREF _Toc144109192 \h </w:instrText>
      </w:r>
      <w:r>
        <w:rPr>
          <w:color w:val="auto"/>
          <w:sz w:val="24"/>
          <w:szCs w:val="24"/>
        </w:rPr>
        <w:fldChar w:fldCharType="separate"/>
      </w:r>
      <w:r>
        <w:rPr>
          <w:color w:val="auto"/>
          <w:sz w:val="24"/>
          <w:szCs w:val="24"/>
        </w:rPr>
        <w:t>143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"_Toc144109193" </w:instrText>
      </w:r>
      <w:r>
        <w:rPr>
          <w:color w:val="auto"/>
        </w:rPr>
        <w:fldChar w:fldCharType="separate"/>
      </w:r>
      <w:r>
        <w:rPr>
          <w:rStyle w:val="36"/>
          <w:rFonts w:ascii="Calibri" w:hAnsi="Calibri"/>
          <w:color w:val="auto"/>
          <w:sz w:val="24"/>
          <w:szCs w:val="24"/>
        </w:rPr>
        <w:t>6.1.2各单元固有危险程度定量分析</w:t>
      </w:r>
      <w:r>
        <w:rPr>
          <w:color w:val="auto"/>
          <w:sz w:val="24"/>
          <w:szCs w:val="24"/>
        </w:rPr>
        <w:tab/>
      </w:r>
      <w:r>
        <w:rPr>
          <w:color w:val="auto"/>
          <w:sz w:val="24"/>
          <w:szCs w:val="24"/>
        </w:rPr>
        <w:fldChar w:fldCharType="begin"/>
      </w:r>
      <w:r>
        <w:rPr>
          <w:color w:val="auto"/>
          <w:sz w:val="24"/>
          <w:szCs w:val="24"/>
        </w:rPr>
        <w:instrText xml:space="preserve"> PAGEREF _Toc144109193 \h </w:instrText>
      </w:r>
      <w:r>
        <w:rPr>
          <w:color w:val="auto"/>
          <w:sz w:val="24"/>
          <w:szCs w:val="24"/>
        </w:rPr>
        <w:fldChar w:fldCharType="separate"/>
      </w:r>
      <w:r>
        <w:rPr>
          <w:color w:val="auto"/>
          <w:sz w:val="24"/>
          <w:szCs w:val="24"/>
        </w:rPr>
        <w:t>143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"_Toc144109194" </w:instrText>
      </w:r>
      <w:r>
        <w:rPr>
          <w:color w:val="auto"/>
        </w:rPr>
        <w:fldChar w:fldCharType="separate"/>
      </w:r>
      <w:r>
        <w:rPr>
          <w:rStyle w:val="36"/>
          <w:color w:val="auto"/>
          <w:sz w:val="24"/>
          <w:szCs w:val="24"/>
        </w:rPr>
        <w:t>6.2定性定量分析评价</w:t>
      </w:r>
      <w:r>
        <w:rPr>
          <w:color w:val="auto"/>
          <w:sz w:val="24"/>
          <w:szCs w:val="24"/>
        </w:rPr>
        <w:tab/>
      </w:r>
      <w:r>
        <w:rPr>
          <w:color w:val="auto"/>
          <w:sz w:val="24"/>
          <w:szCs w:val="24"/>
        </w:rPr>
        <w:fldChar w:fldCharType="begin"/>
      </w:r>
      <w:r>
        <w:rPr>
          <w:color w:val="auto"/>
          <w:sz w:val="24"/>
          <w:szCs w:val="24"/>
        </w:rPr>
        <w:instrText xml:space="preserve"> PAGEREF _Toc144109194 \h </w:instrText>
      </w:r>
      <w:r>
        <w:rPr>
          <w:color w:val="auto"/>
          <w:sz w:val="24"/>
          <w:szCs w:val="24"/>
        </w:rPr>
        <w:fldChar w:fldCharType="separate"/>
      </w:r>
      <w:r>
        <w:rPr>
          <w:color w:val="auto"/>
          <w:sz w:val="24"/>
          <w:szCs w:val="24"/>
        </w:rPr>
        <w:t>148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"_Toc144109195" </w:instrText>
      </w:r>
      <w:r>
        <w:rPr>
          <w:color w:val="auto"/>
        </w:rPr>
        <w:fldChar w:fldCharType="separate"/>
      </w:r>
      <w:r>
        <w:rPr>
          <w:rStyle w:val="36"/>
          <w:color w:val="auto"/>
          <w:sz w:val="24"/>
          <w:szCs w:val="24"/>
        </w:rPr>
        <w:t>6.3风险程度的分析结果</w:t>
      </w:r>
      <w:r>
        <w:rPr>
          <w:color w:val="auto"/>
          <w:sz w:val="24"/>
          <w:szCs w:val="24"/>
        </w:rPr>
        <w:tab/>
      </w:r>
      <w:r>
        <w:rPr>
          <w:color w:val="auto"/>
          <w:sz w:val="24"/>
          <w:szCs w:val="24"/>
        </w:rPr>
        <w:fldChar w:fldCharType="begin"/>
      </w:r>
      <w:r>
        <w:rPr>
          <w:color w:val="auto"/>
          <w:sz w:val="24"/>
          <w:szCs w:val="24"/>
        </w:rPr>
        <w:instrText xml:space="preserve"> PAGEREF _Toc144109195 \h </w:instrText>
      </w:r>
      <w:r>
        <w:rPr>
          <w:color w:val="auto"/>
          <w:sz w:val="24"/>
          <w:szCs w:val="24"/>
        </w:rPr>
        <w:fldChar w:fldCharType="separate"/>
      </w:r>
      <w:r>
        <w:rPr>
          <w:color w:val="auto"/>
          <w:sz w:val="24"/>
          <w:szCs w:val="24"/>
        </w:rPr>
        <w:t>150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"_Toc144109196" </w:instrText>
      </w:r>
      <w:r>
        <w:rPr>
          <w:color w:val="auto"/>
        </w:rPr>
        <w:fldChar w:fldCharType="separate"/>
      </w:r>
      <w:r>
        <w:rPr>
          <w:rStyle w:val="36"/>
          <w:rFonts w:ascii="Calibri" w:hAnsi="Calibri"/>
          <w:color w:val="auto"/>
          <w:sz w:val="24"/>
          <w:szCs w:val="24"/>
        </w:rPr>
        <w:t>6.3.1危险化学品泄漏的可能性</w:t>
      </w:r>
      <w:r>
        <w:rPr>
          <w:color w:val="auto"/>
          <w:sz w:val="24"/>
          <w:szCs w:val="24"/>
        </w:rPr>
        <w:tab/>
      </w:r>
      <w:r>
        <w:rPr>
          <w:color w:val="auto"/>
          <w:sz w:val="24"/>
          <w:szCs w:val="24"/>
        </w:rPr>
        <w:fldChar w:fldCharType="begin"/>
      </w:r>
      <w:r>
        <w:rPr>
          <w:color w:val="auto"/>
          <w:sz w:val="24"/>
          <w:szCs w:val="24"/>
        </w:rPr>
        <w:instrText xml:space="preserve"> PAGEREF _Toc144109196 \h </w:instrText>
      </w:r>
      <w:r>
        <w:rPr>
          <w:color w:val="auto"/>
          <w:sz w:val="24"/>
          <w:szCs w:val="24"/>
        </w:rPr>
        <w:fldChar w:fldCharType="separate"/>
      </w:r>
      <w:r>
        <w:rPr>
          <w:color w:val="auto"/>
          <w:sz w:val="24"/>
          <w:szCs w:val="24"/>
        </w:rPr>
        <w:t>150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"_Toc144109197" </w:instrText>
      </w:r>
      <w:r>
        <w:rPr>
          <w:color w:val="auto"/>
        </w:rPr>
        <w:fldChar w:fldCharType="separate"/>
      </w:r>
      <w:r>
        <w:rPr>
          <w:rStyle w:val="36"/>
          <w:rFonts w:ascii="Calibri" w:hAnsi="Calibri"/>
          <w:color w:val="auto"/>
          <w:sz w:val="24"/>
          <w:szCs w:val="24"/>
        </w:rPr>
        <w:t>6.3.2爆炸性、可燃性的危险化学品泄漏造成火灾爆炸事故的条件</w:t>
      </w:r>
      <w:r>
        <w:rPr>
          <w:color w:val="auto"/>
          <w:sz w:val="24"/>
          <w:szCs w:val="24"/>
        </w:rPr>
        <w:tab/>
      </w:r>
      <w:r>
        <w:rPr>
          <w:color w:val="auto"/>
          <w:sz w:val="24"/>
          <w:szCs w:val="24"/>
        </w:rPr>
        <w:fldChar w:fldCharType="begin"/>
      </w:r>
      <w:r>
        <w:rPr>
          <w:color w:val="auto"/>
          <w:sz w:val="24"/>
          <w:szCs w:val="24"/>
        </w:rPr>
        <w:instrText xml:space="preserve"> PAGEREF _Toc144109197 \h </w:instrText>
      </w:r>
      <w:r>
        <w:rPr>
          <w:color w:val="auto"/>
          <w:sz w:val="24"/>
          <w:szCs w:val="24"/>
        </w:rPr>
        <w:fldChar w:fldCharType="separate"/>
      </w:r>
      <w:r>
        <w:rPr>
          <w:color w:val="auto"/>
          <w:sz w:val="24"/>
          <w:szCs w:val="24"/>
        </w:rPr>
        <w:t>152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"_Toc144109198" </w:instrText>
      </w:r>
      <w:r>
        <w:rPr>
          <w:color w:val="auto"/>
        </w:rPr>
        <w:fldChar w:fldCharType="separate"/>
      </w:r>
      <w:r>
        <w:rPr>
          <w:rStyle w:val="36"/>
          <w:rFonts w:ascii="Calibri" w:hAnsi="Calibri"/>
          <w:color w:val="auto"/>
          <w:sz w:val="24"/>
          <w:szCs w:val="24"/>
        </w:rPr>
        <w:t>6.3.3有毒化学品接触最高限值的时间</w:t>
      </w:r>
      <w:r>
        <w:rPr>
          <w:color w:val="auto"/>
          <w:sz w:val="24"/>
          <w:szCs w:val="24"/>
        </w:rPr>
        <w:tab/>
      </w:r>
      <w:r>
        <w:rPr>
          <w:color w:val="auto"/>
          <w:sz w:val="24"/>
          <w:szCs w:val="24"/>
        </w:rPr>
        <w:fldChar w:fldCharType="begin"/>
      </w:r>
      <w:r>
        <w:rPr>
          <w:color w:val="auto"/>
          <w:sz w:val="24"/>
          <w:szCs w:val="24"/>
        </w:rPr>
        <w:instrText xml:space="preserve"> PAGEREF _Toc144109198 \h </w:instrText>
      </w:r>
      <w:r>
        <w:rPr>
          <w:color w:val="auto"/>
          <w:sz w:val="24"/>
          <w:szCs w:val="24"/>
        </w:rPr>
        <w:fldChar w:fldCharType="separate"/>
      </w:r>
      <w:r>
        <w:rPr>
          <w:color w:val="auto"/>
          <w:sz w:val="24"/>
          <w:szCs w:val="24"/>
        </w:rPr>
        <w:t>153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"_Toc144109199" </w:instrText>
      </w:r>
      <w:r>
        <w:rPr>
          <w:color w:val="auto"/>
        </w:rPr>
        <w:fldChar w:fldCharType="separate"/>
      </w:r>
      <w:r>
        <w:rPr>
          <w:rStyle w:val="36"/>
          <w:rFonts w:ascii="Calibri" w:hAnsi="Calibri"/>
          <w:color w:val="auto"/>
          <w:sz w:val="24"/>
          <w:szCs w:val="24"/>
        </w:rPr>
        <w:t>6.3.4事故模型分析</w:t>
      </w:r>
      <w:r>
        <w:rPr>
          <w:color w:val="auto"/>
          <w:sz w:val="24"/>
          <w:szCs w:val="24"/>
        </w:rPr>
        <w:tab/>
      </w:r>
      <w:r>
        <w:rPr>
          <w:color w:val="auto"/>
          <w:sz w:val="24"/>
          <w:szCs w:val="24"/>
        </w:rPr>
        <w:fldChar w:fldCharType="begin"/>
      </w:r>
      <w:r>
        <w:rPr>
          <w:color w:val="auto"/>
          <w:sz w:val="24"/>
          <w:szCs w:val="24"/>
        </w:rPr>
        <w:instrText xml:space="preserve"> PAGEREF _Toc144109199 \h </w:instrText>
      </w:r>
      <w:r>
        <w:rPr>
          <w:color w:val="auto"/>
          <w:sz w:val="24"/>
          <w:szCs w:val="24"/>
        </w:rPr>
        <w:fldChar w:fldCharType="separate"/>
      </w:r>
      <w:r>
        <w:rPr>
          <w:color w:val="auto"/>
          <w:sz w:val="24"/>
          <w:szCs w:val="24"/>
        </w:rPr>
        <w:t>153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"_Toc144109200" </w:instrText>
      </w:r>
      <w:r>
        <w:rPr>
          <w:color w:val="auto"/>
        </w:rPr>
        <w:fldChar w:fldCharType="separate"/>
      </w:r>
      <w:r>
        <w:rPr>
          <w:rStyle w:val="36"/>
          <w:rFonts w:ascii="Calibri" w:hAnsi="Calibri"/>
          <w:color w:val="auto"/>
          <w:sz w:val="24"/>
          <w:szCs w:val="24"/>
        </w:rPr>
        <w:t>6.3.5多米诺效应分析</w:t>
      </w:r>
      <w:r>
        <w:rPr>
          <w:color w:val="auto"/>
          <w:sz w:val="24"/>
          <w:szCs w:val="24"/>
        </w:rPr>
        <w:tab/>
      </w:r>
      <w:r>
        <w:rPr>
          <w:color w:val="auto"/>
          <w:sz w:val="24"/>
          <w:szCs w:val="24"/>
        </w:rPr>
        <w:fldChar w:fldCharType="begin"/>
      </w:r>
      <w:r>
        <w:rPr>
          <w:color w:val="auto"/>
          <w:sz w:val="24"/>
          <w:szCs w:val="24"/>
        </w:rPr>
        <w:instrText xml:space="preserve"> PAGEREF _Toc144109200 \h </w:instrText>
      </w:r>
      <w:r>
        <w:rPr>
          <w:color w:val="auto"/>
          <w:sz w:val="24"/>
          <w:szCs w:val="24"/>
        </w:rPr>
        <w:fldChar w:fldCharType="separate"/>
      </w:r>
      <w:r>
        <w:rPr>
          <w:color w:val="auto"/>
          <w:sz w:val="24"/>
          <w:szCs w:val="24"/>
        </w:rPr>
        <w:t>155</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"_Toc144109201" </w:instrText>
      </w:r>
      <w:r>
        <w:rPr>
          <w:color w:val="auto"/>
        </w:rPr>
        <w:fldChar w:fldCharType="separate"/>
      </w:r>
      <w:r>
        <w:rPr>
          <w:rStyle w:val="36"/>
          <w:color w:val="auto"/>
          <w:kern w:val="44"/>
          <w:sz w:val="24"/>
          <w:szCs w:val="24"/>
        </w:rPr>
        <w:t>7.建设项目安全生产、安全条件的分析结果</w:t>
      </w:r>
      <w:r>
        <w:rPr>
          <w:color w:val="auto"/>
          <w:sz w:val="24"/>
          <w:szCs w:val="24"/>
        </w:rPr>
        <w:tab/>
      </w:r>
      <w:r>
        <w:rPr>
          <w:color w:val="auto"/>
          <w:sz w:val="24"/>
          <w:szCs w:val="24"/>
        </w:rPr>
        <w:fldChar w:fldCharType="begin"/>
      </w:r>
      <w:r>
        <w:rPr>
          <w:color w:val="auto"/>
          <w:sz w:val="24"/>
          <w:szCs w:val="24"/>
        </w:rPr>
        <w:instrText xml:space="preserve"> PAGEREF _Toc144109201 \h </w:instrText>
      </w:r>
      <w:r>
        <w:rPr>
          <w:color w:val="auto"/>
          <w:sz w:val="24"/>
          <w:szCs w:val="24"/>
        </w:rPr>
        <w:fldChar w:fldCharType="separate"/>
      </w:r>
      <w:r>
        <w:rPr>
          <w:color w:val="auto"/>
          <w:sz w:val="24"/>
          <w:szCs w:val="24"/>
        </w:rPr>
        <w:t>157</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"_Toc144109202" </w:instrText>
      </w:r>
      <w:r>
        <w:rPr>
          <w:color w:val="auto"/>
        </w:rPr>
        <w:fldChar w:fldCharType="separate"/>
      </w:r>
      <w:r>
        <w:rPr>
          <w:rStyle w:val="36"/>
          <w:rFonts w:ascii="Calibri Light" w:hAnsi="Calibri Light"/>
          <w:color w:val="auto"/>
          <w:sz w:val="24"/>
          <w:szCs w:val="24"/>
        </w:rPr>
        <w:t>7.1建设项目的外部情况分析结果</w:t>
      </w:r>
      <w:r>
        <w:rPr>
          <w:color w:val="auto"/>
          <w:sz w:val="24"/>
          <w:szCs w:val="24"/>
        </w:rPr>
        <w:tab/>
      </w:r>
      <w:r>
        <w:rPr>
          <w:color w:val="auto"/>
          <w:sz w:val="24"/>
          <w:szCs w:val="24"/>
        </w:rPr>
        <w:fldChar w:fldCharType="begin"/>
      </w:r>
      <w:r>
        <w:rPr>
          <w:color w:val="auto"/>
          <w:sz w:val="24"/>
          <w:szCs w:val="24"/>
        </w:rPr>
        <w:instrText xml:space="preserve"> PAGEREF _Toc144109202 \h </w:instrText>
      </w:r>
      <w:r>
        <w:rPr>
          <w:color w:val="auto"/>
          <w:sz w:val="24"/>
          <w:szCs w:val="24"/>
        </w:rPr>
        <w:fldChar w:fldCharType="separate"/>
      </w:r>
      <w:r>
        <w:rPr>
          <w:color w:val="auto"/>
          <w:sz w:val="24"/>
          <w:szCs w:val="24"/>
        </w:rPr>
        <w:t>157</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"_Toc144109203" </w:instrText>
      </w:r>
      <w:r>
        <w:rPr>
          <w:color w:val="auto"/>
        </w:rPr>
        <w:fldChar w:fldCharType="separate"/>
      </w:r>
      <w:r>
        <w:rPr>
          <w:rStyle w:val="36"/>
          <w:rFonts w:ascii="Calibri" w:hAnsi="Calibri"/>
          <w:color w:val="auto"/>
          <w:sz w:val="24"/>
          <w:szCs w:val="24"/>
        </w:rPr>
        <w:t>7.1.1自然条件</w:t>
      </w:r>
      <w:r>
        <w:rPr>
          <w:color w:val="auto"/>
          <w:sz w:val="24"/>
          <w:szCs w:val="24"/>
        </w:rPr>
        <w:tab/>
      </w:r>
      <w:r>
        <w:rPr>
          <w:color w:val="auto"/>
          <w:sz w:val="24"/>
          <w:szCs w:val="24"/>
        </w:rPr>
        <w:fldChar w:fldCharType="begin"/>
      </w:r>
      <w:r>
        <w:rPr>
          <w:color w:val="auto"/>
          <w:sz w:val="24"/>
          <w:szCs w:val="24"/>
        </w:rPr>
        <w:instrText xml:space="preserve"> PAGEREF _Toc144109203 \h </w:instrText>
      </w:r>
      <w:r>
        <w:rPr>
          <w:color w:val="auto"/>
          <w:sz w:val="24"/>
          <w:szCs w:val="24"/>
        </w:rPr>
        <w:fldChar w:fldCharType="separate"/>
      </w:r>
      <w:r>
        <w:rPr>
          <w:color w:val="auto"/>
          <w:sz w:val="24"/>
          <w:szCs w:val="24"/>
        </w:rPr>
        <w:t>157</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"_Toc144109204" </w:instrText>
      </w:r>
      <w:r>
        <w:rPr>
          <w:color w:val="auto"/>
        </w:rPr>
        <w:fldChar w:fldCharType="separate"/>
      </w:r>
      <w:r>
        <w:rPr>
          <w:rStyle w:val="36"/>
          <w:rFonts w:ascii="Calibri" w:hAnsi="Calibri"/>
          <w:color w:val="auto"/>
          <w:sz w:val="24"/>
          <w:szCs w:val="24"/>
        </w:rPr>
        <w:t>7.1.2周边环境</w:t>
      </w:r>
      <w:r>
        <w:rPr>
          <w:color w:val="auto"/>
          <w:sz w:val="24"/>
          <w:szCs w:val="24"/>
        </w:rPr>
        <w:tab/>
      </w:r>
      <w:r>
        <w:rPr>
          <w:color w:val="auto"/>
          <w:sz w:val="24"/>
          <w:szCs w:val="24"/>
        </w:rPr>
        <w:fldChar w:fldCharType="begin"/>
      </w:r>
      <w:r>
        <w:rPr>
          <w:color w:val="auto"/>
          <w:sz w:val="24"/>
          <w:szCs w:val="24"/>
        </w:rPr>
        <w:instrText xml:space="preserve"> PAGEREF _Toc144109204 \h </w:instrText>
      </w:r>
      <w:r>
        <w:rPr>
          <w:color w:val="auto"/>
          <w:sz w:val="24"/>
          <w:szCs w:val="24"/>
        </w:rPr>
        <w:fldChar w:fldCharType="separate"/>
      </w:r>
      <w:r>
        <w:rPr>
          <w:color w:val="auto"/>
          <w:sz w:val="24"/>
          <w:szCs w:val="24"/>
        </w:rPr>
        <w:t>159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"_Toc144109205" </w:instrText>
      </w:r>
      <w:r>
        <w:rPr>
          <w:color w:val="auto"/>
        </w:rPr>
        <w:fldChar w:fldCharType="separate"/>
      </w:r>
      <w:r>
        <w:rPr>
          <w:rStyle w:val="36"/>
          <w:rFonts w:ascii="Calibri" w:hAnsi="Calibri"/>
          <w:color w:val="auto"/>
          <w:sz w:val="24"/>
          <w:szCs w:val="24"/>
        </w:rPr>
        <w:t>7.1.3在建设项目爆炸、火灾、中毒范围内周边单位24小时内生产经营活动及居民生活情况</w:t>
      </w:r>
      <w:r>
        <w:rPr>
          <w:color w:val="auto"/>
          <w:sz w:val="24"/>
          <w:szCs w:val="24"/>
        </w:rPr>
        <w:tab/>
      </w:r>
      <w:r>
        <w:rPr>
          <w:color w:val="auto"/>
          <w:sz w:val="24"/>
          <w:szCs w:val="24"/>
        </w:rPr>
        <w:fldChar w:fldCharType="begin"/>
      </w:r>
      <w:r>
        <w:rPr>
          <w:color w:val="auto"/>
          <w:sz w:val="24"/>
          <w:szCs w:val="24"/>
        </w:rPr>
        <w:instrText xml:space="preserve"> PAGEREF _Toc144109205 \h </w:instrText>
      </w:r>
      <w:r>
        <w:rPr>
          <w:color w:val="auto"/>
          <w:sz w:val="24"/>
          <w:szCs w:val="24"/>
        </w:rPr>
        <w:fldChar w:fldCharType="separate"/>
      </w:r>
      <w:r>
        <w:rPr>
          <w:color w:val="auto"/>
          <w:sz w:val="24"/>
          <w:szCs w:val="24"/>
        </w:rPr>
        <w:t>162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"_Toc144109206" </w:instrText>
      </w:r>
      <w:r>
        <w:rPr>
          <w:color w:val="auto"/>
        </w:rPr>
        <w:fldChar w:fldCharType="separate"/>
      </w:r>
      <w:r>
        <w:rPr>
          <w:rStyle w:val="36"/>
          <w:rFonts w:ascii="Calibri" w:hAnsi="Calibri"/>
          <w:color w:val="auto"/>
          <w:sz w:val="24"/>
          <w:szCs w:val="24"/>
        </w:rPr>
        <w:t>7.1.4建设项目中生产装置、重大危险源与重要场所、区域的距离</w:t>
      </w:r>
      <w:r>
        <w:rPr>
          <w:color w:val="auto"/>
          <w:sz w:val="24"/>
          <w:szCs w:val="24"/>
        </w:rPr>
        <w:tab/>
      </w:r>
      <w:r>
        <w:rPr>
          <w:color w:val="auto"/>
          <w:sz w:val="24"/>
          <w:szCs w:val="24"/>
        </w:rPr>
        <w:fldChar w:fldCharType="begin"/>
      </w:r>
      <w:r>
        <w:rPr>
          <w:color w:val="auto"/>
          <w:sz w:val="24"/>
          <w:szCs w:val="24"/>
        </w:rPr>
        <w:instrText xml:space="preserve"> PAGEREF _Toc144109206 \h </w:instrText>
      </w:r>
      <w:r>
        <w:rPr>
          <w:color w:val="auto"/>
          <w:sz w:val="24"/>
          <w:szCs w:val="24"/>
        </w:rPr>
        <w:fldChar w:fldCharType="separate"/>
      </w:r>
      <w:r>
        <w:rPr>
          <w:color w:val="auto"/>
          <w:sz w:val="24"/>
          <w:szCs w:val="24"/>
        </w:rPr>
        <w:t>162</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"_Toc144109207" </w:instrText>
      </w:r>
      <w:r>
        <w:rPr>
          <w:color w:val="auto"/>
        </w:rPr>
        <w:fldChar w:fldCharType="separate"/>
      </w:r>
      <w:r>
        <w:rPr>
          <w:rStyle w:val="36"/>
          <w:rFonts w:ascii="Calibri Light" w:hAnsi="Calibri Light"/>
          <w:color w:val="auto"/>
          <w:sz w:val="24"/>
          <w:szCs w:val="24"/>
        </w:rPr>
        <w:t>7.2建设项目安全条件分析</w:t>
      </w:r>
      <w:r>
        <w:rPr>
          <w:color w:val="auto"/>
          <w:sz w:val="24"/>
          <w:szCs w:val="24"/>
        </w:rPr>
        <w:tab/>
      </w:r>
      <w:r>
        <w:rPr>
          <w:color w:val="auto"/>
          <w:sz w:val="24"/>
          <w:szCs w:val="24"/>
        </w:rPr>
        <w:fldChar w:fldCharType="begin"/>
      </w:r>
      <w:r>
        <w:rPr>
          <w:color w:val="auto"/>
          <w:sz w:val="24"/>
          <w:szCs w:val="24"/>
        </w:rPr>
        <w:instrText xml:space="preserve"> PAGEREF _Toc144109207 \h </w:instrText>
      </w:r>
      <w:r>
        <w:rPr>
          <w:color w:val="auto"/>
          <w:sz w:val="24"/>
          <w:szCs w:val="24"/>
        </w:rPr>
        <w:fldChar w:fldCharType="separate"/>
      </w:r>
      <w:r>
        <w:rPr>
          <w:color w:val="auto"/>
          <w:sz w:val="24"/>
          <w:szCs w:val="24"/>
        </w:rPr>
        <w:t>162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"_Toc144109208" </w:instrText>
      </w:r>
      <w:r>
        <w:rPr>
          <w:color w:val="auto"/>
        </w:rPr>
        <w:fldChar w:fldCharType="separate"/>
      </w:r>
      <w:r>
        <w:rPr>
          <w:rStyle w:val="36"/>
          <w:rFonts w:ascii="Calibri" w:hAnsi="Calibri"/>
          <w:color w:val="auto"/>
          <w:sz w:val="24"/>
          <w:szCs w:val="24"/>
        </w:rPr>
        <w:t>7.2.1建设项目与国家和当地政府产业政策与布局符合性分析</w:t>
      </w:r>
      <w:r>
        <w:rPr>
          <w:color w:val="auto"/>
          <w:sz w:val="24"/>
          <w:szCs w:val="24"/>
        </w:rPr>
        <w:tab/>
      </w:r>
      <w:r>
        <w:rPr>
          <w:color w:val="auto"/>
          <w:sz w:val="24"/>
          <w:szCs w:val="24"/>
        </w:rPr>
        <w:fldChar w:fldCharType="begin"/>
      </w:r>
      <w:r>
        <w:rPr>
          <w:color w:val="auto"/>
          <w:sz w:val="24"/>
          <w:szCs w:val="24"/>
        </w:rPr>
        <w:instrText xml:space="preserve"> PAGEREF _Toc144109208 \h </w:instrText>
      </w:r>
      <w:r>
        <w:rPr>
          <w:color w:val="auto"/>
          <w:sz w:val="24"/>
          <w:szCs w:val="24"/>
        </w:rPr>
        <w:fldChar w:fldCharType="separate"/>
      </w:r>
      <w:r>
        <w:rPr>
          <w:color w:val="auto"/>
          <w:sz w:val="24"/>
          <w:szCs w:val="24"/>
        </w:rPr>
        <w:t>162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"_Toc144109209" </w:instrText>
      </w:r>
      <w:r>
        <w:rPr>
          <w:color w:val="auto"/>
        </w:rPr>
        <w:fldChar w:fldCharType="separate"/>
      </w:r>
      <w:r>
        <w:rPr>
          <w:rStyle w:val="36"/>
          <w:rFonts w:ascii="Calibri" w:hAnsi="Calibri"/>
          <w:color w:val="auto"/>
          <w:sz w:val="24"/>
          <w:szCs w:val="24"/>
        </w:rPr>
        <w:t>7.2.2建设项目与当地政府区域规划符合性分析</w:t>
      </w:r>
      <w:r>
        <w:rPr>
          <w:color w:val="auto"/>
          <w:sz w:val="24"/>
          <w:szCs w:val="24"/>
        </w:rPr>
        <w:tab/>
      </w:r>
      <w:r>
        <w:rPr>
          <w:color w:val="auto"/>
          <w:sz w:val="24"/>
          <w:szCs w:val="24"/>
        </w:rPr>
        <w:fldChar w:fldCharType="begin"/>
      </w:r>
      <w:r>
        <w:rPr>
          <w:color w:val="auto"/>
          <w:sz w:val="24"/>
          <w:szCs w:val="24"/>
        </w:rPr>
        <w:instrText xml:space="preserve"> PAGEREF _Toc144109209 \h </w:instrText>
      </w:r>
      <w:r>
        <w:rPr>
          <w:color w:val="auto"/>
          <w:sz w:val="24"/>
          <w:szCs w:val="24"/>
        </w:rPr>
        <w:fldChar w:fldCharType="separate"/>
      </w:r>
      <w:r>
        <w:rPr>
          <w:color w:val="auto"/>
          <w:sz w:val="24"/>
          <w:szCs w:val="24"/>
        </w:rPr>
        <w:t>163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"_Toc144109210" </w:instrText>
      </w:r>
      <w:r>
        <w:rPr>
          <w:color w:val="auto"/>
        </w:rPr>
        <w:fldChar w:fldCharType="separate"/>
      </w:r>
      <w:r>
        <w:rPr>
          <w:rStyle w:val="36"/>
          <w:rFonts w:ascii="Calibri" w:hAnsi="Calibri"/>
          <w:color w:val="auto"/>
          <w:sz w:val="24"/>
          <w:szCs w:val="24"/>
        </w:rPr>
        <w:t>7.2.3建设项目选址符合性分析</w:t>
      </w:r>
      <w:r>
        <w:rPr>
          <w:color w:val="auto"/>
          <w:sz w:val="24"/>
          <w:szCs w:val="24"/>
        </w:rPr>
        <w:tab/>
      </w:r>
      <w:r>
        <w:rPr>
          <w:color w:val="auto"/>
          <w:sz w:val="24"/>
          <w:szCs w:val="24"/>
        </w:rPr>
        <w:fldChar w:fldCharType="begin"/>
      </w:r>
      <w:r>
        <w:rPr>
          <w:color w:val="auto"/>
          <w:sz w:val="24"/>
          <w:szCs w:val="24"/>
        </w:rPr>
        <w:instrText xml:space="preserve"> PAGEREF _Toc144109210 \h </w:instrText>
      </w:r>
      <w:r>
        <w:rPr>
          <w:color w:val="auto"/>
          <w:sz w:val="24"/>
          <w:szCs w:val="24"/>
        </w:rPr>
        <w:fldChar w:fldCharType="separate"/>
      </w:r>
      <w:r>
        <w:rPr>
          <w:color w:val="auto"/>
          <w:sz w:val="24"/>
          <w:szCs w:val="24"/>
        </w:rPr>
        <w:t>163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"_Toc144109211" </w:instrText>
      </w:r>
      <w:r>
        <w:rPr>
          <w:color w:val="auto"/>
        </w:rPr>
        <w:fldChar w:fldCharType="separate"/>
      </w:r>
      <w:r>
        <w:rPr>
          <w:rStyle w:val="36"/>
          <w:rFonts w:ascii="Calibri" w:hAnsi="Calibri"/>
          <w:color w:val="auto"/>
          <w:sz w:val="24"/>
          <w:szCs w:val="24"/>
        </w:rPr>
        <w:t>7.2.4建设项目所在地自然条件的影响分析</w:t>
      </w:r>
      <w:r>
        <w:rPr>
          <w:color w:val="auto"/>
          <w:sz w:val="24"/>
          <w:szCs w:val="24"/>
        </w:rPr>
        <w:tab/>
      </w:r>
      <w:r>
        <w:rPr>
          <w:color w:val="auto"/>
          <w:sz w:val="24"/>
          <w:szCs w:val="24"/>
        </w:rPr>
        <w:fldChar w:fldCharType="begin"/>
      </w:r>
      <w:r>
        <w:rPr>
          <w:color w:val="auto"/>
          <w:sz w:val="24"/>
          <w:szCs w:val="24"/>
        </w:rPr>
        <w:instrText xml:space="preserve"> PAGEREF _Toc144109211 \h </w:instrText>
      </w:r>
      <w:r>
        <w:rPr>
          <w:color w:val="auto"/>
          <w:sz w:val="24"/>
          <w:szCs w:val="24"/>
        </w:rPr>
        <w:fldChar w:fldCharType="separate"/>
      </w:r>
      <w:r>
        <w:rPr>
          <w:color w:val="auto"/>
          <w:sz w:val="24"/>
          <w:szCs w:val="24"/>
        </w:rPr>
        <w:t>164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"_Toc144109212" </w:instrText>
      </w:r>
      <w:r>
        <w:rPr>
          <w:color w:val="auto"/>
        </w:rPr>
        <w:fldChar w:fldCharType="separate"/>
      </w:r>
      <w:r>
        <w:rPr>
          <w:rStyle w:val="36"/>
          <w:rFonts w:ascii="Calibri" w:hAnsi="Calibri"/>
          <w:color w:val="auto"/>
          <w:sz w:val="24"/>
          <w:szCs w:val="24"/>
        </w:rPr>
        <w:t>7.2.5建设项目与其他现有、在建装置的相互影响</w:t>
      </w:r>
      <w:r>
        <w:rPr>
          <w:color w:val="auto"/>
          <w:sz w:val="24"/>
          <w:szCs w:val="24"/>
        </w:rPr>
        <w:tab/>
      </w:r>
      <w:r>
        <w:rPr>
          <w:color w:val="auto"/>
          <w:sz w:val="24"/>
          <w:szCs w:val="24"/>
        </w:rPr>
        <w:fldChar w:fldCharType="begin"/>
      </w:r>
      <w:r>
        <w:rPr>
          <w:color w:val="auto"/>
          <w:sz w:val="24"/>
          <w:szCs w:val="24"/>
        </w:rPr>
        <w:instrText xml:space="preserve"> PAGEREF _Toc144109212 \h </w:instrText>
      </w:r>
      <w:r>
        <w:rPr>
          <w:color w:val="auto"/>
          <w:sz w:val="24"/>
          <w:szCs w:val="24"/>
        </w:rPr>
        <w:fldChar w:fldCharType="separate"/>
      </w:r>
      <w:r>
        <w:rPr>
          <w:color w:val="auto"/>
          <w:sz w:val="24"/>
          <w:szCs w:val="24"/>
        </w:rPr>
        <w:t>165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"_Toc144109213" </w:instrText>
      </w:r>
      <w:r>
        <w:rPr>
          <w:color w:val="auto"/>
        </w:rPr>
        <w:fldChar w:fldCharType="separate"/>
      </w:r>
      <w:r>
        <w:rPr>
          <w:rStyle w:val="36"/>
          <w:rFonts w:ascii="Calibri" w:hAnsi="Calibri"/>
          <w:color w:val="auto"/>
          <w:sz w:val="24"/>
          <w:szCs w:val="24"/>
        </w:rPr>
        <w:t>7.2.6建设项目对周边生产、经营活动和居民生活的影响</w:t>
      </w:r>
      <w:r>
        <w:rPr>
          <w:color w:val="auto"/>
          <w:sz w:val="24"/>
          <w:szCs w:val="24"/>
        </w:rPr>
        <w:tab/>
      </w:r>
      <w:r>
        <w:rPr>
          <w:color w:val="auto"/>
          <w:sz w:val="24"/>
          <w:szCs w:val="24"/>
        </w:rPr>
        <w:fldChar w:fldCharType="begin"/>
      </w:r>
      <w:r>
        <w:rPr>
          <w:color w:val="auto"/>
          <w:sz w:val="24"/>
          <w:szCs w:val="24"/>
        </w:rPr>
        <w:instrText xml:space="preserve"> PAGEREF _Toc144109213 \h </w:instrText>
      </w:r>
      <w:r>
        <w:rPr>
          <w:color w:val="auto"/>
          <w:sz w:val="24"/>
          <w:szCs w:val="24"/>
        </w:rPr>
        <w:fldChar w:fldCharType="separate"/>
      </w:r>
      <w:r>
        <w:rPr>
          <w:color w:val="auto"/>
          <w:sz w:val="24"/>
          <w:szCs w:val="24"/>
        </w:rPr>
        <w:t>166</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"_Toc144109214" </w:instrText>
      </w:r>
      <w:r>
        <w:rPr>
          <w:color w:val="auto"/>
        </w:rPr>
        <w:fldChar w:fldCharType="separate"/>
      </w:r>
      <w:r>
        <w:rPr>
          <w:rStyle w:val="36"/>
          <w:rFonts w:ascii="Calibri" w:hAnsi="Calibri"/>
          <w:color w:val="auto"/>
          <w:sz w:val="24"/>
          <w:szCs w:val="24"/>
        </w:rPr>
        <w:t>7.2.7建设项目周边生产、经营活动和居民生活情况对建设项目投入生产后的影响</w:t>
      </w:r>
      <w:r>
        <w:rPr>
          <w:color w:val="auto"/>
          <w:sz w:val="24"/>
          <w:szCs w:val="24"/>
        </w:rPr>
        <w:tab/>
      </w:r>
      <w:r>
        <w:rPr>
          <w:color w:val="auto"/>
          <w:sz w:val="24"/>
          <w:szCs w:val="24"/>
        </w:rPr>
        <w:fldChar w:fldCharType="begin"/>
      </w:r>
      <w:r>
        <w:rPr>
          <w:color w:val="auto"/>
          <w:sz w:val="24"/>
          <w:szCs w:val="24"/>
        </w:rPr>
        <w:instrText xml:space="preserve"> PAGEREF _Toc144109214 \h </w:instrText>
      </w:r>
      <w:r>
        <w:rPr>
          <w:color w:val="auto"/>
          <w:sz w:val="24"/>
          <w:szCs w:val="24"/>
        </w:rPr>
        <w:fldChar w:fldCharType="separate"/>
      </w:r>
      <w:r>
        <w:rPr>
          <w:color w:val="auto"/>
          <w:sz w:val="24"/>
          <w:szCs w:val="24"/>
        </w:rPr>
        <w:t>167</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"_Toc144109215" </w:instrText>
      </w:r>
      <w:r>
        <w:rPr>
          <w:color w:val="auto"/>
        </w:rPr>
        <w:fldChar w:fldCharType="separate"/>
      </w:r>
      <w:r>
        <w:rPr>
          <w:rStyle w:val="36"/>
          <w:color w:val="auto"/>
          <w:kern w:val="44"/>
          <w:sz w:val="24"/>
          <w:szCs w:val="24"/>
        </w:rPr>
        <w:t>8 主要技术、工艺和装置、设备设施安全可靠性分析结果</w:t>
      </w:r>
      <w:r>
        <w:rPr>
          <w:color w:val="auto"/>
          <w:sz w:val="24"/>
          <w:szCs w:val="24"/>
        </w:rPr>
        <w:tab/>
      </w:r>
      <w:r>
        <w:rPr>
          <w:color w:val="auto"/>
          <w:sz w:val="24"/>
          <w:szCs w:val="24"/>
        </w:rPr>
        <w:fldChar w:fldCharType="begin"/>
      </w:r>
      <w:r>
        <w:rPr>
          <w:color w:val="auto"/>
          <w:sz w:val="24"/>
          <w:szCs w:val="24"/>
        </w:rPr>
        <w:instrText xml:space="preserve"> PAGEREF _Toc144109215 \h </w:instrText>
      </w:r>
      <w:r>
        <w:rPr>
          <w:color w:val="auto"/>
          <w:sz w:val="24"/>
          <w:szCs w:val="24"/>
        </w:rPr>
        <w:fldChar w:fldCharType="separate"/>
      </w:r>
      <w:r>
        <w:rPr>
          <w:color w:val="auto"/>
          <w:sz w:val="24"/>
          <w:szCs w:val="24"/>
        </w:rPr>
        <w:t>168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"_Toc144109216" </w:instrText>
      </w:r>
      <w:r>
        <w:rPr>
          <w:color w:val="auto"/>
        </w:rPr>
        <w:fldChar w:fldCharType="separate"/>
      </w:r>
      <w:r>
        <w:rPr>
          <w:rStyle w:val="36"/>
          <w:rFonts w:ascii="Calibri Light" w:hAnsi="Calibri Light"/>
          <w:color w:val="auto"/>
          <w:sz w:val="24"/>
          <w:szCs w:val="24"/>
        </w:rPr>
        <w:t>8.1总平面布置及建构筑物评价</w:t>
      </w:r>
      <w:r>
        <w:rPr>
          <w:color w:val="auto"/>
          <w:sz w:val="24"/>
          <w:szCs w:val="24"/>
        </w:rPr>
        <w:tab/>
      </w:r>
      <w:r>
        <w:rPr>
          <w:color w:val="auto"/>
          <w:sz w:val="24"/>
          <w:szCs w:val="24"/>
        </w:rPr>
        <w:fldChar w:fldCharType="begin"/>
      </w:r>
      <w:r>
        <w:rPr>
          <w:color w:val="auto"/>
          <w:sz w:val="24"/>
          <w:szCs w:val="24"/>
        </w:rPr>
        <w:instrText xml:space="preserve"> PAGEREF _Toc144109216 \h </w:instrText>
      </w:r>
      <w:r>
        <w:rPr>
          <w:color w:val="auto"/>
          <w:sz w:val="24"/>
          <w:szCs w:val="24"/>
        </w:rPr>
        <w:fldChar w:fldCharType="separate"/>
      </w:r>
      <w:r>
        <w:rPr>
          <w:color w:val="auto"/>
          <w:sz w:val="24"/>
          <w:szCs w:val="24"/>
        </w:rPr>
        <w:t>168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"_Toc144109217" </w:instrText>
      </w:r>
      <w:r>
        <w:rPr>
          <w:color w:val="auto"/>
        </w:rPr>
        <w:fldChar w:fldCharType="separate"/>
      </w:r>
      <w:r>
        <w:rPr>
          <w:rStyle w:val="36"/>
          <w:rFonts w:ascii="Calibri Light" w:hAnsi="Calibri Light"/>
          <w:color w:val="auto"/>
          <w:sz w:val="24"/>
          <w:szCs w:val="24"/>
        </w:rPr>
        <w:t>8.2工艺技术及生产装置的安全可靠性评价</w:t>
      </w:r>
      <w:r>
        <w:rPr>
          <w:color w:val="auto"/>
          <w:sz w:val="24"/>
          <w:szCs w:val="24"/>
        </w:rPr>
        <w:tab/>
      </w:r>
      <w:r>
        <w:rPr>
          <w:color w:val="auto"/>
          <w:sz w:val="24"/>
          <w:szCs w:val="24"/>
        </w:rPr>
        <w:fldChar w:fldCharType="begin"/>
      </w:r>
      <w:r>
        <w:rPr>
          <w:color w:val="auto"/>
          <w:sz w:val="24"/>
          <w:szCs w:val="24"/>
        </w:rPr>
        <w:instrText xml:space="preserve"> PAGEREF _Toc144109217 \h </w:instrText>
      </w:r>
      <w:r>
        <w:rPr>
          <w:color w:val="auto"/>
          <w:sz w:val="24"/>
          <w:szCs w:val="24"/>
        </w:rPr>
        <w:fldChar w:fldCharType="separate"/>
      </w:r>
      <w:r>
        <w:rPr>
          <w:color w:val="auto"/>
          <w:sz w:val="24"/>
          <w:szCs w:val="24"/>
        </w:rPr>
        <w:t>169</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"_Toc144109218" </w:instrText>
      </w:r>
      <w:r>
        <w:rPr>
          <w:color w:val="auto"/>
        </w:rPr>
        <w:fldChar w:fldCharType="separate"/>
      </w:r>
      <w:r>
        <w:rPr>
          <w:rStyle w:val="36"/>
          <w:rFonts w:ascii="Calibri Light" w:hAnsi="Calibri Light"/>
          <w:color w:val="auto"/>
          <w:sz w:val="24"/>
          <w:szCs w:val="24"/>
        </w:rPr>
        <w:t>8.3公用工程、辅助设施配套性评价</w:t>
      </w:r>
      <w:r>
        <w:rPr>
          <w:color w:val="auto"/>
          <w:sz w:val="24"/>
          <w:szCs w:val="24"/>
        </w:rPr>
        <w:tab/>
      </w:r>
      <w:r>
        <w:rPr>
          <w:color w:val="auto"/>
          <w:sz w:val="24"/>
          <w:szCs w:val="24"/>
        </w:rPr>
        <w:fldChar w:fldCharType="begin"/>
      </w:r>
      <w:r>
        <w:rPr>
          <w:color w:val="auto"/>
          <w:sz w:val="24"/>
          <w:szCs w:val="24"/>
        </w:rPr>
        <w:instrText xml:space="preserve"> PAGEREF _Toc144109218 \h </w:instrText>
      </w:r>
      <w:r>
        <w:rPr>
          <w:color w:val="auto"/>
          <w:sz w:val="24"/>
          <w:szCs w:val="24"/>
        </w:rPr>
        <w:fldChar w:fldCharType="separate"/>
      </w:r>
      <w:r>
        <w:rPr>
          <w:color w:val="auto"/>
          <w:sz w:val="24"/>
          <w:szCs w:val="24"/>
        </w:rPr>
        <w:t>170</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"_Toc144109219" </w:instrText>
      </w:r>
      <w:r>
        <w:rPr>
          <w:color w:val="auto"/>
        </w:rPr>
        <w:fldChar w:fldCharType="separate"/>
      </w:r>
      <w:r>
        <w:rPr>
          <w:rStyle w:val="36"/>
          <w:color w:val="auto"/>
          <w:kern w:val="44"/>
          <w:sz w:val="24"/>
          <w:szCs w:val="24"/>
        </w:rPr>
        <w:t>9.安全对策措施</w:t>
      </w:r>
      <w:r>
        <w:rPr>
          <w:color w:val="auto"/>
          <w:sz w:val="24"/>
          <w:szCs w:val="24"/>
        </w:rPr>
        <w:tab/>
      </w:r>
      <w:r>
        <w:rPr>
          <w:color w:val="auto"/>
          <w:sz w:val="24"/>
          <w:szCs w:val="24"/>
        </w:rPr>
        <w:fldChar w:fldCharType="begin"/>
      </w:r>
      <w:r>
        <w:rPr>
          <w:color w:val="auto"/>
          <w:sz w:val="24"/>
          <w:szCs w:val="24"/>
        </w:rPr>
        <w:instrText xml:space="preserve"> PAGEREF _Toc144109219 \h </w:instrText>
      </w:r>
      <w:r>
        <w:rPr>
          <w:color w:val="auto"/>
          <w:sz w:val="24"/>
          <w:szCs w:val="24"/>
        </w:rPr>
        <w:fldChar w:fldCharType="separate"/>
      </w:r>
      <w:r>
        <w:rPr>
          <w:color w:val="auto"/>
          <w:sz w:val="24"/>
          <w:szCs w:val="24"/>
        </w:rPr>
        <w:t>174</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"_Toc144109220" </w:instrText>
      </w:r>
      <w:r>
        <w:rPr>
          <w:color w:val="auto"/>
        </w:rPr>
        <w:fldChar w:fldCharType="separate"/>
      </w:r>
      <w:r>
        <w:rPr>
          <w:rStyle w:val="36"/>
          <w:rFonts w:ascii="Calibri Light" w:hAnsi="Calibri Light"/>
          <w:color w:val="auto"/>
          <w:sz w:val="24"/>
          <w:szCs w:val="24"/>
        </w:rPr>
        <w:t>9.1 安全对策措施建议的依据、原则</w:t>
      </w:r>
      <w:r>
        <w:rPr>
          <w:color w:val="auto"/>
          <w:sz w:val="24"/>
          <w:szCs w:val="24"/>
        </w:rPr>
        <w:tab/>
      </w:r>
      <w:r>
        <w:rPr>
          <w:color w:val="auto"/>
          <w:sz w:val="24"/>
          <w:szCs w:val="24"/>
        </w:rPr>
        <w:fldChar w:fldCharType="begin"/>
      </w:r>
      <w:r>
        <w:rPr>
          <w:color w:val="auto"/>
          <w:sz w:val="24"/>
          <w:szCs w:val="24"/>
        </w:rPr>
        <w:instrText xml:space="preserve"> PAGEREF _Toc144109220 \h </w:instrText>
      </w:r>
      <w:r>
        <w:rPr>
          <w:color w:val="auto"/>
          <w:sz w:val="24"/>
          <w:szCs w:val="24"/>
        </w:rPr>
        <w:fldChar w:fldCharType="separate"/>
      </w:r>
      <w:r>
        <w:rPr>
          <w:color w:val="auto"/>
          <w:sz w:val="24"/>
          <w:szCs w:val="24"/>
        </w:rPr>
        <w:t>174</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"_Toc144109221" </w:instrText>
      </w:r>
      <w:r>
        <w:rPr>
          <w:color w:val="auto"/>
        </w:rPr>
        <w:fldChar w:fldCharType="separate"/>
      </w:r>
      <w:r>
        <w:rPr>
          <w:rStyle w:val="36"/>
          <w:rFonts w:ascii="Calibri Light" w:hAnsi="Calibri Light"/>
          <w:color w:val="auto"/>
          <w:sz w:val="24"/>
          <w:szCs w:val="24"/>
        </w:rPr>
        <w:t>9.2 可研中的安全对策措施</w:t>
      </w:r>
      <w:r>
        <w:rPr>
          <w:color w:val="auto"/>
          <w:sz w:val="24"/>
          <w:szCs w:val="24"/>
        </w:rPr>
        <w:tab/>
      </w:r>
      <w:r>
        <w:rPr>
          <w:color w:val="auto"/>
          <w:sz w:val="24"/>
          <w:szCs w:val="24"/>
        </w:rPr>
        <w:fldChar w:fldCharType="begin"/>
      </w:r>
      <w:r>
        <w:rPr>
          <w:color w:val="auto"/>
          <w:sz w:val="24"/>
          <w:szCs w:val="24"/>
        </w:rPr>
        <w:instrText xml:space="preserve"> PAGEREF _Toc144109221 \h </w:instrText>
      </w:r>
      <w:r>
        <w:rPr>
          <w:color w:val="auto"/>
          <w:sz w:val="24"/>
          <w:szCs w:val="24"/>
        </w:rPr>
        <w:fldChar w:fldCharType="separate"/>
      </w:r>
      <w:r>
        <w:rPr>
          <w:color w:val="auto"/>
          <w:sz w:val="24"/>
          <w:szCs w:val="24"/>
        </w:rPr>
        <w:t>174</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"_Toc144109222" </w:instrText>
      </w:r>
      <w:r>
        <w:rPr>
          <w:color w:val="auto"/>
        </w:rPr>
        <w:fldChar w:fldCharType="separate"/>
      </w:r>
      <w:r>
        <w:rPr>
          <w:rStyle w:val="36"/>
          <w:rFonts w:ascii="Calibri Light" w:hAnsi="Calibri Light"/>
          <w:color w:val="auto"/>
          <w:sz w:val="24"/>
          <w:szCs w:val="24"/>
        </w:rPr>
        <w:t>9.3 本评价提出的安全对策措施</w:t>
      </w:r>
      <w:r>
        <w:rPr>
          <w:color w:val="auto"/>
          <w:sz w:val="24"/>
          <w:szCs w:val="24"/>
        </w:rPr>
        <w:tab/>
      </w:r>
      <w:r>
        <w:rPr>
          <w:color w:val="auto"/>
          <w:sz w:val="24"/>
          <w:szCs w:val="24"/>
        </w:rPr>
        <w:fldChar w:fldCharType="begin"/>
      </w:r>
      <w:r>
        <w:rPr>
          <w:color w:val="auto"/>
          <w:sz w:val="24"/>
          <w:szCs w:val="24"/>
        </w:rPr>
        <w:instrText xml:space="preserve"> PAGEREF _Toc144109222 \h </w:instrText>
      </w:r>
      <w:r>
        <w:rPr>
          <w:color w:val="auto"/>
          <w:sz w:val="24"/>
          <w:szCs w:val="24"/>
        </w:rPr>
        <w:fldChar w:fldCharType="separate"/>
      </w:r>
      <w:r>
        <w:rPr>
          <w:color w:val="auto"/>
          <w:sz w:val="24"/>
          <w:szCs w:val="24"/>
        </w:rPr>
        <w:t>179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"_Toc144109223" </w:instrText>
      </w:r>
      <w:r>
        <w:rPr>
          <w:color w:val="auto"/>
        </w:rPr>
        <w:fldChar w:fldCharType="separate"/>
      </w:r>
      <w:r>
        <w:rPr>
          <w:rStyle w:val="36"/>
          <w:rFonts w:ascii="Calibri" w:hAnsi="Calibri"/>
          <w:color w:val="auto"/>
          <w:sz w:val="24"/>
          <w:szCs w:val="24"/>
        </w:rPr>
        <w:t>1.建设项目的选址方面</w:t>
      </w:r>
      <w:r>
        <w:rPr>
          <w:color w:val="auto"/>
          <w:sz w:val="24"/>
          <w:szCs w:val="24"/>
        </w:rPr>
        <w:tab/>
      </w:r>
      <w:r>
        <w:rPr>
          <w:color w:val="auto"/>
          <w:sz w:val="24"/>
          <w:szCs w:val="24"/>
        </w:rPr>
        <w:fldChar w:fldCharType="begin"/>
      </w:r>
      <w:r>
        <w:rPr>
          <w:color w:val="auto"/>
          <w:sz w:val="24"/>
          <w:szCs w:val="24"/>
        </w:rPr>
        <w:instrText xml:space="preserve"> PAGEREF _Toc144109223 \h </w:instrText>
      </w:r>
      <w:r>
        <w:rPr>
          <w:color w:val="auto"/>
          <w:sz w:val="24"/>
          <w:szCs w:val="24"/>
        </w:rPr>
        <w:fldChar w:fldCharType="separate"/>
      </w:r>
      <w:r>
        <w:rPr>
          <w:color w:val="auto"/>
          <w:sz w:val="24"/>
          <w:szCs w:val="24"/>
        </w:rPr>
        <w:t>179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"_Toc144109224" </w:instrText>
      </w:r>
      <w:r>
        <w:rPr>
          <w:color w:val="auto"/>
        </w:rPr>
        <w:fldChar w:fldCharType="separate"/>
      </w:r>
      <w:r>
        <w:rPr>
          <w:rStyle w:val="36"/>
          <w:rFonts w:ascii="Calibri" w:hAnsi="Calibri"/>
          <w:color w:val="auto"/>
          <w:sz w:val="24"/>
          <w:szCs w:val="24"/>
        </w:rPr>
        <w:t>2.建设项目中主要装置、设备设施的布局及建构筑物方面</w:t>
      </w:r>
      <w:r>
        <w:rPr>
          <w:color w:val="auto"/>
          <w:sz w:val="24"/>
          <w:szCs w:val="24"/>
        </w:rPr>
        <w:tab/>
      </w:r>
      <w:r>
        <w:rPr>
          <w:color w:val="auto"/>
          <w:sz w:val="24"/>
          <w:szCs w:val="24"/>
        </w:rPr>
        <w:fldChar w:fldCharType="begin"/>
      </w:r>
      <w:r>
        <w:rPr>
          <w:color w:val="auto"/>
          <w:sz w:val="24"/>
          <w:szCs w:val="24"/>
        </w:rPr>
        <w:instrText xml:space="preserve"> PAGEREF _Toc144109224 \h </w:instrText>
      </w:r>
      <w:r>
        <w:rPr>
          <w:color w:val="auto"/>
          <w:sz w:val="24"/>
          <w:szCs w:val="24"/>
        </w:rPr>
        <w:fldChar w:fldCharType="separate"/>
      </w:r>
      <w:r>
        <w:rPr>
          <w:color w:val="auto"/>
          <w:sz w:val="24"/>
          <w:szCs w:val="24"/>
        </w:rPr>
        <w:t>179</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"_Toc144109225" </w:instrText>
      </w:r>
      <w:r>
        <w:rPr>
          <w:color w:val="auto"/>
        </w:rPr>
        <w:fldChar w:fldCharType="separate"/>
      </w:r>
      <w:r>
        <w:rPr>
          <w:rStyle w:val="36"/>
          <w:rFonts w:ascii="Calibri" w:hAnsi="Calibri"/>
          <w:color w:val="auto"/>
          <w:sz w:val="24"/>
          <w:szCs w:val="24"/>
        </w:rPr>
        <w:t>3.主要技术、工艺或者方式和装置、设备、设施方面</w:t>
      </w:r>
      <w:r>
        <w:rPr>
          <w:color w:val="auto"/>
          <w:sz w:val="24"/>
          <w:szCs w:val="24"/>
        </w:rPr>
        <w:tab/>
      </w:r>
      <w:r>
        <w:rPr>
          <w:color w:val="auto"/>
          <w:sz w:val="24"/>
          <w:szCs w:val="24"/>
        </w:rPr>
        <w:fldChar w:fldCharType="begin"/>
      </w:r>
      <w:r>
        <w:rPr>
          <w:color w:val="auto"/>
          <w:sz w:val="24"/>
          <w:szCs w:val="24"/>
        </w:rPr>
        <w:instrText xml:space="preserve"> PAGEREF _Toc144109225 \h </w:instrText>
      </w:r>
      <w:r>
        <w:rPr>
          <w:color w:val="auto"/>
          <w:sz w:val="24"/>
          <w:szCs w:val="24"/>
        </w:rPr>
        <w:fldChar w:fldCharType="separate"/>
      </w:r>
      <w:r>
        <w:rPr>
          <w:color w:val="auto"/>
          <w:sz w:val="24"/>
          <w:szCs w:val="24"/>
        </w:rPr>
        <w:t>188</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"_Toc144109226" </w:instrText>
      </w:r>
      <w:r>
        <w:rPr>
          <w:color w:val="auto"/>
        </w:rPr>
        <w:fldChar w:fldCharType="separate"/>
      </w:r>
      <w:r>
        <w:rPr>
          <w:rStyle w:val="36"/>
          <w:rFonts w:ascii="Calibri" w:hAnsi="Calibri"/>
          <w:color w:val="auto"/>
          <w:sz w:val="24"/>
          <w:szCs w:val="24"/>
        </w:rPr>
        <w:t>4.危险化学品生产或者储存过程配套和辅助工程方面</w:t>
      </w:r>
      <w:r>
        <w:rPr>
          <w:color w:val="auto"/>
          <w:sz w:val="24"/>
          <w:szCs w:val="24"/>
        </w:rPr>
        <w:tab/>
      </w:r>
      <w:r>
        <w:rPr>
          <w:color w:val="auto"/>
          <w:sz w:val="24"/>
          <w:szCs w:val="24"/>
        </w:rPr>
        <w:fldChar w:fldCharType="begin"/>
      </w:r>
      <w:r>
        <w:rPr>
          <w:color w:val="auto"/>
          <w:sz w:val="24"/>
          <w:szCs w:val="24"/>
        </w:rPr>
        <w:instrText xml:space="preserve"> PAGEREF _Toc144109226 \h </w:instrText>
      </w:r>
      <w:r>
        <w:rPr>
          <w:color w:val="auto"/>
          <w:sz w:val="24"/>
          <w:szCs w:val="24"/>
        </w:rPr>
        <w:fldChar w:fldCharType="separate"/>
      </w:r>
      <w:r>
        <w:rPr>
          <w:color w:val="auto"/>
          <w:sz w:val="24"/>
          <w:szCs w:val="24"/>
        </w:rPr>
        <w:t>196</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"_Toc144109227" </w:instrText>
      </w:r>
      <w:r>
        <w:rPr>
          <w:color w:val="auto"/>
        </w:rPr>
        <w:fldChar w:fldCharType="separate"/>
      </w:r>
      <w:r>
        <w:rPr>
          <w:rStyle w:val="36"/>
          <w:rFonts w:ascii="Calibri" w:hAnsi="Calibri"/>
          <w:color w:val="auto"/>
          <w:sz w:val="24"/>
          <w:szCs w:val="24"/>
        </w:rPr>
        <w:t>5安全管理方面</w:t>
      </w:r>
      <w:r>
        <w:rPr>
          <w:color w:val="auto"/>
          <w:sz w:val="24"/>
          <w:szCs w:val="24"/>
        </w:rPr>
        <w:tab/>
      </w:r>
      <w:r>
        <w:rPr>
          <w:color w:val="auto"/>
          <w:sz w:val="24"/>
          <w:szCs w:val="24"/>
        </w:rPr>
        <w:fldChar w:fldCharType="begin"/>
      </w:r>
      <w:r>
        <w:rPr>
          <w:color w:val="auto"/>
          <w:sz w:val="24"/>
          <w:szCs w:val="24"/>
        </w:rPr>
        <w:instrText xml:space="preserve"> PAGEREF _Toc144109227 \h </w:instrText>
      </w:r>
      <w:r>
        <w:rPr>
          <w:color w:val="auto"/>
          <w:sz w:val="24"/>
          <w:szCs w:val="24"/>
        </w:rPr>
        <w:fldChar w:fldCharType="separate"/>
      </w:r>
      <w:r>
        <w:rPr>
          <w:color w:val="auto"/>
          <w:sz w:val="24"/>
          <w:szCs w:val="24"/>
        </w:rPr>
        <w:t>205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"_Toc144109228" </w:instrText>
      </w:r>
      <w:r>
        <w:rPr>
          <w:color w:val="auto"/>
        </w:rPr>
        <w:fldChar w:fldCharType="separate"/>
      </w:r>
      <w:r>
        <w:rPr>
          <w:rStyle w:val="36"/>
          <w:rFonts w:ascii="Calibri" w:hAnsi="Calibri"/>
          <w:color w:val="auto"/>
          <w:sz w:val="24"/>
          <w:szCs w:val="24"/>
        </w:rPr>
        <w:t>6事故应急救援和器材方面</w:t>
      </w:r>
      <w:r>
        <w:rPr>
          <w:color w:val="auto"/>
          <w:sz w:val="24"/>
          <w:szCs w:val="24"/>
        </w:rPr>
        <w:tab/>
      </w:r>
      <w:r>
        <w:rPr>
          <w:color w:val="auto"/>
          <w:sz w:val="24"/>
          <w:szCs w:val="24"/>
        </w:rPr>
        <w:fldChar w:fldCharType="begin"/>
      </w:r>
      <w:r>
        <w:rPr>
          <w:color w:val="auto"/>
          <w:sz w:val="24"/>
          <w:szCs w:val="24"/>
        </w:rPr>
        <w:instrText xml:space="preserve"> PAGEREF _Toc144109228 \h </w:instrText>
      </w:r>
      <w:r>
        <w:rPr>
          <w:color w:val="auto"/>
          <w:sz w:val="24"/>
          <w:szCs w:val="24"/>
        </w:rPr>
        <w:fldChar w:fldCharType="separate"/>
      </w:r>
      <w:r>
        <w:rPr>
          <w:color w:val="auto"/>
          <w:sz w:val="24"/>
          <w:szCs w:val="24"/>
        </w:rPr>
        <w:t>214</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"_Toc144109229" </w:instrText>
      </w:r>
      <w:r>
        <w:rPr>
          <w:color w:val="auto"/>
        </w:rPr>
        <w:fldChar w:fldCharType="separate"/>
      </w:r>
      <w:r>
        <w:rPr>
          <w:rStyle w:val="36"/>
          <w:rFonts w:ascii="Calibri" w:hAnsi="Calibri"/>
          <w:color w:val="auto"/>
          <w:sz w:val="24"/>
          <w:szCs w:val="24"/>
        </w:rPr>
        <w:t>7其他建议</w:t>
      </w:r>
      <w:r>
        <w:rPr>
          <w:color w:val="auto"/>
          <w:sz w:val="24"/>
          <w:szCs w:val="24"/>
        </w:rPr>
        <w:tab/>
      </w:r>
      <w:r>
        <w:rPr>
          <w:color w:val="auto"/>
          <w:sz w:val="24"/>
          <w:szCs w:val="24"/>
        </w:rPr>
        <w:fldChar w:fldCharType="begin"/>
      </w:r>
      <w:r>
        <w:rPr>
          <w:color w:val="auto"/>
          <w:sz w:val="24"/>
          <w:szCs w:val="24"/>
        </w:rPr>
        <w:instrText xml:space="preserve"> PAGEREF _Toc144109229 \h </w:instrText>
      </w:r>
      <w:r>
        <w:rPr>
          <w:color w:val="auto"/>
          <w:sz w:val="24"/>
          <w:szCs w:val="24"/>
        </w:rPr>
        <w:fldChar w:fldCharType="separate"/>
      </w:r>
      <w:r>
        <w:rPr>
          <w:color w:val="auto"/>
          <w:sz w:val="24"/>
          <w:szCs w:val="24"/>
        </w:rPr>
        <w:t>217</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"_Toc144109230" </w:instrText>
      </w:r>
      <w:r>
        <w:rPr>
          <w:color w:val="auto"/>
        </w:rPr>
        <w:fldChar w:fldCharType="separate"/>
      </w:r>
      <w:r>
        <w:rPr>
          <w:rStyle w:val="36"/>
          <w:color w:val="auto"/>
          <w:kern w:val="44"/>
          <w:sz w:val="24"/>
          <w:szCs w:val="24"/>
        </w:rPr>
        <w:t>10.</w:t>
      </w:r>
      <w:r>
        <w:rPr>
          <w:rStyle w:val="36"/>
          <w:rFonts w:ascii="宋体" w:hAnsi="宋体"/>
          <w:color w:val="auto"/>
          <w:kern w:val="44"/>
          <w:sz w:val="24"/>
          <w:szCs w:val="24"/>
        </w:rPr>
        <w:t>评价结论</w:t>
      </w:r>
      <w:r>
        <w:rPr>
          <w:color w:val="auto"/>
          <w:sz w:val="24"/>
          <w:szCs w:val="24"/>
        </w:rPr>
        <w:tab/>
      </w:r>
      <w:r>
        <w:rPr>
          <w:color w:val="auto"/>
          <w:sz w:val="24"/>
          <w:szCs w:val="24"/>
        </w:rPr>
        <w:fldChar w:fldCharType="begin"/>
      </w:r>
      <w:r>
        <w:rPr>
          <w:color w:val="auto"/>
          <w:sz w:val="24"/>
          <w:szCs w:val="24"/>
        </w:rPr>
        <w:instrText xml:space="preserve"> PAGEREF _Toc144109230 \h </w:instrText>
      </w:r>
      <w:r>
        <w:rPr>
          <w:color w:val="auto"/>
          <w:sz w:val="24"/>
          <w:szCs w:val="24"/>
        </w:rPr>
        <w:fldChar w:fldCharType="separate"/>
      </w:r>
      <w:r>
        <w:rPr>
          <w:color w:val="auto"/>
          <w:sz w:val="24"/>
          <w:szCs w:val="24"/>
        </w:rPr>
        <w:t>221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"_Toc144109231" </w:instrText>
      </w:r>
      <w:r>
        <w:rPr>
          <w:color w:val="auto"/>
        </w:rPr>
        <w:fldChar w:fldCharType="separate"/>
      </w:r>
      <w:r>
        <w:rPr>
          <w:rStyle w:val="36"/>
          <w:color w:val="auto"/>
          <w:sz w:val="24"/>
          <w:szCs w:val="24"/>
        </w:rPr>
        <w:t xml:space="preserve">10.1 </w:t>
      </w:r>
      <w:r>
        <w:rPr>
          <w:rStyle w:val="36"/>
          <w:rFonts w:ascii="宋体" w:hAnsi="宋体"/>
          <w:color w:val="auto"/>
          <w:sz w:val="24"/>
          <w:szCs w:val="24"/>
        </w:rPr>
        <w:t>主要危险、有害因素辨识结果简述</w:t>
      </w:r>
      <w:r>
        <w:rPr>
          <w:color w:val="auto"/>
          <w:sz w:val="24"/>
          <w:szCs w:val="24"/>
        </w:rPr>
        <w:tab/>
      </w:r>
      <w:r>
        <w:rPr>
          <w:color w:val="auto"/>
          <w:sz w:val="24"/>
          <w:szCs w:val="24"/>
        </w:rPr>
        <w:fldChar w:fldCharType="begin"/>
      </w:r>
      <w:r>
        <w:rPr>
          <w:color w:val="auto"/>
          <w:sz w:val="24"/>
          <w:szCs w:val="24"/>
        </w:rPr>
        <w:instrText xml:space="preserve"> PAGEREF _Toc144109231 \h </w:instrText>
      </w:r>
      <w:r>
        <w:rPr>
          <w:color w:val="auto"/>
          <w:sz w:val="24"/>
          <w:szCs w:val="24"/>
        </w:rPr>
        <w:fldChar w:fldCharType="separate"/>
      </w:r>
      <w:r>
        <w:rPr>
          <w:color w:val="auto"/>
          <w:sz w:val="24"/>
          <w:szCs w:val="24"/>
        </w:rPr>
        <w:t>221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"_Toc144109232" </w:instrText>
      </w:r>
      <w:r>
        <w:rPr>
          <w:color w:val="auto"/>
        </w:rPr>
        <w:fldChar w:fldCharType="separate"/>
      </w:r>
      <w:r>
        <w:rPr>
          <w:rStyle w:val="36"/>
          <w:color w:val="auto"/>
          <w:sz w:val="24"/>
          <w:szCs w:val="24"/>
        </w:rPr>
        <w:t xml:space="preserve">10.2 </w:t>
      </w:r>
      <w:r>
        <w:rPr>
          <w:rStyle w:val="36"/>
          <w:rFonts w:ascii="宋体" w:hAnsi="宋体"/>
          <w:color w:val="auto"/>
          <w:sz w:val="24"/>
          <w:szCs w:val="24"/>
        </w:rPr>
        <w:t>安全条件的评价结果</w:t>
      </w:r>
      <w:r>
        <w:rPr>
          <w:color w:val="auto"/>
          <w:sz w:val="24"/>
          <w:szCs w:val="24"/>
        </w:rPr>
        <w:tab/>
      </w:r>
      <w:r>
        <w:rPr>
          <w:color w:val="auto"/>
          <w:sz w:val="24"/>
          <w:szCs w:val="24"/>
        </w:rPr>
        <w:fldChar w:fldCharType="begin"/>
      </w:r>
      <w:r>
        <w:rPr>
          <w:color w:val="auto"/>
          <w:sz w:val="24"/>
          <w:szCs w:val="24"/>
        </w:rPr>
        <w:instrText xml:space="preserve"> PAGEREF _Toc144109232 \h </w:instrText>
      </w:r>
      <w:r>
        <w:rPr>
          <w:color w:val="auto"/>
          <w:sz w:val="24"/>
          <w:szCs w:val="24"/>
        </w:rPr>
        <w:fldChar w:fldCharType="separate"/>
      </w:r>
      <w:r>
        <w:rPr>
          <w:color w:val="auto"/>
          <w:sz w:val="24"/>
          <w:szCs w:val="24"/>
        </w:rPr>
        <w:t>221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"_Toc144109233" </w:instrText>
      </w:r>
      <w:r>
        <w:rPr>
          <w:color w:val="auto"/>
        </w:rPr>
        <w:fldChar w:fldCharType="separate"/>
      </w:r>
      <w:r>
        <w:rPr>
          <w:rStyle w:val="36"/>
          <w:color w:val="auto"/>
          <w:sz w:val="24"/>
          <w:szCs w:val="24"/>
        </w:rPr>
        <w:t xml:space="preserve">10.3 </w:t>
      </w:r>
      <w:r>
        <w:rPr>
          <w:rStyle w:val="36"/>
          <w:rFonts w:ascii="宋体" w:hAnsi="宋体"/>
          <w:color w:val="auto"/>
          <w:sz w:val="24"/>
          <w:szCs w:val="24"/>
        </w:rPr>
        <w:t>项目应重视的安全对策措施建议</w:t>
      </w:r>
      <w:r>
        <w:rPr>
          <w:color w:val="auto"/>
          <w:sz w:val="24"/>
          <w:szCs w:val="24"/>
        </w:rPr>
        <w:tab/>
      </w:r>
      <w:r>
        <w:rPr>
          <w:color w:val="auto"/>
          <w:sz w:val="24"/>
          <w:szCs w:val="24"/>
        </w:rPr>
        <w:fldChar w:fldCharType="begin"/>
      </w:r>
      <w:r>
        <w:rPr>
          <w:color w:val="auto"/>
          <w:sz w:val="24"/>
          <w:szCs w:val="24"/>
        </w:rPr>
        <w:instrText xml:space="preserve"> PAGEREF _Toc144109233 \h </w:instrText>
      </w:r>
      <w:r>
        <w:rPr>
          <w:color w:val="auto"/>
          <w:sz w:val="24"/>
          <w:szCs w:val="24"/>
        </w:rPr>
        <w:fldChar w:fldCharType="separate"/>
      </w:r>
      <w:r>
        <w:rPr>
          <w:color w:val="auto"/>
          <w:sz w:val="24"/>
          <w:szCs w:val="24"/>
        </w:rPr>
        <w:t>223</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"_Toc144109234" </w:instrText>
      </w:r>
      <w:r>
        <w:rPr>
          <w:color w:val="auto"/>
        </w:rPr>
        <w:fldChar w:fldCharType="separate"/>
      </w:r>
      <w:r>
        <w:rPr>
          <w:rStyle w:val="36"/>
          <w:color w:val="auto"/>
          <w:sz w:val="24"/>
          <w:szCs w:val="24"/>
        </w:rPr>
        <w:t xml:space="preserve">10.4 </w:t>
      </w:r>
      <w:r>
        <w:rPr>
          <w:rStyle w:val="36"/>
          <w:rFonts w:ascii="宋体" w:hAnsi="宋体"/>
          <w:color w:val="auto"/>
          <w:sz w:val="24"/>
          <w:szCs w:val="24"/>
        </w:rPr>
        <w:t>主要技术、工艺和装置、设备、设施及其安全可靠性评价结果</w:t>
      </w:r>
      <w:r>
        <w:rPr>
          <w:color w:val="auto"/>
          <w:sz w:val="24"/>
          <w:szCs w:val="24"/>
        </w:rPr>
        <w:tab/>
      </w:r>
      <w:r>
        <w:rPr>
          <w:color w:val="auto"/>
          <w:sz w:val="24"/>
          <w:szCs w:val="24"/>
        </w:rPr>
        <w:fldChar w:fldCharType="begin"/>
      </w:r>
      <w:r>
        <w:rPr>
          <w:color w:val="auto"/>
          <w:sz w:val="24"/>
          <w:szCs w:val="24"/>
        </w:rPr>
        <w:instrText xml:space="preserve"> PAGEREF _Toc144109234 \h </w:instrText>
      </w:r>
      <w:r>
        <w:rPr>
          <w:color w:val="auto"/>
          <w:sz w:val="24"/>
          <w:szCs w:val="24"/>
        </w:rPr>
        <w:fldChar w:fldCharType="separate"/>
      </w:r>
      <w:r>
        <w:rPr>
          <w:color w:val="auto"/>
          <w:sz w:val="24"/>
          <w:szCs w:val="24"/>
        </w:rPr>
        <w:t>228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"_Toc144109235" </w:instrText>
      </w:r>
      <w:r>
        <w:rPr>
          <w:color w:val="auto"/>
        </w:rPr>
        <w:fldChar w:fldCharType="separate"/>
      </w:r>
      <w:r>
        <w:rPr>
          <w:rStyle w:val="36"/>
          <w:color w:val="auto"/>
          <w:sz w:val="24"/>
          <w:szCs w:val="24"/>
        </w:rPr>
        <w:t xml:space="preserve">10.5 </w:t>
      </w:r>
      <w:r>
        <w:rPr>
          <w:rStyle w:val="36"/>
          <w:rFonts w:ascii="宋体" w:hAnsi="宋体"/>
          <w:color w:val="auto"/>
          <w:sz w:val="24"/>
          <w:szCs w:val="24"/>
        </w:rPr>
        <w:t>结论</w:t>
      </w:r>
      <w:r>
        <w:rPr>
          <w:color w:val="auto"/>
          <w:sz w:val="24"/>
          <w:szCs w:val="24"/>
        </w:rPr>
        <w:tab/>
      </w:r>
      <w:r>
        <w:rPr>
          <w:color w:val="auto"/>
          <w:sz w:val="24"/>
          <w:szCs w:val="24"/>
        </w:rPr>
        <w:fldChar w:fldCharType="begin"/>
      </w:r>
      <w:r>
        <w:rPr>
          <w:color w:val="auto"/>
          <w:sz w:val="24"/>
          <w:szCs w:val="24"/>
        </w:rPr>
        <w:instrText xml:space="preserve"> PAGEREF _Toc144109235 \h </w:instrText>
      </w:r>
      <w:r>
        <w:rPr>
          <w:color w:val="auto"/>
          <w:sz w:val="24"/>
          <w:szCs w:val="24"/>
        </w:rPr>
        <w:fldChar w:fldCharType="separate"/>
      </w:r>
      <w:r>
        <w:rPr>
          <w:color w:val="auto"/>
          <w:sz w:val="24"/>
          <w:szCs w:val="24"/>
        </w:rPr>
        <w:t>229</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"_Toc144109236" </w:instrText>
      </w:r>
      <w:r>
        <w:rPr>
          <w:color w:val="auto"/>
        </w:rPr>
        <w:fldChar w:fldCharType="separate"/>
      </w:r>
      <w:r>
        <w:rPr>
          <w:rStyle w:val="36"/>
          <w:color w:val="auto"/>
          <w:kern w:val="44"/>
          <w:sz w:val="24"/>
          <w:szCs w:val="24"/>
        </w:rPr>
        <w:t>11.与建设单位交换意见的情况结果</w:t>
      </w:r>
      <w:r>
        <w:rPr>
          <w:color w:val="auto"/>
          <w:sz w:val="24"/>
          <w:szCs w:val="24"/>
        </w:rPr>
        <w:tab/>
      </w:r>
      <w:r>
        <w:rPr>
          <w:color w:val="auto"/>
          <w:sz w:val="24"/>
          <w:szCs w:val="24"/>
        </w:rPr>
        <w:fldChar w:fldCharType="begin"/>
      </w:r>
      <w:r>
        <w:rPr>
          <w:color w:val="auto"/>
          <w:sz w:val="24"/>
          <w:szCs w:val="24"/>
        </w:rPr>
        <w:instrText xml:space="preserve"> PAGEREF _Toc144109236 \h </w:instrText>
      </w:r>
      <w:r>
        <w:rPr>
          <w:color w:val="auto"/>
          <w:sz w:val="24"/>
          <w:szCs w:val="24"/>
        </w:rPr>
        <w:fldChar w:fldCharType="separate"/>
      </w:r>
      <w:r>
        <w:rPr>
          <w:color w:val="auto"/>
          <w:sz w:val="24"/>
          <w:szCs w:val="24"/>
        </w:rPr>
        <w:t>230</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"_Toc144109237" </w:instrText>
      </w:r>
      <w:r>
        <w:rPr>
          <w:color w:val="auto"/>
        </w:rPr>
        <w:fldChar w:fldCharType="separate"/>
      </w:r>
      <w:r>
        <w:rPr>
          <w:rStyle w:val="36"/>
          <w:color w:val="auto"/>
          <w:kern w:val="44"/>
          <w:sz w:val="24"/>
          <w:szCs w:val="24"/>
        </w:rPr>
        <w:t>附录A.化学品特性表</w:t>
      </w:r>
      <w:r>
        <w:rPr>
          <w:color w:val="auto"/>
          <w:sz w:val="24"/>
          <w:szCs w:val="24"/>
        </w:rPr>
        <w:tab/>
      </w:r>
      <w:r>
        <w:rPr>
          <w:color w:val="auto"/>
          <w:sz w:val="24"/>
          <w:szCs w:val="24"/>
        </w:rPr>
        <w:fldChar w:fldCharType="begin"/>
      </w:r>
      <w:r>
        <w:rPr>
          <w:color w:val="auto"/>
          <w:sz w:val="24"/>
          <w:szCs w:val="24"/>
        </w:rPr>
        <w:instrText xml:space="preserve"> PAGEREF _Toc144109237 \h </w:instrText>
      </w:r>
      <w:r>
        <w:rPr>
          <w:color w:val="auto"/>
          <w:sz w:val="24"/>
          <w:szCs w:val="24"/>
        </w:rPr>
        <w:fldChar w:fldCharType="separate"/>
      </w:r>
      <w:r>
        <w:rPr>
          <w:color w:val="auto"/>
          <w:sz w:val="24"/>
          <w:szCs w:val="24"/>
        </w:rPr>
        <w:t>231</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"_Toc144109238" </w:instrText>
      </w:r>
      <w:r>
        <w:rPr>
          <w:color w:val="auto"/>
        </w:rPr>
        <w:fldChar w:fldCharType="separate"/>
      </w:r>
      <w:r>
        <w:rPr>
          <w:rStyle w:val="36"/>
          <w:color w:val="auto"/>
          <w:kern w:val="44"/>
          <w:sz w:val="24"/>
          <w:szCs w:val="24"/>
        </w:rPr>
        <w:t>附录B.危险、有害因素的辨识及分析过程</w:t>
      </w:r>
      <w:r>
        <w:rPr>
          <w:color w:val="auto"/>
          <w:sz w:val="24"/>
          <w:szCs w:val="24"/>
        </w:rPr>
        <w:tab/>
      </w:r>
      <w:r>
        <w:rPr>
          <w:color w:val="auto"/>
          <w:sz w:val="24"/>
          <w:szCs w:val="24"/>
        </w:rPr>
        <w:fldChar w:fldCharType="begin"/>
      </w:r>
      <w:r>
        <w:rPr>
          <w:color w:val="auto"/>
          <w:sz w:val="24"/>
          <w:szCs w:val="24"/>
        </w:rPr>
        <w:instrText xml:space="preserve"> PAGEREF _Toc144109238 \h </w:instrText>
      </w:r>
      <w:r>
        <w:rPr>
          <w:color w:val="auto"/>
          <w:sz w:val="24"/>
          <w:szCs w:val="24"/>
        </w:rPr>
        <w:fldChar w:fldCharType="separate"/>
      </w:r>
      <w:r>
        <w:rPr>
          <w:color w:val="auto"/>
          <w:sz w:val="24"/>
          <w:szCs w:val="24"/>
        </w:rPr>
        <w:t>341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"_Toc144109239" </w:instrText>
      </w:r>
      <w:r>
        <w:rPr>
          <w:color w:val="auto"/>
        </w:rPr>
        <w:fldChar w:fldCharType="separate"/>
      </w:r>
      <w:r>
        <w:rPr>
          <w:rStyle w:val="36"/>
          <w:color w:val="auto"/>
          <w:sz w:val="24"/>
          <w:szCs w:val="24"/>
        </w:rPr>
        <w:t>B.1 危险、有害物质的辨识</w:t>
      </w:r>
      <w:r>
        <w:rPr>
          <w:color w:val="auto"/>
          <w:sz w:val="24"/>
          <w:szCs w:val="24"/>
        </w:rPr>
        <w:tab/>
      </w:r>
      <w:r>
        <w:rPr>
          <w:color w:val="auto"/>
          <w:sz w:val="24"/>
          <w:szCs w:val="24"/>
        </w:rPr>
        <w:fldChar w:fldCharType="begin"/>
      </w:r>
      <w:r>
        <w:rPr>
          <w:color w:val="auto"/>
          <w:sz w:val="24"/>
          <w:szCs w:val="24"/>
        </w:rPr>
        <w:instrText xml:space="preserve"> PAGEREF _Toc144109239 \h </w:instrText>
      </w:r>
      <w:r>
        <w:rPr>
          <w:color w:val="auto"/>
          <w:sz w:val="24"/>
          <w:szCs w:val="24"/>
        </w:rPr>
        <w:fldChar w:fldCharType="separate"/>
      </w:r>
      <w:r>
        <w:rPr>
          <w:color w:val="auto"/>
          <w:sz w:val="24"/>
          <w:szCs w:val="24"/>
        </w:rPr>
        <w:t>341</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"_Toc144109240" </w:instrText>
      </w:r>
      <w:r>
        <w:rPr>
          <w:color w:val="auto"/>
        </w:rPr>
        <w:fldChar w:fldCharType="separate"/>
      </w:r>
      <w:r>
        <w:rPr>
          <w:rStyle w:val="36"/>
          <w:rFonts w:ascii="Calibri" w:hAnsi="Calibri"/>
          <w:color w:val="auto"/>
          <w:sz w:val="24"/>
          <w:szCs w:val="24"/>
        </w:rPr>
        <w:t>B.1.1辨识依据</w:t>
      </w:r>
      <w:r>
        <w:rPr>
          <w:color w:val="auto"/>
          <w:sz w:val="24"/>
          <w:szCs w:val="24"/>
        </w:rPr>
        <w:tab/>
      </w:r>
      <w:r>
        <w:rPr>
          <w:color w:val="auto"/>
          <w:sz w:val="24"/>
          <w:szCs w:val="24"/>
        </w:rPr>
        <w:fldChar w:fldCharType="begin"/>
      </w:r>
      <w:r>
        <w:rPr>
          <w:color w:val="auto"/>
          <w:sz w:val="24"/>
          <w:szCs w:val="24"/>
        </w:rPr>
        <w:instrText xml:space="preserve"> PAGEREF _Toc144109240 \h </w:instrText>
      </w:r>
      <w:r>
        <w:rPr>
          <w:color w:val="auto"/>
          <w:sz w:val="24"/>
          <w:szCs w:val="24"/>
        </w:rPr>
        <w:fldChar w:fldCharType="separate"/>
      </w:r>
      <w:r>
        <w:rPr>
          <w:color w:val="auto"/>
          <w:sz w:val="24"/>
          <w:szCs w:val="24"/>
        </w:rPr>
        <w:t>341</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"_Toc144109241" </w:instrText>
      </w:r>
      <w:r>
        <w:rPr>
          <w:color w:val="auto"/>
        </w:rPr>
        <w:fldChar w:fldCharType="separate"/>
      </w:r>
      <w:r>
        <w:rPr>
          <w:rStyle w:val="36"/>
          <w:rFonts w:ascii="Calibri" w:hAnsi="Calibri"/>
          <w:color w:val="auto"/>
          <w:sz w:val="24"/>
          <w:szCs w:val="24"/>
        </w:rPr>
        <w:t>B.1.2主要危险物质分析</w:t>
      </w:r>
      <w:r>
        <w:rPr>
          <w:color w:val="auto"/>
          <w:sz w:val="24"/>
          <w:szCs w:val="24"/>
        </w:rPr>
        <w:tab/>
      </w:r>
      <w:r>
        <w:rPr>
          <w:color w:val="auto"/>
          <w:sz w:val="24"/>
          <w:szCs w:val="24"/>
        </w:rPr>
        <w:fldChar w:fldCharType="begin"/>
      </w:r>
      <w:r>
        <w:rPr>
          <w:color w:val="auto"/>
          <w:sz w:val="24"/>
          <w:szCs w:val="24"/>
        </w:rPr>
        <w:instrText xml:space="preserve"> PAGEREF _Toc144109241 \h </w:instrText>
      </w:r>
      <w:r>
        <w:rPr>
          <w:color w:val="auto"/>
          <w:sz w:val="24"/>
          <w:szCs w:val="24"/>
        </w:rPr>
        <w:fldChar w:fldCharType="separate"/>
      </w:r>
      <w:r>
        <w:rPr>
          <w:color w:val="auto"/>
          <w:sz w:val="24"/>
          <w:szCs w:val="24"/>
        </w:rPr>
        <w:t>341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"_Toc144109242" </w:instrText>
      </w:r>
      <w:r>
        <w:rPr>
          <w:color w:val="auto"/>
        </w:rPr>
        <w:fldChar w:fldCharType="separate"/>
      </w:r>
      <w:r>
        <w:rPr>
          <w:rStyle w:val="36"/>
          <w:color w:val="auto"/>
          <w:sz w:val="24"/>
          <w:szCs w:val="24"/>
        </w:rPr>
        <w:t>B.2 危险、有害因素的辨识</w:t>
      </w:r>
      <w:r>
        <w:rPr>
          <w:color w:val="auto"/>
          <w:sz w:val="24"/>
          <w:szCs w:val="24"/>
        </w:rPr>
        <w:tab/>
      </w:r>
      <w:r>
        <w:rPr>
          <w:color w:val="auto"/>
          <w:sz w:val="24"/>
          <w:szCs w:val="24"/>
        </w:rPr>
        <w:fldChar w:fldCharType="begin"/>
      </w:r>
      <w:r>
        <w:rPr>
          <w:color w:val="auto"/>
          <w:sz w:val="24"/>
          <w:szCs w:val="24"/>
        </w:rPr>
        <w:instrText xml:space="preserve"> PAGEREF _Toc144109242 \h </w:instrText>
      </w:r>
      <w:r>
        <w:rPr>
          <w:color w:val="auto"/>
          <w:sz w:val="24"/>
          <w:szCs w:val="24"/>
        </w:rPr>
        <w:fldChar w:fldCharType="separate"/>
      </w:r>
      <w:r>
        <w:rPr>
          <w:color w:val="auto"/>
          <w:sz w:val="24"/>
          <w:szCs w:val="24"/>
        </w:rPr>
        <w:t>342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"_Toc144109243" </w:instrText>
      </w:r>
      <w:r>
        <w:rPr>
          <w:color w:val="auto"/>
        </w:rPr>
        <w:fldChar w:fldCharType="separate"/>
      </w:r>
      <w:r>
        <w:rPr>
          <w:rStyle w:val="36"/>
          <w:rFonts w:ascii="Calibri" w:hAnsi="Calibri"/>
          <w:color w:val="auto"/>
          <w:sz w:val="24"/>
          <w:szCs w:val="24"/>
        </w:rPr>
        <w:t>B.2.1 辨识依据及产生原因</w:t>
      </w:r>
      <w:r>
        <w:rPr>
          <w:color w:val="auto"/>
          <w:sz w:val="24"/>
          <w:szCs w:val="24"/>
        </w:rPr>
        <w:tab/>
      </w:r>
      <w:r>
        <w:rPr>
          <w:color w:val="auto"/>
          <w:sz w:val="24"/>
          <w:szCs w:val="24"/>
        </w:rPr>
        <w:fldChar w:fldCharType="begin"/>
      </w:r>
      <w:r>
        <w:rPr>
          <w:color w:val="auto"/>
          <w:sz w:val="24"/>
          <w:szCs w:val="24"/>
        </w:rPr>
        <w:instrText xml:space="preserve"> PAGEREF _Toc144109243 \h </w:instrText>
      </w:r>
      <w:r>
        <w:rPr>
          <w:color w:val="auto"/>
          <w:sz w:val="24"/>
          <w:szCs w:val="24"/>
        </w:rPr>
        <w:fldChar w:fldCharType="separate"/>
      </w:r>
      <w:r>
        <w:rPr>
          <w:color w:val="auto"/>
          <w:sz w:val="24"/>
          <w:szCs w:val="24"/>
        </w:rPr>
        <w:t>342</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"_Toc144109244" </w:instrText>
      </w:r>
      <w:r>
        <w:rPr>
          <w:color w:val="auto"/>
        </w:rPr>
        <w:fldChar w:fldCharType="separate"/>
      </w:r>
      <w:r>
        <w:rPr>
          <w:rStyle w:val="36"/>
          <w:rFonts w:ascii="Calibri" w:hAnsi="Calibri"/>
          <w:color w:val="auto"/>
          <w:sz w:val="24"/>
          <w:szCs w:val="24"/>
        </w:rPr>
        <w:t>B.2.2 项目厂址与总平危险有害因素辨识分析</w:t>
      </w:r>
      <w:r>
        <w:rPr>
          <w:color w:val="auto"/>
          <w:sz w:val="24"/>
          <w:szCs w:val="24"/>
        </w:rPr>
        <w:tab/>
      </w:r>
      <w:r>
        <w:rPr>
          <w:color w:val="auto"/>
          <w:sz w:val="24"/>
          <w:szCs w:val="24"/>
        </w:rPr>
        <w:fldChar w:fldCharType="begin"/>
      </w:r>
      <w:r>
        <w:rPr>
          <w:color w:val="auto"/>
          <w:sz w:val="24"/>
          <w:szCs w:val="24"/>
        </w:rPr>
        <w:instrText xml:space="preserve"> PAGEREF _Toc144109244 \h </w:instrText>
      </w:r>
      <w:r>
        <w:rPr>
          <w:color w:val="auto"/>
          <w:sz w:val="24"/>
          <w:szCs w:val="24"/>
        </w:rPr>
        <w:fldChar w:fldCharType="separate"/>
      </w:r>
      <w:r>
        <w:rPr>
          <w:color w:val="auto"/>
          <w:sz w:val="24"/>
          <w:szCs w:val="24"/>
        </w:rPr>
        <w:t>345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"_Toc144109245" </w:instrText>
      </w:r>
      <w:r>
        <w:rPr>
          <w:color w:val="auto"/>
        </w:rPr>
        <w:fldChar w:fldCharType="separate"/>
      </w:r>
      <w:r>
        <w:rPr>
          <w:rStyle w:val="36"/>
          <w:rFonts w:ascii="Calibri" w:hAnsi="Calibri"/>
          <w:color w:val="auto"/>
          <w:sz w:val="24"/>
          <w:szCs w:val="24"/>
        </w:rPr>
        <w:t>B.2.3 按导致事故类别进行危险、有害因素辨识与分析</w:t>
      </w:r>
      <w:r>
        <w:rPr>
          <w:color w:val="auto"/>
          <w:sz w:val="24"/>
          <w:szCs w:val="24"/>
        </w:rPr>
        <w:tab/>
      </w:r>
      <w:r>
        <w:rPr>
          <w:color w:val="auto"/>
          <w:sz w:val="24"/>
          <w:szCs w:val="24"/>
        </w:rPr>
        <w:fldChar w:fldCharType="begin"/>
      </w:r>
      <w:r>
        <w:rPr>
          <w:color w:val="auto"/>
          <w:sz w:val="24"/>
          <w:szCs w:val="24"/>
        </w:rPr>
        <w:instrText xml:space="preserve"> PAGEREF _Toc144109245 \h </w:instrText>
      </w:r>
      <w:r>
        <w:rPr>
          <w:color w:val="auto"/>
          <w:sz w:val="24"/>
          <w:szCs w:val="24"/>
        </w:rPr>
        <w:fldChar w:fldCharType="separate"/>
      </w:r>
      <w:r>
        <w:rPr>
          <w:color w:val="auto"/>
          <w:sz w:val="24"/>
          <w:szCs w:val="24"/>
        </w:rPr>
        <w:t>350</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"_Toc144109246" </w:instrText>
      </w:r>
      <w:r>
        <w:rPr>
          <w:color w:val="auto"/>
        </w:rPr>
        <w:fldChar w:fldCharType="separate"/>
      </w:r>
      <w:r>
        <w:rPr>
          <w:rStyle w:val="36"/>
          <w:rFonts w:ascii="Calibri" w:hAnsi="Calibri"/>
          <w:color w:val="auto"/>
          <w:sz w:val="24"/>
          <w:szCs w:val="24"/>
        </w:rPr>
        <w:t>B.2.4 生产系统和辅助系统中有害因素辨识与分析</w:t>
      </w:r>
      <w:r>
        <w:rPr>
          <w:color w:val="auto"/>
          <w:sz w:val="24"/>
          <w:szCs w:val="24"/>
        </w:rPr>
        <w:tab/>
      </w:r>
      <w:r>
        <w:rPr>
          <w:color w:val="auto"/>
          <w:sz w:val="24"/>
          <w:szCs w:val="24"/>
        </w:rPr>
        <w:fldChar w:fldCharType="begin"/>
      </w:r>
      <w:r>
        <w:rPr>
          <w:color w:val="auto"/>
          <w:sz w:val="24"/>
          <w:szCs w:val="24"/>
        </w:rPr>
        <w:instrText xml:space="preserve"> PAGEREF _Toc144109246 \h </w:instrText>
      </w:r>
      <w:r>
        <w:rPr>
          <w:color w:val="auto"/>
          <w:sz w:val="24"/>
          <w:szCs w:val="24"/>
        </w:rPr>
        <w:fldChar w:fldCharType="separate"/>
      </w:r>
      <w:r>
        <w:rPr>
          <w:color w:val="auto"/>
          <w:sz w:val="24"/>
          <w:szCs w:val="24"/>
        </w:rPr>
        <w:t>377</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"_Toc144109247" </w:instrText>
      </w:r>
      <w:r>
        <w:rPr>
          <w:color w:val="auto"/>
        </w:rPr>
        <w:fldChar w:fldCharType="separate"/>
      </w:r>
      <w:r>
        <w:rPr>
          <w:rStyle w:val="36"/>
          <w:rFonts w:ascii="Calibri" w:hAnsi="Calibri"/>
          <w:color w:val="auto"/>
          <w:sz w:val="24"/>
          <w:szCs w:val="24"/>
        </w:rPr>
        <w:t>B.2.5 按导致事故直接原因进行危险、有害因素辨识与分析</w:t>
      </w:r>
      <w:r>
        <w:rPr>
          <w:color w:val="auto"/>
          <w:sz w:val="24"/>
          <w:szCs w:val="24"/>
        </w:rPr>
        <w:tab/>
      </w:r>
      <w:r>
        <w:rPr>
          <w:color w:val="auto"/>
          <w:sz w:val="24"/>
          <w:szCs w:val="24"/>
        </w:rPr>
        <w:fldChar w:fldCharType="begin"/>
      </w:r>
      <w:r>
        <w:rPr>
          <w:color w:val="auto"/>
          <w:sz w:val="24"/>
          <w:szCs w:val="24"/>
        </w:rPr>
        <w:instrText xml:space="preserve"> PAGEREF _Toc144109247 \h </w:instrText>
      </w:r>
      <w:r>
        <w:rPr>
          <w:color w:val="auto"/>
          <w:sz w:val="24"/>
          <w:szCs w:val="24"/>
        </w:rPr>
        <w:fldChar w:fldCharType="separate"/>
      </w:r>
      <w:r>
        <w:rPr>
          <w:color w:val="auto"/>
          <w:sz w:val="24"/>
          <w:szCs w:val="24"/>
        </w:rPr>
        <w:t>379</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"_Toc144109248" </w:instrText>
      </w:r>
      <w:r>
        <w:rPr>
          <w:color w:val="auto"/>
        </w:rPr>
        <w:fldChar w:fldCharType="separate"/>
      </w:r>
      <w:r>
        <w:rPr>
          <w:rStyle w:val="36"/>
          <w:color w:val="auto"/>
          <w:sz w:val="24"/>
          <w:szCs w:val="24"/>
        </w:rPr>
        <w:t>B.3 重大危险源辨识结果</w:t>
      </w:r>
      <w:r>
        <w:rPr>
          <w:color w:val="auto"/>
          <w:sz w:val="24"/>
          <w:szCs w:val="24"/>
        </w:rPr>
        <w:tab/>
      </w:r>
      <w:r>
        <w:rPr>
          <w:color w:val="auto"/>
          <w:sz w:val="24"/>
          <w:szCs w:val="24"/>
        </w:rPr>
        <w:fldChar w:fldCharType="begin"/>
      </w:r>
      <w:r>
        <w:rPr>
          <w:color w:val="auto"/>
          <w:sz w:val="24"/>
          <w:szCs w:val="24"/>
        </w:rPr>
        <w:instrText xml:space="preserve"> PAGEREF _Toc144109248 \h </w:instrText>
      </w:r>
      <w:r>
        <w:rPr>
          <w:color w:val="auto"/>
          <w:sz w:val="24"/>
          <w:szCs w:val="24"/>
        </w:rPr>
        <w:fldChar w:fldCharType="separate"/>
      </w:r>
      <w:r>
        <w:rPr>
          <w:color w:val="auto"/>
          <w:sz w:val="24"/>
          <w:szCs w:val="24"/>
        </w:rPr>
        <w:t>383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"_Toc144109249" </w:instrText>
      </w:r>
      <w:r>
        <w:rPr>
          <w:color w:val="auto"/>
        </w:rPr>
        <w:fldChar w:fldCharType="separate"/>
      </w:r>
      <w:r>
        <w:rPr>
          <w:rStyle w:val="36"/>
          <w:rFonts w:ascii="Calibri" w:hAnsi="Calibri"/>
          <w:color w:val="auto"/>
          <w:sz w:val="24"/>
          <w:szCs w:val="24"/>
        </w:rPr>
        <w:t>B.3.1重大危险源辨识相关资料介绍</w:t>
      </w:r>
      <w:r>
        <w:rPr>
          <w:color w:val="auto"/>
          <w:sz w:val="24"/>
          <w:szCs w:val="24"/>
        </w:rPr>
        <w:tab/>
      </w:r>
      <w:r>
        <w:rPr>
          <w:color w:val="auto"/>
          <w:sz w:val="24"/>
          <w:szCs w:val="24"/>
        </w:rPr>
        <w:fldChar w:fldCharType="begin"/>
      </w:r>
      <w:r>
        <w:rPr>
          <w:color w:val="auto"/>
          <w:sz w:val="24"/>
          <w:szCs w:val="24"/>
        </w:rPr>
        <w:instrText xml:space="preserve"> PAGEREF _Toc144109249 \h </w:instrText>
      </w:r>
      <w:r>
        <w:rPr>
          <w:color w:val="auto"/>
          <w:sz w:val="24"/>
          <w:szCs w:val="24"/>
        </w:rPr>
        <w:fldChar w:fldCharType="separate"/>
      </w:r>
      <w:r>
        <w:rPr>
          <w:color w:val="auto"/>
          <w:sz w:val="24"/>
          <w:szCs w:val="24"/>
        </w:rPr>
        <w:t>383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"_Toc144109250" </w:instrText>
      </w:r>
      <w:r>
        <w:rPr>
          <w:color w:val="auto"/>
        </w:rPr>
        <w:fldChar w:fldCharType="separate"/>
      </w:r>
      <w:r>
        <w:rPr>
          <w:rStyle w:val="36"/>
          <w:rFonts w:ascii="Calibri" w:hAnsi="Calibri"/>
          <w:color w:val="auto"/>
          <w:sz w:val="24"/>
          <w:szCs w:val="24"/>
        </w:rPr>
        <w:t>B.3.2 危险化学品重大危险源辩识过程</w:t>
      </w:r>
      <w:r>
        <w:rPr>
          <w:color w:val="auto"/>
          <w:sz w:val="24"/>
          <w:szCs w:val="24"/>
        </w:rPr>
        <w:tab/>
      </w:r>
      <w:r>
        <w:rPr>
          <w:color w:val="auto"/>
          <w:sz w:val="24"/>
          <w:szCs w:val="24"/>
        </w:rPr>
        <w:fldChar w:fldCharType="begin"/>
      </w:r>
      <w:r>
        <w:rPr>
          <w:color w:val="auto"/>
          <w:sz w:val="24"/>
          <w:szCs w:val="24"/>
        </w:rPr>
        <w:instrText xml:space="preserve"> PAGEREF _Toc144109250 \h </w:instrText>
      </w:r>
      <w:r>
        <w:rPr>
          <w:color w:val="auto"/>
          <w:sz w:val="24"/>
          <w:szCs w:val="24"/>
        </w:rPr>
        <w:fldChar w:fldCharType="separate"/>
      </w:r>
      <w:r>
        <w:rPr>
          <w:color w:val="auto"/>
          <w:sz w:val="24"/>
          <w:szCs w:val="24"/>
        </w:rPr>
        <w:t>385</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"_Toc144109251" </w:instrText>
      </w:r>
      <w:r>
        <w:rPr>
          <w:color w:val="auto"/>
        </w:rPr>
        <w:fldChar w:fldCharType="separate"/>
      </w:r>
      <w:r>
        <w:rPr>
          <w:rStyle w:val="36"/>
          <w:rFonts w:ascii="Calibri" w:hAnsi="Calibri"/>
          <w:color w:val="auto"/>
          <w:sz w:val="24"/>
          <w:szCs w:val="24"/>
        </w:rPr>
        <w:t>B.3.2 危险化学品重大危险源辩识结果</w:t>
      </w:r>
      <w:r>
        <w:rPr>
          <w:color w:val="auto"/>
          <w:sz w:val="24"/>
          <w:szCs w:val="24"/>
        </w:rPr>
        <w:tab/>
      </w:r>
      <w:r>
        <w:rPr>
          <w:color w:val="auto"/>
          <w:sz w:val="24"/>
          <w:szCs w:val="24"/>
        </w:rPr>
        <w:fldChar w:fldCharType="begin"/>
      </w:r>
      <w:r>
        <w:rPr>
          <w:color w:val="auto"/>
          <w:sz w:val="24"/>
          <w:szCs w:val="24"/>
        </w:rPr>
        <w:instrText xml:space="preserve"> PAGEREF _Toc144109251 \h </w:instrText>
      </w:r>
      <w:r>
        <w:rPr>
          <w:color w:val="auto"/>
          <w:sz w:val="24"/>
          <w:szCs w:val="24"/>
        </w:rPr>
        <w:fldChar w:fldCharType="separate"/>
      </w:r>
      <w:r>
        <w:rPr>
          <w:color w:val="auto"/>
          <w:sz w:val="24"/>
          <w:szCs w:val="24"/>
        </w:rPr>
        <w:t>389</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"_Toc144109252" </w:instrText>
      </w:r>
      <w:r>
        <w:rPr>
          <w:color w:val="auto"/>
        </w:rPr>
        <w:fldChar w:fldCharType="separate"/>
      </w:r>
      <w:r>
        <w:rPr>
          <w:rStyle w:val="36"/>
          <w:color w:val="auto"/>
          <w:kern w:val="44"/>
          <w:sz w:val="24"/>
          <w:szCs w:val="24"/>
        </w:rPr>
        <w:t>附录C.</w:t>
      </w:r>
      <w:r>
        <w:rPr>
          <w:rStyle w:val="36"/>
          <w:rFonts w:ascii="宋体" w:hAnsi="宋体"/>
          <w:color w:val="auto"/>
          <w:kern w:val="44"/>
          <w:sz w:val="24"/>
          <w:szCs w:val="24"/>
        </w:rPr>
        <w:t>定性、定量分析危险、有害程度的过程</w:t>
      </w:r>
      <w:r>
        <w:rPr>
          <w:color w:val="auto"/>
          <w:sz w:val="24"/>
          <w:szCs w:val="24"/>
        </w:rPr>
        <w:tab/>
      </w:r>
      <w:r>
        <w:rPr>
          <w:color w:val="auto"/>
          <w:sz w:val="24"/>
          <w:szCs w:val="24"/>
        </w:rPr>
        <w:fldChar w:fldCharType="begin"/>
      </w:r>
      <w:r>
        <w:rPr>
          <w:color w:val="auto"/>
          <w:sz w:val="24"/>
          <w:szCs w:val="24"/>
        </w:rPr>
        <w:instrText xml:space="preserve"> PAGEREF _Toc144109252 \h </w:instrText>
      </w:r>
      <w:r>
        <w:rPr>
          <w:color w:val="auto"/>
          <w:sz w:val="24"/>
          <w:szCs w:val="24"/>
        </w:rPr>
        <w:fldChar w:fldCharType="separate"/>
      </w:r>
      <w:r>
        <w:rPr>
          <w:color w:val="auto"/>
          <w:sz w:val="24"/>
          <w:szCs w:val="24"/>
        </w:rPr>
        <w:t>391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"_Toc144109253" </w:instrText>
      </w:r>
      <w:r>
        <w:rPr>
          <w:color w:val="auto"/>
        </w:rPr>
        <w:fldChar w:fldCharType="separate"/>
      </w:r>
      <w:r>
        <w:rPr>
          <w:rStyle w:val="36"/>
          <w:rFonts w:ascii="Calibri Light" w:hAnsi="Calibri Light"/>
          <w:color w:val="auto"/>
          <w:sz w:val="24"/>
          <w:szCs w:val="24"/>
        </w:rPr>
        <w:t>C.1.1 项目选址与周边环境单元评价</w:t>
      </w:r>
      <w:r>
        <w:rPr>
          <w:color w:val="auto"/>
          <w:sz w:val="24"/>
          <w:szCs w:val="24"/>
        </w:rPr>
        <w:tab/>
      </w:r>
      <w:r>
        <w:rPr>
          <w:color w:val="auto"/>
          <w:sz w:val="24"/>
          <w:szCs w:val="24"/>
        </w:rPr>
        <w:fldChar w:fldCharType="begin"/>
      </w:r>
      <w:r>
        <w:rPr>
          <w:color w:val="auto"/>
          <w:sz w:val="24"/>
          <w:szCs w:val="24"/>
        </w:rPr>
        <w:instrText xml:space="preserve"> PAGEREF _Toc144109253 \h </w:instrText>
      </w:r>
      <w:r>
        <w:rPr>
          <w:color w:val="auto"/>
          <w:sz w:val="24"/>
          <w:szCs w:val="24"/>
        </w:rPr>
        <w:fldChar w:fldCharType="separate"/>
      </w:r>
      <w:r>
        <w:rPr>
          <w:color w:val="auto"/>
          <w:sz w:val="24"/>
          <w:szCs w:val="24"/>
        </w:rPr>
        <w:t>391</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"_Toc144109254" </w:instrText>
      </w:r>
      <w:r>
        <w:rPr>
          <w:color w:val="auto"/>
        </w:rPr>
        <w:fldChar w:fldCharType="separate"/>
      </w:r>
      <w:r>
        <w:rPr>
          <w:rStyle w:val="36"/>
          <w:rFonts w:ascii="Calibri Light" w:hAnsi="Calibri Light"/>
          <w:color w:val="auto"/>
          <w:sz w:val="24"/>
          <w:szCs w:val="24"/>
        </w:rPr>
        <w:t>C.1.2 总平面布置及建（构）筑物评价</w:t>
      </w:r>
      <w:r>
        <w:rPr>
          <w:color w:val="auto"/>
          <w:sz w:val="24"/>
          <w:szCs w:val="24"/>
        </w:rPr>
        <w:tab/>
      </w:r>
      <w:r>
        <w:rPr>
          <w:color w:val="auto"/>
          <w:sz w:val="24"/>
          <w:szCs w:val="24"/>
        </w:rPr>
        <w:fldChar w:fldCharType="begin"/>
      </w:r>
      <w:r>
        <w:rPr>
          <w:color w:val="auto"/>
          <w:sz w:val="24"/>
          <w:szCs w:val="24"/>
        </w:rPr>
        <w:instrText xml:space="preserve"> PAGEREF _Toc144109254 \h </w:instrText>
      </w:r>
      <w:r>
        <w:rPr>
          <w:color w:val="auto"/>
          <w:sz w:val="24"/>
          <w:szCs w:val="24"/>
        </w:rPr>
        <w:fldChar w:fldCharType="separate"/>
      </w:r>
      <w:r>
        <w:rPr>
          <w:color w:val="auto"/>
          <w:sz w:val="24"/>
          <w:szCs w:val="24"/>
        </w:rPr>
        <w:t>396</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"_Toc144109255" </w:instrText>
      </w:r>
      <w:r>
        <w:rPr>
          <w:color w:val="auto"/>
        </w:rPr>
        <w:fldChar w:fldCharType="separate"/>
      </w:r>
      <w:r>
        <w:rPr>
          <w:rStyle w:val="36"/>
          <w:rFonts w:ascii="Calibri Light" w:hAnsi="Calibri Light"/>
          <w:color w:val="auto"/>
          <w:sz w:val="24"/>
          <w:szCs w:val="24"/>
        </w:rPr>
        <w:t>C.1.3 生产工艺装置单元评价</w:t>
      </w:r>
      <w:r>
        <w:rPr>
          <w:color w:val="auto"/>
          <w:sz w:val="24"/>
          <w:szCs w:val="24"/>
        </w:rPr>
        <w:tab/>
      </w:r>
      <w:r>
        <w:rPr>
          <w:color w:val="auto"/>
          <w:sz w:val="24"/>
          <w:szCs w:val="24"/>
        </w:rPr>
        <w:fldChar w:fldCharType="begin"/>
      </w:r>
      <w:r>
        <w:rPr>
          <w:color w:val="auto"/>
          <w:sz w:val="24"/>
          <w:szCs w:val="24"/>
        </w:rPr>
        <w:instrText xml:space="preserve"> PAGEREF _Toc144109255 \h </w:instrText>
      </w:r>
      <w:r>
        <w:rPr>
          <w:color w:val="auto"/>
          <w:sz w:val="24"/>
          <w:szCs w:val="24"/>
        </w:rPr>
        <w:fldChar w:fldCharType="separate"/>
      </w:r>
      <w:r>
        <w:rPr>
          <w:color w:val="auto"/>
          <w:sz w:val="24"/>
          <w:szCs w:val="24"/>
        </w:rPr>
        <w:t>407</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"_Toc144109256" </w:instrText>
      </w:r>
      <w:r>
        <w:rPr>
          <w:color w:val="auto"/>
        </w:rPr>
        <w:fldChar w:fldCharType="separate"/>
      </w:r>
      <w:r>
        <w:rPr>
          <w:rStyle w:val="36"/>
          <w:rFonts w:ascii="Calibri" w:hAnsi="Calibri"/>
          <w:color w:val="auto"/>
          <w:sz w:val="24"/>
          <w:szCs w:val="24"/>
        </w:rPr>
        <w:t xml:space="preserve">C.1.3.1  </w:t>
      </w:r>
      <w:r>
        <w:rPr>
          <w:rStyle w:val="36"/>
          <w:color w:val="auto"/>
          <w:sz w:val="24"/>
          <w:szCs w:val="24"/>
        </w:rPr>
        <w:t>101</w:t>
      </w:r>
      <w:r>
        <w:rPr>
          <w:rStyle w:val="36"/>
          <w:rFonts w:ascii="Calibri" w:hAnsi="Calibri"/>
          <w:color w:val="auto"/>
          <w:sz w:val="24"/>
          <w:szCs w:val="24"/>
        </w:rPr>
        <w:t>甲类车间一子单元评价</w:t>
      </w:r>
      <w:r>
        <w:rPr>
          <w:color w:val="auto"/>
          <w:sz w:val="24"/>
          <w:szCs w:val="24"/>
        </w:rPr>
        <w:tab/>
      </w:r>
      <w:r>
        <w:rPr>
          <w:color w:val="auto"/>
          <w:sz w:val="24"/>
          <w:szCs w:val="24"/>
        </w:rPr>
        <w:fldChar w:fldCharType="begin"/>
      </w:r>
      <w:r>
        <w:rPr>
          <w:color w:val="auto"/>
          <w:sz w:val="24"/>
          <w:szCs w:val="24"/>
        </w:rPr>
        <w:instrText xml:space="preserve"> PAGEREF _Toc144109256 \h </w:instrText>
      </w:r>
      <w:r>
        <w:rPr>
          <w:color w:val="auto"/>
          <w:sz w:val="24"/>
          <w:szCs w:val="24"/>
        </w:rPr>
        <w:fldChar w:fldCharType="separate"/>
      </w:r>
      <w:r>
        <w:rPr>
          <w:color w:val="auto"/>
          <w:sz w:val="24"/>
          <w:szCs w:val="24"/>
        </w:rPr>
        <w:t>407</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"_Toc144109257" </w:instrText>
      </w:r>
      <w:r>
        <w:rPr>
          <w:color w:val="auto"/>
        </w:rPr>
        <w:fldChar w:fldCharType="separate"/>
      </w:r>
      <w:r>
        <w:rPr>
          <w:rStyle w:val="36"/>
          <w:rFonts w:ascii="Calibri" w:hAnsi="Calibri"/>
          <w:color w:val="auto"/>
          <w:sz w:val="24"/>
          <w:szCs w:val="24"/>
        </w:rPr>
        <w:t>C.1.3.2  103</w:t>
      </w:r>
      <w:r>
        <w:rPr>
          <w:rStyle w:val="36"/>
          <w:color w:val="auto"/>
          <w:sz w:val="24"/>
          <w:szCs w:val="24"/>
        </w:rPr>
        <w:t>液体制剂车间</w:t>
      </w:r>
      <w:r>
        <w:rPr>
          <w:rStyle w:val="36"/>
          <w:rFonts w:ascii="Calibri" w:hAnsi="Calibri"/>
          <w:color w:val="auto"/>
          <w:sz w:val="24"/>
          <w:szCs w:val="24"/>
        </w:rPr>
        <w:t>子单元评价</w:t>
      </w:r>
      <w:r>
        <w:rPr>
          <w:color w:val="auto"/>
          <w:sz w:val="24"/>
          <w:szCs w:val="24"/>
        </w:rPr>
        <w:tab/>
      </w:r>
      <w:r>
        <w:rPr>
          <w:color w:val="auto"/>
          <w:sz w:val="24"/>
          <w:szCs w:val="24"/>
        </w:rPr>
        <w:fldChar w:fldCharType="begin"/>
      </w:r>
      <w:r>
        <w:rPr>
          <w:color w:val="auto"/>
          <w:sz w:val="24"/>
          <w:szCs w:val="24"/>
        </w:rPr>
        <w:instrText xml:space="preserve"> PAGEREF _Toc144109257 \h </w:instrText>
      </w:r>
      <w:r>
        <w:rPr>
          <w:color w:val="auto"/>
          <w:sz w:val="24"/>
          <w:szCs w:val="24"/>
        </w:rPr>
        <w:fldChar w:fldCharType="separate"/>
      </w:r>
      <w:r>
        <w:rPr>
          <w:color w:val="auto"/>
          <w:sz w:val="24"/>
          <w:szCs w:val="24"/>
        </w:rPr>
        <w:t>413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"_Toc144109258" </w:instrText>
      </w:r>
      <w:r>
        <w:rPr>
          <w:color w:val="auto"/>
        </w:rPr>
        <w:fldChar w:fldCharType="separate"/>
      </w:r>
      <w:r>
        <w:rPr>
          <w:rStyle w:val="36"/>
          <w:rFonts w:ascii="Calibri" w:hAnsi="Calibri"/>
          <w:color w:val="auto"/>
          <w:sz w:val="24"/>
          <w:szCs w:val="24"/>
        </w:rPr>
        <w:t xml:space="preserve">C.1.3.3  </w:t>
      </w:r>
      <w:r>
        <w:rPr>
          <w:rStyle w:val="36"/>
          <w:color w:val="auto"/>
          <w:sz w:val="24"/>
          <w:szCs w:val="24"/>
        </w:rPr>
        <w:t>104</w:t>
      </w:r>
      <w:r>
        <w:rPr>
          <w:rStyle w:val="36"/>
          <w:rFonts w:ascii="Calibri" w:hAnsi="Calibri"/>
          <w:color w:val="auto"/>
          <w:sz w:val="24"/>
          <w:szCs w:val="24"/>
        </w:rPr>
        <w:t>颗粒剂车间子单元评价</w:t>
      </w:r>
      <w:r>
        <w:rPr>
          <w:color w:val="auto"/>
          <w:sz w:val="24"/>
          <w:szCs w:val="24"/>
        </w:rPr>
        <w:tab/>
      </w:r>
      <w:r>
        <w:rPr>
          <w:color w:val="auto"/>
          <w:sz w:val="24"/>
          <w:szCs w:val="24"/>
        </w:rPr>
        <w:fldChar w:fldCharType="begin"/>
      </w:r>
      <w:r>
        <w:rPr>
          <w:color w:val="auto"/>
          <w:sz w:val="24"/>
          <w:szCs w:val="24"/>
        </w:rPr>
        <w:instrText xml:space="preserve"> PAGEREF _Toc144109258 \h </w:instrText>
      </w:r>
      <w:r>
        <w:rPr>
          <w:color w:val="auto"/>
          <w:sz w:val="24"/>
          <w:szCs w:val="24"/>
        </w:rPr>
        <w:fldChar w:fldCharType="separate"/>
      </w:r>
      <w:r>
        <w:rPr>
          <w:color w:val="auto"/>
          <w:sz w:val="24"/>
          <w:szCs w:val="24"/>
        </w:rPr>
        <w:t>416</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"_Toc144109259" </w:instrText>
      </w:r>
      <w:r>
        <w:rPr>
          <w:color w:val="auto"/>
        </w:rPr>
        <w:fldChar w:fldCharType="separate"/>
      </w:r>
      <w:r>
        <w:rPr>
          <w:rStyle w:val="36"/>
          <w:rFonts w:ascii="Calibri Light" w:hAnsi="Calibri Light"/>
          <w:color w:val="auto"/>
          <w:sz w:val="24"/>
          <w:szCs w:val="24"/>
        </w:rPr>
        <w:t>C.1.4 公用工程及辅助系统单元评价</w:t>
      </w:r>
      <w:r>
        <w:rPr>
          <w:color w:val="auto"/>
          <w:sz w:val="24"/>
          <w:szCs w:val="24"/>
        </w:rPr>
        <w:tab/>
      </w:r>
      <w:r>
        <w:rPr>
          <w:color w:val="auto"/>
          <w:sz w:val="24"/>
          <w:szCs w:val="24"/>
        </w:rPr>
        <w:fldChar w:fldCharType="begin"/>
      </w:r>
      <w:r>
        <w:rPr>
          <w:color w:val="auto"/>
          <w:sz w:val="24"/>
          <w:szCs w:val="24"/>
        </w:rPr>
        <w:instrText xml:space="preserve"> PAGEREF _Toc144109259 \h </w:instrText>
      </w:r>
      <w:r>
        <w:rPr>
          <w:color w:val="auto"/>
          <w:sz w:val="24"/>
          <w:szCs w:val="24"/>
        </w:rPr>
        <w:fldChar w:fldCharType="separate"/>
      </w:r>
      <w:r>
        <w:rPr>
          <w:color w:val="auto"/>
          <w:sz w:val="24"/>
          <w:szCs w:val="24"/>
        </w:rPr>
        <w:t>418</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"_Toc144109260" </w:instrText>
      </w:r>
      <w:r>
        <w:rPr>
          <w:color w:val="auto"/>
        </w:rPr>
        <w:fldChar w:fldCharType="separate"/>
      </w:r>
      <w:r>
        <w:rPr>
          <w:rStyle w:val="36"/>
          <w:rFonts w:ascii="Calibri" w:hAnsi="Calibri"/>
          <w:color w:val="auto"/>
          <w:sz w:val="24"/>
          <w:szCs w:val="24"/>
        </w:rPr>
        <w:t>C.1.4.1 电气子单元评价</w:t>
      </w:r>
      <w:r>
        <w:rPr>
          <w:color w:val="auto"/>
          <w:sz w:val="24"/>
          <w:szCs w:val="24"/>
        </w:rPr>
        <w:tab/>
      </w:r>
      <w:r>
        <w:rPr>
          <w:color w:val="auto"/>
          <w:sz w:val="24"/>
          <w:szCs w:val="24"/>
        </w:rPr>
        <w:fldChar w:fldCharType="begin"/>
      </w:r>
      <w:r>
        <w:rPr>
          <w:color w:val="auto"/>
          <w:sz w:val="24"/>
          <w:szCs w:val="24"/>
        </w:rPr>
        <w:instrText xml:space="preserve"> PAGEREF _Toc144109260 \h </w:instrText>
      </w:r>
      <w:r>
        <w:rPr>
          <w:color w:val="auto"/>
          <w:sz w:val="24"/>
          <w:szCs w:val="24"/>
        </w:rPr>
        <w:fldChar w:fldCharType="separate"/>
      </w:r>
      <w:r>
        <w:rPr>
          <w:color w:val="auto"/>
          <w:sz w:val="24"/>
          <w:szCs w:val="24"/>
        </w:rPr>
        <w:t>418</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"_Toc144109261" </w:instrText>
      </w:r>
      <w:r>
        <w:rPr>
          <w:color w:val="auto"/>
        </w:rPr>
        <w:fldChar w:fldCharType="separate"/>
      </w:r>
      <w:r>
        <w:rPr>
          <w:rStyle w:val="36"/>
          <w:rFonts w:ascii="Calibri" w:hAnsi="Calibri"/>
          <w:color w:val="auto"/>
          <w:sz w:val="24"/>
          <w:szCs w:val="24"/>
        </w:rPr>
        <w:t>C.1.4.2 仪表自动控制系统子单元评价</w:t>
      </w:r>
      <w:r>
        <w:rPr>
          <w:color w:val="auto"/>
          <w:sz w:val="24"/>
          <w:szCs w:val="24"/>
        </w:rPr>
        <w:tab/>
      </w:r>
      <w:r>
        <w:rPr>
          <w:color w:val="auto"/>
          <w:sz w:val="24"/>
          <w:szCs w:val="24"/>
        </w:rPr>
        <w:fldChar w:fldCharType="begin"/>
      </w:r>
      <w:r>
        <w:rPr>
          <w:color w:val="auto"/>
          <w:sz w:val="24"/>
          <w:szCs w:val="24"/>
        </w:rPr>
        <w:instrText xml:space="preserve"> PAGEREF _Toc144109261 \h </w:instrText>
      </w:r>
      <w:r>
        <w:rPr>
          <w:color w:val="auto"/>
          <w:sz w:val="24"/>
          <w:szCs w:val="24"/>
        </w:rPr>
        <w:fldChar w:fldCharType="separate"/>
      </w:r>
      <w:r>
        <w:rPr>
          <w:color w:val="auto"/>
          <w:sz w:val="24"/>
          <w:szCs w:val="24"/>
        </w:rPr>
        <w:t>421</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"_Toc144109262" </w:instrText>
      </w:r>
      <w:r>
        <w:rPr>
          <w:color w:val="auto"/>
        </w:rPr>
        <w:fldChar w:fldCharType="separate"/>
      </w:r>
      <w:r>
        <w:rPr>
          <w:rStyle w:val="36"/>
          <w:rFonts w:ascii="Calibri" w:hAnsi="Calibri"/>
          <w:color w:val="auto"/>
          <w:sz w:val="24"/>
          <w:szCs w:val="24"/>
        </w:rPr>
        <w:t>C.1.4.3 空压单元</w:t>
      </w:r>
      <w:r>
        <w:rPr>
          <w:color w:val="auto"/>
          <w:sz w:val="24"/>
          <w:szCs w:val="24"/>
        </w:rPr>
        <w:tab/>
      </w:r>
      <w:r>
        <w:rPr>
          <w:color w:val="auto"/>
          <w:sz w:val="24"/>
          <w:szCs w:val="24"/>
        </w:rPr>
        <w:fldChar w:fldCharType="begin"/>
      </w:r>
      <w:r>
        <w:rPr>
          <w:color w:val="auto"/>
          <w:sz w:val="24"/>
          <w:szCs w:val="24"/>
        </w:rPr>
        <w:instrText xml:space="preserve"> PAGEREF _Toc144109262 \h </w:instrText>
      </w:r>
      <w:r>
        <w:rPr>
          <w:color w:val="auto"/>
          <w:sz w:val="24"/>
          <w:szCs w:val="24"/>
        </w:rPr>
        <w:fldChar w:fldCharType="separate"/>
      </w:r>
      <w:r>
        <w:rPr>
          <w:color w:val="auto"/>
          <w:sz w:val="24"/>
          <w:szCs w:val="24"/>
        </w:rPr>
        <w:t>423</w:t>
      </w:r>
      <w:r>
        <w:rPr>
          <w:color w:val="auto"/>
          <w:sz w:val="24"/>
          <w:szCs w:val="24"/>
        </w:rPr>
        <w:fldChar w:fldCharType="end"/>
      </w:r>
      <w:r>
        <w:rPr>
          <w:color w:val="auto"/>
          <w:sz w:val="24"/>
          <w:szCs w:val="24"/>
        </w:rPr>
        <w:fldChar w:fldCharType="end"/>
      </w:r>
    </w:p>
    <w:p>
      <w:pPr>
        <w:pStyle w:val="14"/>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"_Toc144109263" </w:instrText>
      </w:r>
      <w:r>
        <w:rPr>
          <w:color w:val="auto"/>
        </w:rPr>
        <w:fldChar w:fldCharType="separate"/>
      </w:r>
      <w:r>
        <w:rPr>
          <w:rStyle w:val="36"/>
          <w:rFonts w:ascii="Calibri" w:hAnsi="Calibri"/>
          <w:color w:val="auto"/>
          <w:sz w:val="24"/>
          <w:szCs w:val="24"/>
        </w:rPr>
        <w:t>C.1.4.4 给排水子单元</w:t>
      </w:r>
      <w:r>
        <w:rPr>
          <w:color w:val="auto"/>
          <w:sz w:val="24"/>
          <w:szCs w:val="24"/>
        </w:rPr>
        <w:tab/>
      </w:r>
      <w:r>
        <w:rPr>
          <w:color w:val="auto"/>
          <w:sz w:val="24"/>
          <w:szCs w:val="24"/>
        </w:rPr>
        <w:fldChar w:fldCharType="begin"/>
      </w:r>
      <w:r>
        <w:rPr>
          <w:color w:val="auto"/>
          <w:sz w:val="24"/>
          <w:szCs w:val="24"/>
        </w:rPr>
        <w:instrText xml:space="preserve"> PAGEREF _Toc144109263 \h </w:instrText>
      </w:r>
      <w:r>
        <w:rPr>
          <w:color w:val="auto"/>
          <w:sz w:val="24"/>
          <w:szCs w:val="24"/>
        </w:rPr>
        <w:fldChar w:fldCharType="separate"/>
      </w:r>
      <w:r>
        <w:rPr>
          <w:color w:val="auto"/>
          <w:sz w:val="24"/>
          <w:szCs w:val="24"/>
        </w:rPr>
        <w:t>425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"_Toc144109264" </w:instrText>
      </w:r>
      <w:r>
        <w:rPr>
          <w:color w:val="auto"/>
        </w:rPr>
        <w:fldChar w:fldCharType="separate"/>
      </w:r>
      <w:r>
        <w:rPr>
          <w:rStyle w:val="36"/>
          <w:rFonts w:ascii="Calibri Light" w:hAnsi="Calibri Light"/>
          <w:color w:val="auto"/>
          <w:sz w:val="24"/>
          <w:szCs w:val="24"/>
        </w:rPr>
        <w:t>C.1.5 储运系统单元评价</w:t>
      </w:r>
      <w:r>
        <w:rPr>
          <w:color w:val="auto"/>
          <w:sz w:val="24"/>
          <w:szCs w:val="24"/>
        </w:rPr>
        <w:tab/>
      </w:r>
      <w:r>
        <w:rPr>
          <w:color w:val="auto"/>
          <w:sz w:val="24"/>
          <w:szCs w:val="24"/>
        </w:rPr>
        <w:fldChar w:fldCharType="begin"/>
      </w:r>
      <w:r>
        <w:rPr>
          <w:color w:val="auto"/>
          <w:sz w:val="24"/>
          <w:szCs w:val="24"/>
        </w:rPr>
        <w:instrText xml:space="preserve"> PAGEREF _Toc144109264 \h </w:instrText>
      </w:r>
      <w:r>
        <w:rPr>
          <w:color w:val="auto"/>
          <w:sz w:val="24"/>
          <w:szCs w:val="24"/>
        </w:rPr>
        <w:fldChar w:fldCharType="separate"/>
      </w:r>
      <w:r>
        <w:rPr>
          <w:color w:val="auto"/>
          <w:sz w:val="24"/>
          <w:szCs w:val="24"/>
        </w:rPr>
        <w:t>426</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"_Toc144109265" </w:instrText>
      </w:r>
      <w:r>
        <w:rPr>
          <w:color w:val="auto"/>
        </w:rPr>
        <w:fldChar w:fldCharType="separate"/>
      </w:r>
      <w:r>
        <w:rPr>
          <w:rStyle w:val="36"/>
          <w:rFonts w:ascii="Calibri Light" w:hAnsi="Calibri Light"/>
          <w:color w:val="auto"/>
          <w:sz w:val="24"/>
          <w:szCs w:val="24"/>
        </w:rPr>
        <w:t>C.1.6 特种设备单元评价</w:t>
      </w:r>
      <w:r>
        <w:rPr>
          <w:color w:val="auto"/>
          <w:sz w:val="24"/>
          <w:szCs w:val="24"/>
        </w:rPr>
        <w:tab/>
      </w:r>
      <w:r>
        <w:rPr>
          <w:color w:val="auto"/>
          <w:sz w:val="24"/>
          <w:szCs w:val="24"/>
        </w:rPr>
        <w:fldChar w:fldCharType="begin"/>
      </w:r>
      <w:r>
        <w:rPr>
          <w:color w:val="auto"/>
          <w:sz w:val="24"/>
          <w:szCs w:val="24"/>
        </w:rPr>
        <w:instrText xml:space="preserve"> PAGEREF _Toc144109265 \h </w:instrText>
      </w:r>
      <w:r>
        <w:rPr>
          <w:color w:val="auto"/>
          <w:sz w:val="24"/>
          <w:szCs w:val="24"/>
        </w:rPr>
        <w:fldChar w:fldCharType="separate"/>
      </w:r>
      <w:r>
        <w:rPr>
          <w:color w:val="auto"/>
          <w:sz w:val="24"/>
          <w:szCs w:val="24"/>
        </w:rPr>
        <w:t>428</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"_Toc144109266" </w:instrText>
      </w:r>
      <w:r>
        <w:rPr>
          <w:color w:val="auto"/>
        </w:rPr>
        <w:fldChar w:fldCharType="separate"/>
      </w:r>
      <w:r>
        <w:rPr>
          <w:rStyle w:val="36"/>
          <w:rFonts w:ascii="Calibri Light" w:hAnsi="Calibri Light"/>
          <w:color w:val="auto"/>
          <w:sz w:val="24"/>
          <w:szCs w:val="24"/>
        </w:rPr>
        <w:t>C.1.7 消防单元评价</w:t>
      </w:r>
      <w:r>
        <w:rPr>
          <w:color w:val="auto"/>
          <w:sz w:val="24"/>
          <w:szCs w:val="24"/>
        </w:rPr>
        <w:tab/>
      </w:r>
      <w:r>
        <w:rPr>
          <w:color w:val="auto"/>
          <w:sz w:val="24"/>
          <w:szCs w:val="24"/>
        </w:rPr>
        <w:fldChar w:fldCharType="begin"/>
      </w:r>
      <w:r>
        <w:rPr>
          <w:color w:val="auto"/>
          <w:sz w:val="24"/>
          <w:szCs w:val="24"/>
        </w:rPr>
        <w:instrText xml:space="preserve"> PAGEREF _Toc144109266 \h </w:instrText>
      </w:r>
      <w:r>
        <w:rPr>
          <w:color w:val="auto"/>
          <w:sz w:val="24"/>
          <w:szCs w:val="24"/>
        </w:rPr>
        <w:fldChar w:fldCharType="separate"/>
      </w:r>
      <w:r>
        <w:rPr>
          <w:color w:val="auto"/>
          <w:sz w:val="24"/>
          <w:szCs w:val="24"/>
        </w:rPr>
        <w:t>429</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"_Toc144109267" </w:instrText>
      </w:r>
      <w:r>
        <w:rPr>
          <w:color w:val="auto"/>
        </w:rPr>
        <w:fldChar w:fldCharType="separate"/>
      </w:r>
      <w:r>
        <w:rPr>
          <w:rStyle w:val="36"/>
          <w:rFonts w:ascii="Calibri Light" w:hAnsi="Calibri Light"/>
          <w:color w:val="auto"/>
          <w:sz w:val="24"/>
          <w:szCs w:val="24"/>
        </w:rPr>
        <w:t>C.1.8 安全管理单元评价</w:t>
      </w:r>
      <w:r>
        <w:rPr>
          <w:color w:val="auto"/>
          <w:sz w:val="24"/>
          <w:szCs w:val="24"/>
        </w:rPr>
        <w:tab/>
      </w:r>
      <w:r>
        <w:rPr>
          <w:color w:val="auto"/>
          <w:sz w:val="24"/>
          <w:szCs w:val="24"/>
        </w:rPr>
        <w:fldChar w:fldCharType="begin"/>
      </w:r>
      <w:r>
        <w:rPr>
          <w:color w:val="auto"/>
          <w:sz w:val="24"/>
          <w:szCs w:val="24"/>
        </w:rPr>
        <w:instrText xml:space="preserve"> PAGEREF _Toc144109267 \h </w:instrText>
      </w:r>
      <w:r>
        <w:rPr>
          <w:color w:val="auto"/>
          <w:sz w:val="24"/>
          <w:szCs w:val="24"/>
        </w:rPr>
        <w:fldChar w:fldCharType="separate"/>
      </w:r>
      <w:r>
        <w:rPr>
          <w:color w:val="auto"/>
          <w:sz w:val="24"/>
          <w:szCs w:val="24"/>
        </w:rPr>
        <w:t>432</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"_Toc144109268" </w:instrText>
      </w:r>
      <w:r>
        <w:rPr>
          <w:color w:val="auto"/>
        </w:rPr>
        <w:fldChar w:fldCharType="separate"/>
      </w:r>
      <w:r>
        <w:rPr>
          <w:rStyle w:val="36"/>
          <w:color w:val="auto"/>
          <w:kern w:val="44"/>
          <w:sz w:val="24"/>
          <w:szCs w:val="24"/>
        </w:rPr>
        <w:t>附录D.</w:t>
      </w:r>
      <w:r>
        <w:rPr>
          <w:rStyle w:val="36"/>
          <w:rFonts w:ascii="宋体" w:hAnsi="宋体"/>
          <w:color w:val="auto"/>
          <w:kern w:val="44"/>
          <w:sz w:val="24"/>
          <w:szCs w:val="24"/>
        </w:rPr>
        <w:t>安全评价依据</w:t>
      </w:r>
      <w:r>
        <w:rPr>
          <w:color w:val="auto"/>
          <w:sz w:val="24"/>
          <w:szCs w:val="24"/>
        </w:rPr>
        <w:tab/>
      </w:r>
      <w:r>
        <w:rPr>
          <w:color w:val="auto"/>
          <w:sz w:val="24"/>
          <w:szCs w:val="24"/>
        </w:rPr>
        <w:fldChar w:fldCharType="begin"/>
      </w:r>
      <w:r>
        <w:rPr>
          <w:color w:val="auto"/>
          <w:sz w:val="24"/>
          <w:szCs w:val="24"/>
        </w:rPr>
        <w:instrText xml:space="preserve"> PAGEREF _Toc144109268 \h </w:instrText>
      </w:r>
      <w:r>
        <w:rPr>
          <w:color w:val="auto"/>
          <w:sz w:val="24"/>
          <w:szCs w:val="24"/>
        </w:rPr>
        <w:fldChar w:fldCharType="separate"/>
      </w:r>
      <w:r>
        <w:rPr>
          <w:color w:val="auto"/>
          <w:sz w:val="24"/>
          <w:szCs w:val="24"/>
        </w:rPr>
        <w:t>435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"_Toc144109269" </w:instrText>
      </w:r>
      <w:r>
        <w:rPr>
          <w:color w:val="auto"/>
        </w:rPr>
        <w:fldChar w:fldCharType="separate"/>
      </w:r>
      <w:r>
        <w:rPr>
          <w:rStyle w:val="36"/>
          <w:color w:val="auto"/>
          <w:sz w:val="24"/>
          <w:szCs w:val="24"/>
        </w:rPr>
        <w:t>D.1 法律、法规</w:t>
      </w:r>
      <w:r>
        <w:rPr>
          <w:color w:val="auto"/>
          <w:sz w:val="24"/>
          <w:szCs w:val="24"/>
        </w:rPr>
        <w:tab/>
      </w:r>
      <w:r>
        <w:rPr>
          <w:color w:val="auto"/>
          <w:sz w:val="24"/>
          <w:szCs w:val="24"/>
        </w:rPr>
        <w:fldChar w:fldCharType="begin"/>
      </w:r>
      <w:r>
        <w:rPr>
          <w:color w:val="auto"/>
          <w:sz w:val="24"/>
          <w:szCs w:val="24"/>
        </w:rPr>
        <w:instrText xml:space="preserve"> PAGEREF _Toc144109269 \h </w:instrText>
      </w:r>
      <w:r>
        <w:rPr>
          <w:color w:val="auto"/>
          <w:sz w:val="24"/>
          <w:szCs w:val="24"/>
        </w:rPr>
        <w:fldChar w:fldCharType="separate"/>
      </w:r>
      <w:r>
        <w:rPr>
          <w:color w:val="auto"/>
          <w:sz w:val="24"/>
          <w:szCs w:val="24"/>
        </w:rPr>
        <w:t>435</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"_Toc144109270" </w:instrText>
      </w:r>
      <w:r>
        <w:rPr>
          <w:color w:val="auto"/>
        </w:rPr>
        <w:fldChar w:fldCharType="separate"/>
      </w:r>
      <w:r>
        <w:rPr>
          <w:rStyle w:val="36"/>
          <w:color w:val="auto"/>
          <w:sz w:val="24"/>
          <w:szCs w:val="24"/>
        </w:rPr>
        <w:t>D.2 国家及省规范性文件</w:t>
      </w:r>
      <w:r>
        <w:rPr>
          <w:color w:val="auto"/>
          <w:sz w:val="24"/>
          <w:szCs w:val="24"/>
        </w:rPr>
        <w:tab/>
      </w:r>
      <w:r>
        <w:rPr>
          <w:color w:val="auto"/>
          <w:sz w:val="24"/>
          <w:szCs w:val="24"/>
        </w:rPr>
        <w:fldChar w:fldCharType="begin"/>
      </w:r>
      <w:r>
        <w:rPr>
          <w:color w:val="auto"/>
          <w:sz w:val="24"/>
          <w:szCs w:val="24"/>
        </w:rPr>
        <w:instrText xml:space="preserve"> PAGEREF _Toc144109270 \h </w:instrText>
      </w:r>
      <w:r>
        <w:rPr>
          <w:color w:val="auto"/>
          <w:sz w:val="24"/>
          <w:szCs w:val="24"/>
        </w:rPr>
        <w:fldChar w:fldCharType="separate"/>
      </w:r>
      <w:r>
        <w:rPr>
          <w:color w:val="auto"/>
          <w:sz w:val="24"/>
          <w:szCs w:val="24"/>
        </w:rPr>
        <w:t>437</w:t>
      </w:r>
      <w:r>
        <w:rPr>
          <w:color w:val="auto"/>
          <w:sz w:val="24"/>
          <w:szCs w:val="24"/>
        </w:rPr>
        <w:fldChar w:fldCharType="end"/>
      </w:r>
      <w:r>
        <w:rPr>
          <w:color w:val="auto"/>
          <w:sz w:val="24"/>
          <w:szCs w:val="24"/>
        </w:rPr>
        <w:fldChar w:fldCharType="end"/>
      </w:r>
      <w:bookmarkStart w:id="299" w:name="_GoBack"/>
      <w:bookmarkEnd w:id="299"/>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"_Toc144109271" </w:instrText>
      </w:r>
      <w:r>
        <w:rPr>
          <w:color w:val="auto"/>
        </w:rPr>
        <w:fldChar w:fldCharType="separate"/>
      </w:r>
      <w:r>
        <w:rPr>
          <w:rStyle w:val="36"/>
          <w:color w:val="auto"/>
          <w:sz w:val="24"/>
          <w:szCs w:val="24"/>
        </w:rPr>
        <w:t>D.3 相关标准、规范</w:t>
      </w:r>
      <w:r>
        <w:rPr>
          <w:color w:val="auto"/>
          <w:sz w:val="24"/>
          <w:szCs w:val="24"/>
        </w:rPr>
        <w:tab/>
      </w:r>
      <w:r>
        <w:rPr>
          <w:color w:val="auto"/>
          <w:sz w:val="24"/>
          <w:szCs w:val="24"/>
        </w:rPr>
        <w:fldChar w:fldCharType="begin"/>
      </w:r>
      <w:r>
        <w:rPr>
          <w:color w:val="auto"/>
          <w:sz w:val="24"/>
          <w:szCs w:val="24"/>
        </w:rPr>
        <w:instrText xml:space="preserve"> PAGEREF _Toc144109271 \h </w:instrText>
      </w:r>
      <w:r>
        <w:rPr>
          <w:color w:val="auto"/>
          <w:sz w:val="24"/>
          <w:szCs w:val="24"/>
        </w:rPr>
        <w:fldChar w:fldCharType="separate"/>
      </w:r>
      <w:r>
        <w:rPr>
          <w:color w:val="auto"/>
          <w:sz w:val="24"/>
          <w:szCs w:val="24"/>
        </w:rPr>
        <w:t>442</w:t>
      </w:r>
      <w:r>
        <w:rPr>
          <w:color w:val="auto"/>
          <w:sz w:val="24"/>
          <w:szCs w:val="24"/>
        </w:rPr>
        <w:fldChar w:fldCharType="end"/>
      </w:r>
      <w:r>
        <w:rPr>
          <w:color w:val="auto"/>
          <w:sz w:val="24"/>
          <w:szCs w:val="24"/>
        </w:rPr>
        <w:fldChar w:fldCharType="end"/>
      </w:r>
    </w:p>
    <w:p>
      <w:pPr>
        <w:pStyle w:val="25"/>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"_Toc144109272" </w:instrText>
      </w:r>
      <w:r>
        <w:rPr>
          <w:color w:val="auto"/>
        </w:rPr>
        <w:fldChar w:fldCharType="separate"/>
      </w:r>
      <w:r>
        <w:rPr>
          <w:rStyle w:val="36"/>
          <w:color w:val="auto"/>
          <w:sz w:val="24"/>
          <w:szCs w:val="24"/>
        </w:rPr>
        <w:t>D.4 项目技术文件与其它评价依据</w:t>
      </w:r>
      <w:r>
        <w:rPr>
          <w:color w:val="auto"/>
          <w:sz w:val="24"/>
          <w:szCs w:val="24"/>
        </w:rPr>
        <w:tab/>
      </w:r>
      <w:r>
        <w:rPr>
          <w:color w:val="auto"/>
          <w:sz w:val="24"/>
          <w:szCs w:val="24"/>
        </w:rPr>
        <w:fldChar w:fldCharType="begin"/>
      </w:r>
      <w:r>
        <w:rPr>
          <w:color w:val="auto"/>
          <w:sz w:val="24"/>
          <w:szCs w:val="24"/>
        </w:rPr>
        <w:instrText xml:space="preserve"> PAGEREF _Toc144109272 \h </w:instrText>
      </w:r>
      <w:r>
        <w:rPr>
          <w:color w:val="auto"/>
          <w:sz w:val="24"/>
          <w:szCs w:val="24"/>
        </w:rPr>
        <w:fldChar w:fldCharType="separate"/>
      </w:r>
      <w:r>
        <w:rPr>
          <w:color w:val="auto"/>
          <w:sz w:val="24"/>
          <w:szCs w:val="24"/>
        </w:rPr>
        <w:t>446</w:t>
      </w:r>
      <w:r>
        <w:rPr>
          <w:color w:val="auto"/>
          <w:sz w:val="24"/>
          <w:szCs w:val="24"/>
        </w:rPr>
        <w:fldChar w:fldCharType="end"/>
      </w:r>
      <w:r>
        <w:rPr>
          <w:color w:val="auto"/>
          <w:sz w:val="24"/>
          <w:szCs w:val="24"/>
        </w:rPr>
        <w:fldChar w:fldCharType="end"/>
      </w:r>
    </w:p>
    <w:p>
      <w:pPr>
        <w:pStyle w:val="22"/>
        <w:tabs>
          <w:tab w:val="right" w:leader="dot" w:pos="9061"/>
        </w:tabs>
        <w:spacing w:line="440" w:lineRule="exact"/>
        <w:rPr>
          <w:rFonts w:asciiTheme="minorHAnsi" w:hAnsiTheme="minorHAnsi" w:eastAsiaTheme="minorEastAsia" w:cstheme="minorBidi"/>
          <w:color w:val="auto"/>
          <w:sz w:val="24"/>
          <w:szCs w:val="24"/>
          <w14:ligatures w14:val="standardContextual"/>
        </w:rPr>
      </w:pPr>
      <w:r>
        <w:rPr>
          <w:color w:val="auto"/>
        </w:rPr>
        <w:fldChar w:fldCharType="begin"/>
      </w:r>
      <w:r>
        <w:rPr>
          <w:color w:val="auto"/>
        </w:rPr>
        <w:instrText xml:space="preserve"> HYPERLINK \l "_Toc144109273" </w:instrText>
      </w:r>
      <w:r>
        <w:rPr>
          <w:color w:val="auto"/>
        </w:rPr>
        <w:fldChar w:fldCharType="separate"/>
      </w:r>
      <w:r>
        <w:rPr>
          <w:rStyle w:val="36"/>
          <w:color w:val="auto"/>
          <w:kern w:val="44"/>
          <w:sz w:val="24"/>
          <w:szCs w:val="24"/>
        </w:rPr>
        <w:t>附</w:t>
      </w:r>
      <w:r>
        <w:rPr>
          <w:rStyle w:val="36"/>
          <w:rFonts w:hint="eastAsia"/>
          <w:color w:val="auto"/>
          <w:kern w:val="44"/>
          <w:sz w:val="24"/>
          <w:szCs w:val="24"/>
        </w:rPr>
        <w:t>件</w:t>
      </w:r>
      <w:r>
        <w:rPr>
          <w:color w:val="auto"/>
          <w:sz w:val="24"/>
          <w:szCs w:val="24"/>
        </w:rPr>
        <w:tab/>
      </w:r>
      <w:r>
        <w:rPr>
          <w:color w:val="auto"/>
          <w:sz w:val="24"/>
          <w:szCs w:val="24"/>
        </w:rPr>
        <w:fldChar w:fldCharType="begin"/>
      </w:r>
      <w:r>
        <w:rPr>
          <w:color w:val="auto"/>
          <w:sz w:val="24"/>
          <w:szCs w:val="24"/>
        </w:rPr>
        <w:instrText xml:space="preserve"> PAGEREF _Toc144109273 \h </w:instrText>
      </w:r>
      <w:r>
        <w:rPr>
          <w:color w:val="auto"/>
          <w:sz w:val="24"/>
          <w:szCs w:val="24"/>
        </w:rPr>
        <w:fldChar w:fldCharType="separate"/>
      </w:r>
      <w:r>
        <w:rPr>
          <w:color w:val="auto"/>
          <w:sz w:val="24"/>
          <w:szCs w:val="24"/>
        </w:rPr>
        <w:t>447</w:t>
      </w:r>
      <w:r>
        <w:rPr>
          <w:color w:val="auto"/>
          <w:sz w:val="24"/>
          <w:szCs w:val="24"/>
        </w:rPr>
        <w:fldChar w:fldCharType="end"/>
      </w:r>
      <w:r>
        <w:rPr>
          <w:color w:val="auto"/>
          <w:sz w:val="24"/>
          <w:szCs w:val="24"/>
        </w:rPr>
        <w:fldChar w:fldCharType="end"/>
      </w:r>
    </w:p>
    <w:p>
      <w:pPr>
        <w:spacing w:line="600" w:lineRule="exact"/>
        <w:rPr>
          <w:color w:val="auto"/>
          <w:sz w:val="28"/>
          <w:szCs w:val="28"/>
        </w:rPr>
      </w:pPr>
      <w:r>
        <w:rPr>
          <w:rFonts w:hint="eastAsia" w:asciiTheme="minorEastAsia" w:hAnsiTheme="minorEastAsia" w:eastAsiaTheme="minorEastAsia" w:cstheme="minorEastAsia"/>
          <w:color w:val="auto"/>
          <w:sz w:val="24"/>
          <w:szCs w:val="24"/>
        </w:rPr>
        <w:fldChar w:fldCharType="end"/>
      </w:r>
    </w:p>
    <w:p>
      <w:pPr>
        <w:spacing w:line="600" w:lineRule="exact"/>
        <w:rPr>
          <w:color w:val="auto"/>
          <w:sz w:val="28"/>
          <w:szCs w:val="28"/>
        </w:rPr>
      </w:pPr>
    </w:p>
    <w:p>
      <w:pPr>
        <w:spacing w:line="600" w:lineRule="exact"/>
        <w:rPr>
          <w:color w:val="auto"/>
          <w:sz w:val="28"/>
          <w:szCs w:val="28"/>
        </w:rPr>
        <w:sectPr>
          <w:headerReference r:id="rId3" w:type="default"/>
          <w:footerReference r:id="rId4" w:type="default"/>
          <w:pgSz w:w="11905" w:h="16838"/>
          <w:pgMar w:top="1417" w:right="1417" w:bottom="1417" w:left="1417" w:header="850" w:footer="992" w:gutter="0"/>
          <w:pgNumType w:fmt="upperRoman" w:start="1"/>
          <w:cols w:space="0" w:num="1"/>
          <w:titlePg/>
          <w:docGrid w:type="lines" w:linePitch="388" w:charSpace="0"/>
        </w:sectPr>
      </w:pPr>
    </w:p>
    <w:p>
      <w:pPr>
        <w:pStyle w:val="3"/>
        <w:jc w:val="both"/>
        <w:rPr>
          <w:bCs w:val="0"/>
          <w:color w:val="auto"/>
        </w:rPr>
      </w:pPr>
      <w:bookmarkStart w:id="0" w:name="_Toc144109129"/>
      <w:r>
        <w:rPr>
          <w:rFonts w:hint="eastAsia"/>
          <w:bCs w:val="0"/>
          <w:color w:val="auto"/>
          <w:szCs w:val="32"/>
        </w:rPr>
        <w:t>1.编制说明</w:t>
      </w:r>
      <w:bookmarkEnd w:id="0"/>
    </w:p>
    <w:p>
      <w:pPr>
        <w:pStyle w:val="4"/>
        <w:rPr>
          <w:rFonts w:ascii="Times New Roman" w:hAnsi="Times New Roman" w:cs="Times New Roman"/>
          <w:bCs w:val="0"/>
          <w:color w:val="auto"/>
        </w:rPr>
      </w:pPr>
      <w:bookmarkStart w:id="1" w:name="_Toc144109130"/>
      <w:r>
        <w:rPr>
          <w:rFonts w:hint="eastAsia" w:ascii="Times New Roman" w:hAnsi="Times New Roman" w:cs="Times New Roman"/>
          <w:bCs w:val="0"/>
          <w:color w:val="auto"/>
        </w:rPr>
        <w:t>1.1 评价目的</w:t>
      </w:r>
      <w:bookmarkEnd w:id="1"/>
    </w:p>
    <w:p>
      <w:pPr>
        <w:autoSpaceDE w:val="0"/>
        <w:autoSpaceDN w:val="0"/>
        <w:adjustRightInd w:val="0"/>
        <w:snapToGrid w:val="0"/>
        <w:spacing w:line="600" w:lineRule="exact"/>
        <w:ind w:firstLine="552" w:firstLineChars="200"/>
        <w:rPr>
          <w:snapToGrid w:val="0"/>
          <w:color w:val="auto"/>
          <w:spacing w:val="-2"/>
          <w:kern w:val="0"/>
          <w:sz w:val="28"/>
          <w:szCs w:val="28"/>
        </w:rPr>
      </w:pPr>
      <w:r>
        <w:rPr>
          <w:snapToGrid w:val="0"/>
          <w:color w:val="auto"/>
          <w:spacing w:val="-2"/>
          <w:kern w:val="0"/>
          <w:sz w:val="28"/>
          <w:szCs w:val="28"/>
        </w:rPr>
        <w:t>1、为贯彻“安全第一、预防为主、综合治理”的安全生产方针，确保建设项目中安全设施与主体工程同时设计、同时施工、同时投产使用，保证该项目建成后符合国家有关法规、标准和规定，该项目需进行项目安全预评价。</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2、分析项目中存在的主要危险、有害因素及其产生危险、危害后果的主要条件；对该项目生产过程中潜在危险、有害因素进行定性、定量的评价和科学分析，对其控制手段进行评价，同时预测其风险等级并预测危险源火灾、爆炸事故可能造成的事故后果。</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3、提出消除、预防或降低装置危险性的安全对策措施，为建设项目安全设施设计提供科学依据，以利于提高建设项目本质安全程度。</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4、为</w:t>
      </w:r>
      <w:r>
        <w:rPr>
          <w:rFonts w:hint="eastAsia"/>
          <w:snapToGrid w:val="0"/>
          <w:color w:val="auto"/>
          <w:kern w:val="0"/>
          <w:sz w:val="28"/>
          <w:szCs w:val="28"/>
        </w:rPr>
        <w:t>应急管理</w:t>
      </w:r>
      <w:r>
        <w:rPr>
          <w:snapToGrid w:val="0"/>
          <w:color w:val="auto"/>
          <w:kern w:val="0"/>
          <w:sz w:val="28"/>
          <w:szCs w:val="28"/>
        </w:rPr>
        <w:t>部门对建设项目</w:t>
      </w:r>
      <w:r>
        <w:rPr>
          <w:rFonts w:hint="eastAsia"/>
          <w:snapToGrid w:val="0"/>
          <w:color w:val="auto"/>
          <w:kern w:val="0"/>
          <w:sz w:val="28"/>
          <w:szCs w:val="28"/>
        </w:rPr>
        <w:t>实施监督、管理</w:t>
      </w:r>
      <w:r>
        <w:rPr>
          <w:snapToGrid w:val="0"/>
          <w:color w:val="auto"/>
          <w:kern w:val="0"/>
          <w:sz w:val="28"/>
          <w:szCs w:val="28"/>
        </w:rPr>
        <w:t>提供依据。</w:t>
      </w:r>
    </w:p>
    <w:p>
      <w:pPr>
        <w:pStyle w:val="4"/>
        <w:rPr>
          <w:rFonts w:ascii="Times New Roman" w:hAnsi="Times New Roman" w:cs="Times New Roman"/>
          <w:bCs w:val="0"/>
          <w:color w:val="auto"/>
        </w:rPr>
      </w:pPr>
      <w:bookmarkStart w:id="2" w:name="_Toc144109131"/>
      <w:r>
        <w:rPr>
          <w:rFonts w:hint="eastAsia" w:ascii="Times New Roman" w:hAnsi="Times New Roman" w:cs="Times New Roman"/>
          <w:bCs w:val="0"/>
          <w:color w:val="auto"/>
        </w:rPr>
        <w:t>1.2 评价原则</w:t>
      </w:r>
      <w:bookmarkEnd w:id="2"/>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本次安全</w:t>
      </w:r>
      <w:r>
        <w:rPr>
          <w:rFonts w:hint="eastAsia"/>
          <w:snapToGrid w:val="0"/>
          <w:color w:val="auto"/>
          <w:kern w:val="0"/>
          <w:sz w:val="28"/>
          <w:szCs w:val="28"/>
        </w:rPr>
        <w:t>条件</w:t>
      </w:r>
      <w:r>
        <w:rPr>
          <w:snapToGrid w:val="0"/>
          <w:color w:val="auto"/>
          <w:kern w:val="0"/>
          <w:sz w:val="28"/>
          <w:szCs w:val="28"/>
        </w:rPr>
        <w:t xml:space="preserve">评价所遵循的原则是： </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（1）认真贯彻国家现行安全生产法律、法规，严格执行国家标准与规范，力求评价的科学性与公正性。</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（2）采用科学、适用的评价技术方法，力求使评价结论客观，符合拟建项目的生产实际。</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（3）深入现场，深入实际，充分发挥评价人员和有关专家的专业技术优势，在全面分析危险、有害因素的基础上，提出较为有效的安全对策措施。</w:t>
      </w:r>
    </w:p>
    <w:p>
      <w:pPr>
        <w:autoSpaceDE w:val="0"/>
        <w:autoSpaceDN w:val="0"/>
        <w:adjustRightInd w:val="0"/>
        <w:snapToGrid w:val="0"/>
        <w:spacing w:line="600" w:lineRule="exact"/>
        <w:ind w:firstLine="560" w:firstLineChars="200"/>
        <w:rPr>
          <w:snapToGrid w:val="0"/>
          <w:color w:val="auto"/>
          <w:kern w:val="0"/>
          <w:sz w:val="28"/>
          <w:szCs w:val="28"/>
        </w:rPr>
      </w:pPr>
      <w:r>
        <w:rPr>
          <w:snapToGrid w:val="0"/>
          <w:color w:val="auto"/>
          <w:kern w:val="0"/>
          <w:sz w:val="28"/>
          <w:szCs w:val="28"/>
        </w:rPr>
        <w:t>（4）诚信、负责，为企业服务。</w:t>
      </w:r>
    </w:p>
    <w:p>
      <w:pPr>
        <w:pStyle w:val="4"/>
        <w:rPr>
          <w:rFonts w:ascii="Times New Roman" w:hAnsi="Times New Roman" w:cs="Times New Roman"/>
          <w:bCs w:val="0"/>
          <w:color w:val="auto"/>
        </w:rPr>
      </w:pPr>
      <w:bookmarkStart w:id="3" w:name="_Toc144109132"/>
      <w:r>
        <w:rPr>
          <w:rFonts w:hint="eastAsia" w:ascii="Times New Roman" w:hAnsi="Times New Roman" w:cs="Times New Roman"/>
          <w:bCs w:val="0"/>
          <w:color w:val="auto"/>
        </w:rPr>
        <w:t>1.</w:t>
      </w:r>
      <w:r>
        <w:rPr>
          <w:rFonts w:ascii="Times New Roman" w:hAnsi="Times New Roman" w:cs="Times New Roman"/>
          <w:bCs w:val="0"/>
          <w:color w:val="auto"/>
        </w:rPr>
        <w:t>3</w:t>
      </w:r>
      <w:r>
        <w:rPr>
          <w:rFonts w:hint="eastAsia" w:ascii="Times New Roman" w:hAnsi="Times New Roman" w:cs="Times New Roman"/>
          <w:bCs w:val="0"/>
          <w:color w:val="auto"/>
        </w:rPr>
        <w:t xml:space="preserve"> 前期准备情况</w:t>
      </w:r>
      <w:bookmarkEnd w:id="3"/>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在签订安全评价委托书后，我们即开始了安全评价工作。</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1.成立安全评价工作组，仔细研究了该项目的可行性研究报告；</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2.根据研究结果与建设单位共同协商确定评价范围和评价对象；</w:t>
      </w:r>
    </w:p>
    <w:p>
      <w:pPr>
        <w:ind w:firstLine="560" w:firstLineChars="200"/>
        <w:rPr>
          <w:rFonts w:ascii="Calibri" w:hAnsi="Calibri"/>
          <w:color w:val="auto"/>
        </w:rPr>
      </w:pPr>
      <w:r>
        <w:rPr>
          <w:rFonts w:hint="eastAsia" w:ascii="宋体" w:hAnsi="宋体"/>
          <w:color w:val="auto"/>
          <w:sz w:val="28"/>
          <w:szCs w:val="28"/>
        </w:rPr>
        <w:t>3.收集到了该项目安全评价所需的各种文件、资料和数据。</w:t>
      </w:r>
    </w:p>
    <w:p>
      <w:pPr>
        <w:pStyle w:val="4"/>
        <w:rPr>
          <w:rFonts w:ascii="Times New Roman" w:hAnsi="Times New Roman" w:cs="Times New Roman"/>
          <w:bCs w:val="0"/>
          <w:color w:val="auto"/>
        </w:rPr>
      </w:pPr>
      <w:bookmarkStart w:id="4" w:name="_Toc144109133"/>
      <w:bookmarkStart w:id="5" w:name="_Toc11766"/>
      <w:bookmarkStart w:id="6" w:name="_Toc449622607"/>
      <w:bookmarkStart w:id="7" w:name="_Toc32436"/>
      <w:r>
        <w:rPr>
          <w:rFonts w:ascii="Times New Roman" w:hAnsi="Times New Roman" w:cs="Times New Roman"/>
          <w:bCs w:val="0"/>
          <w:color w:val="auto"/>
        </w:rPr>
        <w:t>1.4 评价</w:t>
      </w:r>
      <w:r>
        <w:rPr>
          <w:rFonts w:hint="eastAsia" w:ascii="Times New Roman" w:hAnsi="Times New Roman" w:cs="Times New Roman"/>
          <w:bCs w:val="0"/>
          <w:color w:val="auto"/>
        </w:rPr>
        <w:t>对象和</w:t>
      </w:r>
      <w:r>
        <w:rPr>
          <w:rFonts w:ascii="Times New Roman" w:hAnsi="Times New Roman" w:cs="Times New Roman"/>
          <w:bCs w:val="0"/>
          <w:color w:val="auto"/>
        </w:rPr>
        <w:t>范围</w:t>
      </w:r>
      <w:bookmarkEnd w:id="4"/>
      <w:bookmarkEnd w:id="5"/>
      <w:bookmarkEnd w:id="6"/>
      <w:bookmarkEnd w:id="7"/>
    </w:p>
    <w:p>
      <w:pPr>
        <w:ind w:firstLine="560" w:firstLineChars="200"/>
        <w:rPr>
          <w:color w:val="auto"/>
          <w:sz w:val="28"/>
          <w:szCs w:val="28"/>
        </w:rPr>
      </w:pPr>
      <w:r>
        <w:rPr>
          <w:rFonts w:hint="eastAsia"/>
          <w:color w:val="auto"/>
          <w:sz w:val="28"/>
          <w:szCs w:val="28"/>
        </w:rPr>
        <w:t>根据前期准备情况，确定了江西鑫立莱生化有限责任公司年产芸苔素内酯原药5千kg、制剂3万吨项目安全条件评价的评价对象和评价范围。</w:t>
      </w:r>
    </w:p>
    <w:p>
      <w:pPr>
        <w:ind w:firstLine="560" w:firstLineChars="200"/>
        <w:rPr>
          <w:color w:val="auto"/>
        </w:rPr>
      </w:pPr>
      <w:r>
        <w:rPr>
          <w:rFonts w:hint="eastAsia"/>
          <w:color w:val="auto"/>
          <w:sz w:val="28"/>
          <w:szCs w:val="28"/>
        </w:rPr>
        <w:t>本项目评价江西鑫立莱生化有限责任公司年产芸苔素内酯原药5千kg、制剂3万吨项目的项目选址、周边环境、1</w:t>
      </w:r>
      <w:r>
        <w:rPr>
          <w:color w:val="auto"/>
          <w:sz w:val="28"/>
          <w:szCs w:val="28"/>
        </w:rPr>
        <w:t>01</w:t>
      </w:r>
      <w:r>
        <w:rPr>
          <w:rFonts w:hint="eastAsia"/>
          <w:color w:val="auto"/>
          <w:sz w:val="28"/>
          <w:szCs w:val="28"/>
        </w:rPr>
        <w:t>甲类车间生产装置（2</w:t>
      </w:r>
      <w:r>
        <w:rPr>
          <w:color w:val="auto"/>
          <w:sz w:val="28"/>
          <w:szCs w:val="28"/>
        </w:rPr>
        <w:t>4</w:t>
      </w:r>
      <w:r>
        <w:rPr>
          <w:rFonts w:hint="eastAsia"/>
          <w:color w:val="auto"/>
          <w:sz w:val="28"/>
          <w:szCs w:val="28"/>
        </w:rPr>
        <w:t>表芸苔素内酯原药、2</w:t>
      </w:r>
      <w:r>
        <w:rPr>
          <w:color w:val="auto"/>
          <w:sz w:val="28"/>
          <w:szCs w:val="28"/>
        </w:rPr>
        <w:t>8</w:t>
      </w:r>
      <w:r>
        <w:rPr>
          <w:rFonts w:hint="eastAsia"/>
          <w:color w:val="auto"/>
          <w:sz w:val="28"/>
          <w:szCs w:val="28"/>
        </w:rPr>
        <w:t>高芸苔素内酯原药、丙酰芸苔素内酯原药等生产装置）、1</w:t>
      </w:r>
      <w:r>
        <w:rPr>
          <w:color w:val="auto"/>
          <w:sz w:val="28"/>
          <w:szCs w:val="28"/>
        </w:rPr>
        <w:t>03</w:t>
      </w:r>
      <w:r>
        <w:rPr>
          <w:rFonts w:hint="eastAsia"/>
          <w:color w:val="auto"/>
          <w:sz w:val="28"/>
          <w:szCs w:val="28"/>
        </w:rPr>
        <w:t>液体制剂车间（液体农药制剂生产装置）、1</w:t>
      </w:r>
      <w:r>
        <w:rPr>
          <w:color w:val="auto"/>
          <w:sz w:val="28"/>
          <w:szCs w:val="28"/>
        </w:rPr>
        <w:t>04</w:t>
      </w:r>
      <w:r>
        <w:rPr>
          <w:rFonts w:hint="eastAsia"/>
          <w:color w:val="auto"/>
          <w:sz w:val="28"/>
          <w:szCs w:val="28"/>
        </w:rPr>
        <w:t>颗粒剂车间（颗粒农药制剂生产装置）、储存工段（2</w:t>
      </w:r>
      <w:r>
        <w:rPr>
          <w:color w:val="auto"/>
          <w:sz w:val="28"/>
          <w:szCs w:val="28"/>
        </w:rPr>
        <w:t>01</w:t>
      </w:r>
      <w:r>
        <w:rPr>
          <w:rFonts w:hint="eastAsia"/>
          <w:color w:val="auto"/>
          <w:sz w:val="28"/>
          <w:szCs w:val="28"/>
        </w:rPr>
        <w:t>甲类仓库一、2</w:t>
      </w:r>
      <w:r>
        <w:rPr>
          <w:color w:val="auto"/>
          <w:sz w:val="28"/>
          <w:szCs w:val="28"/>
        </w:rPr>
        <w:t>02</w:t>
      </w:r>
      <w:r>
        <w:rPr>
          <w:rFonts w:hint="eastAsia"/>
          <w:color w:val="auto"/>
          <w:sz w:val="28"/>
          <w:szCs w:val="28"/>
        </w:rPr>
        <w:t>甲类仓库二、2</w:t>
      </w:r>
      <w:r>
        <w:rPr>
          <w:color w:val="auto"/>
          <w:sz w:val="28"/>
          <w:szCs w:val="28"/>
        </w:rPr>
        <w:t>03</w:t>
      </w:r>
      <w:r>
        <w:rPr>
          <w:rFonts w:hint="eastAsia"/>
          <w:color w:val="auto"/>
          <w:sz w:val="28"/>
          <w:szCs w:val="28"/>
        </w:rPr>
        <w:t>丙类仓库一、2</w:t>
      </w:r>
      <w:r>
        <w:rPr>
          <w:color w:val="auto"/>
          <w:sz w:val="28"/>
          <w:szCs w:val="28"/>
        </w:rPr>
        <w:t>05</w:t>
      </w:r>
      <w:r>
        <w:rPr>
          <w:rFonts w:hint="eastAsia"/>
          <w:color w:val="auto"/>
          <w:sz w:val="28"/>
          <w:szCs w:val="28"/>
        </w:rPr>
        <w:t>甲类仓库三）、仪表自动化控制系统、公用工程（供配电、供排水、空压制氮、供热）、消防等。预留1</w:t>
      </w:r>
      <w:r>
        <w:rPr>
          <w:color w:val="auto"/>
          <w:sz w:val="28"/>
          <w:szCs w:val="28"/>
        </w:rPr>
        <w:t>02</w:t>
      </w:r>
      <w:r>
        <w:rPr>
          <w:rFonts w:hint="eastAsia"/>
          <w:color w:val="auto"/>
          <w:sz w:val="28"/>
          <w:szCs w:val="28"/>
        </w:rPr>
        <w:t>甲类车间二不在本次评价范围内。</w:t>
      </w:r>
    </w:p>
    <w:p>
      <w:pPr>
        <w:spacing w:line="600" w:lineRule="exact"/>
        <w:ind w:firstLine="560" w:firstLineChars="200"/>
        <w:rPr>
          <w:color w:val="auto"/>
          <w:sz w:val="28"/>
          <w:szCs w:val="28"/>
        </w:rPr>
      </w:pPr>
      <w:r>
        <w:rPr>
          <w:rFonts w:hint="eastAsia"/>
          <w:color w:val="auto"/>
          <w:sz w:val="28"/>
          <w:szCs w:val="28"/>
        </w:rPr>
        <w:t>针对评价范围内的项目选址、总图布置及建筑根据相关法律、法规、标准、规范进行符合性检查，对设备、装置及公用辅助设施所涉及的危险、有害因素进行分析辨识，评价其工艺及设备的可靠性，公用、辅助设施的满足程度，并依据相应法律、法规、标准、规范的要求提出对策措施建议。</w:t>
      </w:r>
    </w:p>
    <w:p>
      <w:pPr>
        <w:spacing w:line="600" w:lineRule="exact"/>
        <w:ind w:firstLine="560" w:firstLineChars="200"/>
        <w:rPr>
          <w:color w:val="auto"/>
          <w:sz w:val="28"/>
          <w:szCs w:val="28"/>
        </w:rPr>
      </w:pPr>
      <w:r>
        <w:rPr>
          <w:rFonts w:hint="eastAsia"/>
          <w:color w:val="auto"/>
          <w:sz w:val="28"/>
          <w:szCs w:val="28"/>
        </w:rPr>
        <w:t>本报告在江西鑫立莱生化有限责任公司提供的资料基础上完成的，如提供的资料有虚假内容，并由此导致的经济和法律责任及其他后果均由委托方自行承担。如委托方在项目评级组出具报告后，建设项目周边条件发生重大变化，变更建设地址，主要技术工艺路线、产品方案和装置规模发生重大变化的，造成系统安全程度随之发生变化，本报告将失去有效性。</w:t>
      </w:r>
    </w:p>
    <w:p>
      <w:pPr>
        <w:pStyle w:val="4"/>
        <w:rPr>
          <w:rFonts w:ascii="Times New Roman" w:hAnsi="Times New Roman" w:cs="Times New Roman"/>
          <w:bCs w:val="0"/>
          <w:color w:val="auto"/>
        </w:rPr>
      </w:pPr>
      <w:bookmarkStart w:id="8" w:name="_Toc144109134"/>
      <w:r>
        <w:rPr>
          <w:rFonts w:ascii="Times New Roman" w:hAnsi="Times New Roman" w:cs="Times New Roman"/>
          <w:bCs w:val="0"/>
          <w:color w:val="auto"/>
        </w:rPr>
        <w:t>1.5 评价</w:t>
      </w:r>
      <w:r>
        <w:rPr>
          <w:rFonts w:hint="eastAsia" w:ascii="Times New Roman" w:hAnsi="Times New Roman" w:cs="Times New Roman"/>
          <w:bCs w:val="0"/>
          <w:color w:val="auto"/>
        </w:rPr>
        <w:t>工作经过和程序</w:t>
      </w:r>
      <w:bookmarkEnd w:id="8"/>
    </w:p>
    <w:p>
      <w:pPr>
        <w:spacing w:line="360" w:lineRule="auto"/>
        <w:ind w:firstLine="560" w:firstLineChars="200"/>
        <w:jc w:val="left"/>
        <w:rPr>
          <w:rFonts w:ascii="黑体" w:hAnsi="黑体" w:eastAsia="黑体"/>
          <w:color w:val="auto"/>
          <w:sz w:val="28"/>
          <w:szCs w:val="28"/>
        </w:rPr>
      </w:pPr>
      <w:r>
        <w:rPr>
          <w:rFonts w:hint="eastAsia" w:ascii="黑体" w:hAnsi="黑体" w:eastAsia="黑体"/>
          <w:color w:val="auto"/>
          <w:sz w:val="28"/>
          <w:szCs w:val="28"/>
        </w:rPr>
        <w:t>1.工作经过</w:t>
      </w:r>
    </w:p>
    <w:p>
      <w:pPr>
        <w:ind w:firstLine="560" w:firstLineChars="200"/>
        <w:rPr>
          <w:color w:val="auto"/>
        </w:rPr>
      </w:pPr>
      <w:r>
        <w:rPr>
          <w:rFonts w:hint="eastAsia" w:ascii="宋体" w:hAnsi="宋体"/>
          <w:color w:val="auto"/>
          <w:sz w:val="28"/>
          <w:szCs w:val="28"/>
        </w:rPr>
        <w:t>项目组根据江西鑫立莱生化有限责任公司年产芸苔素内酯原药5千kg、制剂3万吨项目的情况，辨识和分析项目的危险、有害因素、重大危险源等。在危险、有害因素辨识基础上，根据《安全评价通则》（AQ8001-2007）、《安全预评价导则》（AQ8002-2007）、《危险化学品建设项目安全评价细则（试行）》（安监总危化[</w:t>
      </w:r>
      <w:r>
        <w:rPr>
          <w:rFonts w:ascii="宋体" w:hAnsi="宋体"/>
          <w:color w:val="auto"/>
          <w:sz w:val="28"/>
          <w:szCs w:val="28"/>
        </w:rPr>
        <w:t>2007]255</w:t>
      </w:r>
      <w:r>
        <w:rPr>
          <w:rFonts w:hint="eastAsia" w:ascii="宋体" w:hAnsi="宋体"/>
          <w:color w:val="auto"/>
          <w:sz w:val="28"/>
          <w:szCs w:val="28"/>
        </w:rPr>
        <w:t>号）的相关要求和项目工艺功能、设备、设施情况，确定安全评价单元。本评价报告采用安全检查表法、预先危险分析法及危险度等进行定性、定量评价，对导致事故发生的可能性和严重程度进行评价，并提出有针对性的对策措施。</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评价报告完成后，项目组就该项目安全评价中各个方面的情况与建设单位反复、充分交换意见，在此基础上完成《江西鑫立莱生化有限责任公司年产芸苔素内酯原药5千kg、制剂3万吨项目安全条件评价报告》。</w:t>
      </w:r>
    </w:p>
    <w:p>
      <w:pPr>
        <w:spacing w:line="360" w:lineRule="auto"/>
        <w:ind w:firstLine="560" w:firstLineChars="200"/>
        <w:jc w:val="left"/>
        <w:rPr>
          <w:rFonts w:ascii="黑体" w:hAnsi="宋体" w:eastAsia="黑体"/>
          <w:color w:val="auto"/>
          <w:sz w:val="28"/>
          <w:szCs w:val="28"/>
        </w:rPr>
      </w:pPr>
      <w:r>
        <w:rPr>
          <w:rFonts w:hint="eastAsia" w:ascii="黑体" w:hAnsi="宋体" w:eastAsia="黑体"/>
          <w:color w:val="auto"/>
          <w:sz w:val="28"/>
          <w:szCs w:val="28"/>
        </w:rPr>
        <w:br w:type="page"/>
      </w:r>
      <w:r>
        <w:rPr>
          <w:rFonts w:hint="eastAsia" w:ascii="黑体" w:hAnsi="宋体" w:eastAsia="黑体"/>
          <w:color w:val="auto"/>
          <w:sz w:val="28"/>
          <w:szCs w:val="28"/>
        </w:rPr>
        <w:t>2.安全评价程序</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该项目的评价工作程序如图1-1所示。</w:t>
      </w:r>
    </w:p>
    <w:p>
      <w:pPr>
        <w:spacing w:line="360" w:lineRule="auto"/>
        <w:jc w:val="center"/>
        <w:rPr>
          <w:color w:val="auto"/>
        </w:rPr>
      </w:pPr>
      <w:r>
        <w:rPr>
          <w:color w:val="auto"/>
        </w:rPr>
        <w:drawing>
          <wp:inline distT="0" distB="0" distL="0" distR="0">
            <wp:extent cx="1956435" cy="3689350"/>
            <wp:effectExtent l="0" t="0" r="5715" b="6350"/>
            <wp:docPr id="8" name="图片 8" descr="C:\Users\ADMINI~1\AppData\Local\Temp\ksohtml288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ksohtml2880\wps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956435" cy="3689350"/>
                    </a:xfrm>
                    <a:prstGeom prst="rect">
                      <a:avLst/>
                    </a:prstGeom>
                    <a:noFill/>
                    <a:ln>
                      <a:noFill/>
                    </a:ln>
                  </pic:spPr>
                </pic:pic>
              </a:graphicData>
            </a:graphic>
          </wp:inline>
        </w:drawing>
      </w:r>
    </w:p>
    <w:p>
      <w:pPr>
        <w:jc w:val="center"/>
        <w:rPr>
          <w:color w:val="auto"/>
        </w:rPr>
      </w:pPr>
      <w:r>
        <w:rPr>
          <w:rFonts w:hint="eastAsia" w:ascii="宋体" w:hAnsi="宋体"/>
          <w:b/>
          <w:bCs/>
          <w:color w:val="auto"/>
        </w:rPr>
        <w:t>图1-1评价程序框图</w:t>
      </w:r>
    </w:p>
    <w:p>
      <w:pPr>
        <w:pStyle w:val="49"/>
        <w:rPr>
          <w:color w:val="auto"/>
        </w:rPr>
      </w:pPr>
      <w:r>
        <w:rPr>
          <w:color w:val="auto"/>
        </w:rPr>
        <w:br w:type="page"/>
      </w:r>
    </w:p>
    <w:p>
      <w:pPr>
        <w:pStyle w:val="3"/>
        <w:jc w:val="center"/>
        <w:rPr>
          <w:bCs w:val="0"/>
          <w:color w:val="auto"/>
          <w:szCs w:val="32"/>
        </w:rPr>
      </w:pPr>
      <w:bookmarkStart w:id="9" w:name="_Toc144109135"/>
      <w:r>
        <w:rPr>
          <w:rFonts w:hint="eastAsia"/>
          <w:bCs w:val="0"/>
          <w:color w:val="auto"/>
          <w:szCs w:val="32"/>
        </w:rPr>
        <w:t>2.建设项目概况</w:t>
      </w:r>
      <w:bookmarkEnd w:id="9"/>
    </w:p>
    <w:p>
      <w:pPr>
        <w:pStyle w:val="4"/>
        <w:rPr>
          <w:rFonts w:ascii="Times New Roman" w:hAnsi="Times New Roman" w:cs="Times New Roman"/>
          <w:bCs w:val="0"/>
          <w:color w:val="auto"/>
        </w:rPr>
      </w:pPr>
      <w:bookmarkStart w:id="10" w:name="_Toc449622611"/>
      <w:bookmarkStart w:id="11" w:name="_Toc387414430"/>
      <w:bookmarkStart w:id="12" w:name="_Toc374452535"/>
      <w:bookmarkStart w:id="13" w:name="_Toc26232"/>
      <w:bookmarkStart w:id="14" w:name="_Toc31008"/>
      <w:bookmarkStart w:id="15" w:name="_Toc144109136"/>
      <w:r>
        <w:rPr>
          <w:rFonts w:ascii="Times New Roman" w:hAnsi="Times New Roman" w:cs="Times New Roman"/>
          <w:bCs w:val="0"/>
          <w:color w:val="auto"/>
        </w:rPr>
        <w:t>2.</w:t>
      </w:r>
      <w:bookmarkEnd w:id="10"/>
      <w:bookmarkEnd w:id="11"/>
      <w:bookmarkEnd w:id="12"/>
      <w:r>
        <w:rPr>
          <w:rFonts w:ascii="Times New Roman" w:hAnsi="Times New Roman" w:cs="Times New Roman"/>
          <w:bCs w:val="0"/>
          <w:color w:val="auto"/>
        </w:rPr>
        <w:t>1 企业简介及建设项目由来</w:t>
      </w:r>
      <w:bookmarkEnd w:id="13"/>
      <w:bookmarkEnd w:id="14"/>
      <w:bookmarkEnd w:id="15"/>
    </w:p>
    <w:p>
      <w:pPr>
        <w:keepNext/>
        <w:keepLines/>
        <w:spacing w:line="600" w:lineRule="exact"/>
        <w:jc w:val="left"/>
        <w:outlineLvl w:val="2"/>
        <w:rPr>
          <w:b/>
          <w:color w:val="auto"/>
          <w:sz w:val="28"/>
          <w:szCs w:val="32"/>
        </w:rPr>
      </w:pPr>
      <w:bookmarkStart w:id="16" w:name="_Toc28590"/>
      <w:bookmarkStart w:id="17" w:name="_Toc144109137"/>
      <w:r>
        <w:rPr>
          <w:b/>
          <w:color w:val="auto"/>
          <w:sz w:val="28"/>
          <w:szCs w:val="32"/>
        </w:rPr>
        <w:t>2.1.1 企业简介</w:t>
      </w:r>
      <w:bookmarkEnd w:id="16"/>
      <w:bookmarkEnd w:id="17"/>
    </w:p>
    <w:p>
      <w:pPr>
        <w:ind w:firstLine="480"/>
        <w:textAlignment w:val="baseline"/>
        <w:rPr>
          <w:snapToGrid w:val="0"/>
          <w:color w:val="auto"/>
          <w:spacing w:val="-2"/>
          <w:kern w:val="0"/>
          <w:sz w:val="28"/>
          <w:szCs w:val="28"/>
        </w:rPr>
      </w:pPr>
      <w:r>
        <w:rPr>
          <w:rFonts w:hint="eastAsia" w:ascii="宋体" w:hAnsi="宋体"/>
          <w:color w:val="auto"/>
          <w:sz w:val="28"/>
          <w:szCs w:val="28"/>
        </w:rPr>
        <w:t>江西鑫立莱生化有限责任公司是由江西</w:t>
      </w:r>
      <w:r>
        <w:rPr>
          <w:rFonts w:hint="eastAsia" w:ascii="宋体" w:hAnsi="宋体"/>
          <w:color w:val="auto"/>
          <w:kern w:val="0"/>
          <w:sz w:val="28"/>
          <w:szCs w:val="28"/>
        </w:rPr>
        <w:t>鑫邦科技有限责任公司</w:t>
      </w:r>
      <w:r>
        <w:rPr>
          <w:rFonts w:hint="eastAsia" w:ascii="宋体" w:hAnsi="宋体"/>
          <w:color w:val="auto"/>
          <w:sz w:val="28"/>
          <w:szCs w:val="28"/>
        </w:rPr>
        <w:t>100%全额投资设立的子公司，母公司于2019年4月注册成立。</w:t>
      </w:r>
      <w:r>
        <w:rPr>
          <w:rFonts w:hint="eastAsia"/>
          <w:snapToGrid w:val="0"/>
          <w:color w:val="auto"/>
          <w:spacing w:val="-2"/>
          <w:kern w:val="0"/>
          <w:sz w:val="28"/>
          <w:szCs w:val="28"/>
        </w:rPr>
        <w:t>江西鑫立莱生化有限责任公司拟建设于江</w:t>
      </w:r>
      <w:r>
        <w:rPr>
          <w:rFonts w:hint="eastAsia" w:ascii="宋体" w:hAnsi="宋体"/>
          <w:color w:val="auto"/>
          <w:sz w:val="28"/>
          <w:szCs w:val="28"/>
        </w:rPr>
        <w:t>西省吉安市新干县盐化工业城，公司成立</w:t>
      </w:r>
      <w:r>
        <w:rPr>
          <w:rFonts w:hint="eastAsia"/>
          <w:snapToGrid w:val="0"/>
          <w:color w:val="auto"/>
          <w:spacing w:val="-2"/>
          <w:kern w:val="0"/>
          <w:sz w:val="28"/>
          <w:szCs w:val="28"/>
        </w:rPr>
        <w:t>于</w:t>
      </w:r>
      <w:r>
        <w:rPr>
          <w:snapToGrid w:val="0"/>
          <w:color w:val="auto"/>
          <w:spacing w:val="-2"/>
          <w:kern w:val="0"/>
          <w:sz w:val="28"/>
          <w:szCs w:val="28"/>
        </w:rPr>
        <w:t>2021</w:t>
      </w:r>
      <w:r>
        <w:rPr>
          <w:rFonts w:hint="eastAsia"/>
          <w:snapToGrid w:val="0"/>
          <w:color w:val="auto"/>
          <w:spacing w:val="-2"/>
          <w:kern w:val="0"/>
          <w:sz w:val="28"/>
          <w:szCs w:val="28"/>
        </w:rPr>
        <w:t>年</w:t>
      </w:r>
      <w:r>
        <w:rPr>
          <w:snapToGrid w:val="0"/>
          <w:color w:val="auto"/>
          <w:spacing w:val="-2"/>
          <w:kern w:val="0"/>
          <w:sz w:val="28"/>
          <w:szCs w:val="28"/>
        </w:rPr>
        <w:t>06</w:t>
      </w:r>
      <w:r>
        <w:rPr>
          <w:rFonts w:hint="eastAsia"/>
          <w:snapToGrid w:val="0"/>
          <w:color w:val="auto"/>
          <w:spacing w:val="-2"/>
          <w:kern w:val="0"/>
          <w:sz w:val="28"/>
          <w:szCs w:val="28"/>
        </w:rPr>
        <w:t>月，</w:t>
      </w:r>
      <w:r>
        <w:rPr>
          <w:rFonts w:hint="eastAsia" w:ascii="宋体" w:hAnsi="宋体"/>
          <w:color w:val="auto"/>
          <w:sz w:val="28"/>
          <w:szCs w:val="28"/>
        </w:rPr>
        <w:t>占地</w:t>
      </w:r>
      <w:r>
        <w:rPr>
          <w:rFonts w:ascii="宋体" w:hAnsi="宋体"/>
          <w:color w:val="auto"/>
          <w:sz w:val="28"/>
          <w:szCs w:val="28"/>
        </w:rPr>
        <w:t>32456.83</w:t>
      </w:r>
      <w:r>
        <w:rPr>
          <w:rFonts w:hint="eastAsia" w:ascii="宋体" w:hAnsi="宋体"/>
          <w:color w:val="auto"/>
          <w:sz w:val="28"/>
          <w:szCs w:val="28"/>
        </w:rPr>
        <w:t>m</w:t>
      </w:r>
      <w:r>
        <w:rPr>
          <w:rFonts w:ascii="宋体" w:hAnsi="宋体"/>
          <w:color w:val="auto"/>
          <w:sz w:val="28"/>
          <w:szCs w:val="28"/>
          <w:vertAlign w:val="superscript"/>
        </w:rPr>
        <w:t>2</w:t>
      </w:r>
      <w:r>
        <w:rPr>
          <w:rFonts w:hint="eastAsia" w:ascii="宋体" w:hAnsi="宋体"/>
          <w:color w:val="auto"/>
          <w:sz w:val="28"/>
          <w:szCs w:val="28"/>
        </w:rPr>
        <w:t>，企业类型为有限责任公司（自然人投资或控股的法人独资）</w:t>
      </w:r>
      <w:r>
        <w:rPr>
          <w:rFonts w:hint="eastAsia"/>
          <w:snapToGrid w:val="0"/>
          <w:color w:val="auto"/>
          <w:spacing w:val="-2"/>
          <w:kern w:val="0"/>
          <w:sz w:val="28"/>
          <w:szCs w:val="28"/>
        </w:rPr>
        <w:t>。公司注册资本1</w:t>
      </w:r>
      <w:r>
        <w:rPr>
          <w:snapToGrid w:val="0"/>
          <w:color w:val="auto"/>
          <w:spacing w:val="-2"/>
          <w:kern w:val="0"/>
          <w:sz w:val="28"/>
          <w:szCs w:val="28"/>
        </w:rPr>
        <w:t>000</w:t>
      </w:r>
      <w:r>
        <w:rPr>
          <w:rFonts w:hint="eastAsia"/>
          <w:snapToGrid w:val="0"/>
          <w:color w:val="auto"/>
          <w:spacing w:val="-2"/>
          <w:kern w:val="0"/>
          <w:sz w:val="28"/>
          <w:szCs w:val="28"/>
        </w:rPr>
        <w:t>万元。</w:t>
      </w:r>
    </w:p>
    <w:p>
      <w:pPr>
        <w:autoSpaceDE w:val="0"/>
        <w:autoSpaceDN w:val="0"/>
        <w:adjustRightInd w:val="0"/>
        <w:snapToGrid w:val="0"/>
        <w:spacing w:line="600" w:lineRule="exact"/>
        <w:ind w:firstLine="560" w:firstLineChars="200"/>
        <w:rPr>
          <w:snapToGrid w:val="0"/>
          <w:color w:val="auto"/>
          <w:spacing w:val="-2"/>
          <w:kern w:val="0"/>
          <w:sz w:val="28"/>
          <w:szCs w:val="28"/>
        </w:rPr>
      </w:pPr>
      <w:r>
        <w:rPr>
          <w:rFonts w:hint="eastAsia" w:ascii="宋体" w:hAnsi="宋体"/>
          <w:color w:val="auto"/>
          <w:sz w:val="28"/>
          <w:szCs w:val="28"/>
        </w:rPr>
        <w:t>江西鑫立莱生化有限责任公司经营许可项目：农药生产、农药批发、废料生产（依法须经批准的项目，经相关部门批准后方可开展经营活动）一般项目：生物农药技术研发、生物有机肥料研发、复合微生物肥料研发、肥料销售、土壤与肥料的复混加工、化工产品生产（不含许可类化工产品）、农业专业及辅助型活动、农业机械服务（除许可业务外、可自主依法经营法律法规非禁止或限制的项目）。</w:t>
      </w:r>
      <w:r>
        <w:rPr>
          <w:rFonts w:hint="eastAsia"/>
          <w:snapToGrid w:val="0"/>
          <w:color w:val="auto"/>
          <w:spacing w:val="-2"/>
          <w:kern w:val="0"/>
          <w:sz w:val="28"/>
          <w:szCs w:val="28"/>
        </w:rPr>
        <w:t>企业法人营业执照复印件见附件。</w:t>
      </w:r>
    </w:p>
    <w:p>
      <w:pPr>
        <w:ind w:firstLine="480"/>
        <w:textAlignment w:val="baseline"/>
        <w:rPr>
          <w:rFonts w:ascii="宋体" w:hAnsi="宋体"/>
          <w:color w:val="auto"/>
          <w:sz w:val="28"/>
          <w:szCs w:val="28"/>
        </w:rPr>
      </w:pPr>
      <w:r>
        <w:rPr>
          <w:rFonts w:hint="eastAsia" w:ascii="宋体" w:hAnsi="宋体"/>
          <w:color w:val="auto"/>
          <w:sz w:val="28"/>
          <w:szCs w:val="28"/>
        </w:rPr>
        <w:t>江西</w:t>
      </w:r>
      <w:r>
        <w:rPr>
          <w:rFonts w:hint="eastAsia" w:ascii="宋体" w:hAnsi="宋体"/>
          <w:color w:val="auto"/>
          <w:kern w:val="0"/>
          <w:sz w:val="28"/>
          <w:szCs w:val="28"/>
        </w:rPr>
        <w:t>鑫邦科技有限责任公司</w:t>
      </w:r>
      <w:r>
        <w:rPr>
          <w:rFonts w:hint="eastAsia" w:ascii="宋体" w:hAnsi="宋体"/>
          <w:color w:val="auto"/>
          <w:sz w:val="28"/>
          <w:szCs w:val="28"/>
        </w:rPr>
        <w:t>与江西新瑞丰生化股份有限公司紧密合作，已生产出多系列，晶型先进，纯度高的芸苔素内酯产品。且同国内农药行业的几家龙头公司，如青岛瀚生集团的青岛瀚生谷成金作物科学有限公司、江西中迅农化有限公司、台州市大鹏药业有限公司等合作。江西</w:t>
      </w:r>
      <w:r>
        <w:rPr>
          <w:rFonts w:hint="eastAsia" w:ascii="宋体" w:hAnsi="宋体"/>
          <w:color w:val="auto"/>
          <w:kern w:val="0"/>
          <w:sz w:val="28"/>
          <w:szCs w:val="28"/>
        </w:rPr>
        <w:t>鑫邦科技有限责任公司</w:t>
      </w:r>
      <w:r>
        <w:rPr>
          <w:rFonts w:hint="eastAsia" w:ascii="宋体" w:hAnsi="宋体"/>
          <w:color w:val="auto"/>
          <w:sz w:val="28"/>
          <w:szCs w:val="28"/>
        </w:rPr>
        <w:t>自2</w:t>
      </w:r>
      <w:r>
        <w:rPr>
          <w:rFonts w:ascii="宋体" w:hAnsi="宋体"/>
          <w:color w:val="auto"/>
          <w:sz w:val="28"/>
          <w:szCs w:val="28"/>
        </w:rPr>
        <w:t>013</w:t>
      </w:r>
      <w:r>
        <w:rPr>
          <w:rFonts w:hint="eastAsia" w:ascii="宋体" w:hAnsi="宋体"/>
          <w:color w:val="auto"/>
          <w:sz w:val="28"/>
          <w:szCs w:val="28"/>
        </w:rPr>
        <w:t>年开始芸苔素内酯产品生产工艺的研究，现已掌握了成熟的量化生产技术。</w:t>
      </w:r>
    </w:p>
    <w:p>
      <w:pPr>
        <w:pStyle w:val="49"/>
        <w:ind w:firstLine="560" w:firstLineChars="200"/>
        <w:rPr>
          <w:rFonts w:hAnsi="宋体" w:cs="Times New Roman"/>
          <w:color w:val="auto"/>
          <w:kern w:val="2"/>
          <w:sz w:val="28"/>
          <w:szCs w:val="28"/>
        </w:rPr>
      </w:pPr>
      <w:r>
        <w:rPr>
          <w:rFonts w:hint="eastAsia" w:hAnsi="宋体" w:cs="Times New Roman"/>
          <w:color w:val="auto"/>
          <w:kern w:val="2"/>
          <w:sz w:val="28"/>
          <w:szCs w:val="28"/>
        </w:rPr>
        <w:t>江西鑫立莱生化有限责任公司拟设立技术研发及原药生产部、制剂生产部、质量管理部、销售部、市场部、供应保障部、财务行政部等部门，该项目拟设员工</w:t>
      </w:r>
      <w:r>
        <w:rPr>
          <w:rFonts w:hAnsi="宋体" w:cs="Times New Roman"/>
          <w:color w:val="auto"/>
          <w:kern w:val="2"/>
          <w:sz w:val="28"/>
          <w:szCs w:val="28"/>
        </w:rPr>
        <w:t>200</w:t>
      </w:r>
      <w:r>
        <w:rPr>
          <w:rFonts w:hint="eastAsia" w:hAnsi="宋体" w:cs="Times New Roman"/>
          <w:color w:val="auto"/>
          <w:kern w:val="2"/>
          <w:sz w:val="28"/>
          <w:szCs w:val="28"/>
        </w:rPr>
        <w:t>人。公司主要负责人和安全管理人员等均拟在项目运行前取得资格证书。</w:t>
      </w:r>
    </w:p>
    <w:p>
      <w:pPr>
        <w:keepNext/>
        <w:keepLines/>
        <w:spacing w:line="600" w:lineRule="exact"/>
        <w:jc w:val="left"/>
        <w:outlineLvl w:val="2"/>
        <w:rPr>
          <w:b/>
          <w:color w:val="auto"/>
          <w:sz w:val="28"/>
          <w:szCs w:val="32"/>
        </w:rPr>
      </w:pPr>
      <w:bookmarkStart w:id="18" w:name="_Toc4231"/>
      <w:bookmarkStart w:id="19" w:name="_Toc144109138"/>
      <w:r>
        <w:rPr>
          <w:b/>
          <w:color w:val="auto"/>
          <w:sz w:val="28"/>
          <w:szCs w:val="32"/>
        </w:rPr>
        <w:t>2.1.2 项目由来</w:t>
      </w:r>
      <w:bookmarkEnd w:id="18"/>
      <w:bookmarkEnd w:id="19"/>
    </w:p>
    <w:p>
      <w:pPr>
        <w:spacing w:line="360" w:lineRule="auto"/>
        <w:ind w:firstLine="560" w:firstLineChars="200"/>
        <w:rPr>
          <w:color w:val="auto"/>
          <w:sz w:val="28"/>
          <w:szCs w:val="28"/>
        </w:rPr>
      </w:pPr>
      <w:r>
        <w:rPr>
          <w:rFonts w:hint="eastAsia" w:ascii="宋体" w:hAnsi="宋体"/>
          <w:color w:val="auto"/>
          <w:kern w:val="0"/>
          <w:sz w:val="28"/>
          <w:szCs w:val="28"/>
        </w:rPr>
        <w:t>江西鑫邦科技有限责任公司已同国内农药行业几家龙头公司进行了合作，投入大量资金引进高知人才，进行芸苔素内酯应用技术的研究。为使研究成果转化，江西鑫邦科技有限责任公司成立了子公司（江西鑫立莱生化有限责任公司）。</w:t>
      </w:r>
    </w:p>
    <w:p>
      <w:pPr>
        <w:ind w:firstLine="560" w:firstLineChars="200"/>
        <w:rPr>
          <w:color w:val="auto"/>
          <w:sz w:val="28"/>
          <w:szCs w:val="28"/>
        </w:rPr>
      </w:pPr>
      <w:r>
        <w:rPr>
          <w:rFonts w:hint="eastAsia" w:ascii="宋体" w:hAnsi="宋体"/>
          <w:bCs/>
          <w:color w:val="auto"/>
          <w:kern w:val="0"/>
          <w:sz w:val="28"/>
          <w:szCs w:val="28"/>
        </w:rPr>
        <w:t>农药是重要的农业生产资料，对防病治虫、促进粮食和农业稳产高产至关重要。但由于农药使用量较大，加之施药方法不够科学，带来生产成本增加、农产品残留超标、作物药害、环境污染等问题。芸苔素内酯作为“第六大类植物内源激素”，对所有植物的整个生长发育过程均有良好的调节作用。和其它药肥一起使用，能提高药肥的吸收利用率，且对作物安全，对环境无污染，其本身还能够降解农作物体内的农药或重金属残留、预防和解决药害，符合国家农药零增长的要求。</w:t>
      </w:r>
    </w:p>
    <w:p>
      <w:pPr>
        <w:spacing w:line="600" w:lineRule="exact"/>
        <w:ind w:firstLine="495" w:firstLineChars="177"/>
        <w:rPr>
          <w:rFonts w:ascii="宋体" w:hAnsi="宋体"/>
          <w:color w:val="auto"/>
          <w:sz w:val="28"/>
          <w:szCs w:val="28"/>
        </w:rPr>
      </w:pPr>
      <w:r>
        <w:rPr>
          <w:rFonts w:hint="eastAsia" w:ascii="宋体" w:hAnsi="宋体"/>
          <w:color w:val="auto"/>
          <w:sz w:val="28"/>
          <w:szCs w:val="28"/>
        </w:rPr>
        <w:t>因此，江西鑫立莱生化有限责任公司拟在江西省吉安市新干县盐化工业城，投资建设年产芸苔素内酯原药5千kg、制剂3万吨项目。</w:t>
      </w:r>
    </w:p>
    <w:p>
      <w:pPr>
        <w:pStyle w:val="4"/>
        <w:rPr>
          <w:rFonts w:ascii="Times New Roman" w:hAnsi="Times New Roman" w:cs="Times New Roman"/>
          <w:bCs w:val="0"/>
          <w:color w:val="auto"/>
        </w:rPr>
      </w:pPr>
      <w:bookmarkStart w:id="20" w:name="_Toc144109139"/>
      <w:bookmarkStart w:id="21" w:name="_Toc15806"/>
      <w:r>
        <w:rPr>
          <w:rFonts w:hint="eastAsia" w:ascii="Times New Roman" w:hAnsi="Times New Roman" w:cs="Times New Roman"/>
          <w:bCs w:val="0"/>
          <w:color w:val="auto"/>
        </w:rPr>
        <w:t>2.</w:t>
      </w:r>
      <w:r>
        <w:rPr>
          <w:rFonts w:ascii="Times New Roman" w:hAnsi="Times New Roman" w:cs="Times New Roman"/>
          <w:bCs w:val="0"/>
          <w:color w:val="auto"/>
        </w:rPr>
        <w:t>2</w:t>
      </w:r>
      <w:r>
        <w:rPr>
          <w:rFonts w:hint="eastAsia" w:ascii="Times New Roman" w:hAnsi="Times New Roman" w:cs="Times New Roman"/>
          <w:bCs w:val="0"/>
          <w:color w:val="auto"/>
        </w:rPr>
        <w:t xml:space="preserve"> 项目基本情况</w:t>
      </w:r>
      <w:bookmarkEnd w:id="20"/>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项目名称：年产芸苔素内酯原药5千kg、制剂3万吨项目</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企业名称：江西鑫立莱生化有限责任公司</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建设地址：江西省吉安市新干县盐化工业城</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法人代表：李志江</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项目联系人：饶玉波</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项目总投资：3</w:t>
      </w:r>
      <w:r>
        <w:rPr>
          <w:snapToGrid w:val="0"/>
          <w:color w:val="auto"/>
          <w:spacing w:val="-2"/>
          <w:kern w:val="0"/>
          <w:sz w:val="28"/>
          <w:szCs w:val="28"/>
        </w:rPr>
        <w:t>0000</w:t>
      </w:r>
      <w:r>
        <w:rPr>
          <w:rFonts w:hint="eastAsia"/>
          <w:snapToGrid w:val="0"/>
          <w:color w:val="auto"/>
          <w:spacing w:val="-2"/>
          <w:kern w:val="0"/>
          <w:sz w:val="28"/>
          <w:szCs w:val="28"/>
        </w:rPr>
        <w:t>万元（其中安全投入：150</w:t>
      </w:r>
      <w:r>
        <w:rPr>
          <w:snapToGrid w:val="0"/>
          <w:color w:val="auto"/>
          <w:spacing w:val="-2"/>
          <w:kern w:val="0"/>
          <w:sz w:val="28"/>
          <w:szCs w:val="28"/>
        </w:rPr>
        <w:t>0</w:t>
      </w:r>
      <w:r>
        <w:rPr>
          <w:rFonts w:hint="eastAsia"/>
          <w:snapToGrid w:val="0"/>
          <w:color w:val="auto"/>
          <w:spacing w:val="-2"/>
          <w:kern w:val="0"/>
          <w:sz w:val="28"/>
          <w:szCs w:val="28"/>
        </w:rPr>
        <w:t>万元）</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占地面积：</w:t>
      </w:r>
      <w:r>
        <w:rPr>
          <w:snapToGrid w:val="0"/>
          <w:color w:val="auto"/>
          <w:spacing w:val="-2"/>
          <w:kern w:val="0"/>
          <w:sz w:val="28"/>
          <w:szCs w:val="28"/>
        </w:rPr>
        <w:t>32456.83</w:t>
      </w:r>
      <w:r>
        <w:rPr>
          <w:rFonts w:hint="eastAsia"/>
          <w:snapToGrid w:val="0"/>
          <w:color w:val="auto"/>
          <w:spacing w:val="-2"/>
          <w:kern w:val="0"/>
          <w:sz w:val="28"/>
          <w:szCs w:val="28"/>
        </w:rPr>
        <w:t>m</w:t>
      </w:r>
      <w:r>
        <w:rPr>
          <w:snapToGrid w:val="0"/>
          <w:color w:val="auto"/>
          <w:spacing w:val="-2"/>
          <w:kern w:val="0"/>
          <w:sz w:val="28"/>
          <w:szCs w:val="28"/>
          <w:vertAlign w:val="superscript"/>
        </w:rPr>
        <w:t>2</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建设性质：新建</w:t>
      </w:r>
    </w:p>
    <w:p>
      <w:pPr>
        <w:autoSpaceDE w:val="0"/>
        <w:autoSpaceDN w:val="0"/>
        <w:adjustRightInd w:val="0"/>
        <w:snapToGrid w:val="0"/>
        <w:spacing w:line="600" w:lineRule="exact"/>
        <w:ind w:firstLine="552" w:firstLineChars="200"/>
        <w:rPr>
          <w:snapToGrid w:val="0"/>
          <w:color w:val="auto"/>
          <w:spacing w:val="-2"/>
          <w:kern w:val="0"/>
          <w:sz w:val="28"/>
          <w:szCs w:val="28"/>
        </w:rPr>
      </w:pPr>
      <w:r>
        <w:rPr>
          <w:rFonts w:hint="eastAsia"/>
          <w:snapToGrid w:val="0"/>
          <w:color w:val="auto"/>
          <w:spacing w:val="-2"/>
          <w:kern w:val="0"/>
          <w:sz w:val="28"/>
          <w:szCs w:val="28"/>
        </w:rPr>
        <w:t>建设规模：芸苔素内酯原药5千kg</w:t>
      </w:r>
      <w:r>
        <w:rPr>
          <w:snapToGrid w:val="0"/>
          <w:color w:val="auto"/>
          <w:spacing w:val="-2"/>
          <w:kern w:val="0"/>
          <w:sz w:val="28"/>
          <w:szCs w:val="28"/>
        </w:rPr>
        <w:t>/</w:t>
      </w:r>
      <w:r>
        <w:rPr>
          <w:rFonts w:hint="eastAsia"/>
          <w:snapToGrid w:val="0"/>
          <w:color w:val="auto"/>
          <w:spacing w:val="-2"/>
          <w:kern w:val="0"/>
          <w:sz w:val="28"/>
          <w:szCs w:val="28"/>
        </w:rPr>
        <w:t>年（其中2</w:t>
      </w:r>
      <w:r>
        <w:rPr>
          <w:snapToGrid w:val="0"/>
          <w:color w:val="auto"/>
          <w:spacing w:val="-2"/>
          <w:kern w:val="0"/>
          <w:sz w:val="28"/>
          <w:szCs w:val="28"/>
        </w:rPr>
        <w:t>4</w:t>
      </w:r>
      <w:r>
        <w:rPr>
          <w:rFonts w:hint="eastAsia"/>
          <w:snapToGrid w:val="0"/>
          <w:color w:val="auto"/>
          <w:spacing w:val="-2"/>
          <w:kern w:val="0"/>
          <w:sz w:val="28"/>
          <w:szCs w:val="28"/>
        </w:rPr>
        <w:t xml:space="preserve"> -表芸苔素内酯2t</w:t>
      </w:r>
      <w:r>
        <w:rPr>
          <w:snapToGrid w:val="0"/>
          <w:color w:val="auto"/>
          <w:spacing w:val="-2"/>
          <w:kern w:val="0"/>
          <w:sz w:val="28"/>
          <w:szCs w:val="28"/>
        </w:rPr>
        <w:t>/</w:t>
      </w:r>
      <w:r>
        <w:rPr>
          <w:rFonts w:hint="eastAsia"/>
          <w:snapToGrid w:val="0"/>
          <w:color w:val="auto"/>
          <w:spacing w:val="-2"/>
          <w:kern w:val="0"/>
          <w:sz w:val="28"/>
          <w:szCs w:val="28"/>
        </w:rPr>
        <w:t>a，4</w:t>
      </w:r>
      <w:r>
        <w:rPr>
          <w:snapToGrid w:val="0"/>
          <w:color w:val="auto"/>
          <w:spacing w:val="-2"/>
          <w:kern w:val="0"/>
          <w:sz w:val="28"/>
          <w:szCs w:val="28"/>
        </w:rPr>
        <w:t>9</w:t>
      </w:r>
      <w:r>
        <w:rPr>
          <w:rFonts w:hint="eastAsia"/>
          <w:snapToGrid w:val="0"/>
          <w:color w:val="auto"/>
          <w:spacing w:val="-2"/>
          <w:kern w:val="0"/>
          <w:sz w:val="28"/>
          <w:szCs w:val="28"/>
        </w:rPr>
        <w:t>批次/年，操作时间8</w:t>
      </w:r>
      <w:r>
        <w:rPr>
          <w:snapToGrid w:val="0"/>
          <w:color w:val="auto"/>
          <w:spacing w:val="-2"/>
          <w:kern w:val="0"/>
          <w:sz w:val="28"/>
          <w:szCs w:val="28"/>
        </w:rPr>
        <w:t>7</w:t>
      </w:r>
      <w:r>
        <w:rPr>
          <w:rFonts w:hint="eastAsia"/>
          <w:snapToGrid w:val="0"/>
          <w:color w:val="auto"/>
          <w:spacing w:val="-2"/>
          <w:kern w:val="0"/>
          <w:sz w:val="28"/>
          <w:szCs w:val="28"/>
        </w:rPr>
        <w:t>天；2</w:t>
      </w:r>
      <w:r>
        <w:rPr>
          <w:snapToGrid w:val="0"/>
          <w:color w:val="auto"/>
          <w:spacing w:val="-2"/>
          <w:kern w:val="0"/>
          <w:sz w:val="28"/>
          <w:szCs w:val="28"/>
        </w:rPr>
        <w:t>8-</w:t>
      </w:r>
      <w:r>
        <w:rPr>
          <w:rFonts w:hint="eastAsia"/>
          <w:snapToGrid w:val="0"/>
          <w:color w:val="auto"/>
          <w:spacing w:val="-2"/>
          <w:kern w:val="0"/>
          <w:sz w:val="28"/>
          <w:szCs w:val="28"/>
        </w:rPr>
        <w:t>高芸苔素内酯1t</w:t>
      </w:r>
      <w:r>
        <w:rPr>
          <w:snapToGrid w:val="0"/>
          <w:color w:val="auto"/>
          <w:spacing w:val="-2"/>
          <w:kern w:val="0"/>
          <w:sz w:val="28"/>
          <w:szCs w:val="28"/>
        </w:rPr>
        <w:t>/</w:t>
      </w:r>
      <w:r>
        <w:rPr>
          <w:rFonts w:hint="eastAsia"/>
          <w:snapToGrid w:val="0"/>
          <w:color w:val="auto"/>
          <w:spacing w:val="-2"/>
          <w:kern w:val="0"/>
          <w:sz w:val="28"/>
          <w:szCs w:val="28"/>
        </w:rPr>
        <w:t>a，5</w:t>
      </w:r>
      <w:r>
        <w:rPr>
          <w:snapToGrid w:val="0"/>
          <w:color w:val="auto"/>
          <w:spacing w:val="-2"/>
          <w:kern w:val="0"/>
          <w:sz w:val="28"/>
          <w:szCs w:val="28"/>
        </w:rPr>
        <w:t>2</w:t>
      </w:r>
      <w:r>
        <w:rPr>
          <w:rFonts w:hint="eastAsia"/>
          <w:snapToGrid w:val="0"/>
          <w:color w:val="auto"/>
          <w:spacing w:val="-2"/>
          <w:kern w:val="0"/>
          <w:sz w:val="28"/>
          <w:szCs w:val="28"/>
        </w:rPr>
        <w:t>批次/年，操作时间9</w:t>
      </w:r>
      <w:r>
        <w:rPr>
          <w:snapToGrid w:val="0"/>
          <w:color w:val="auto"/>
          <w:spacing w:val="-2"/>
          <w:kern w:val="0"/>
          <w:sz w:val="28"/>
          <w:szCs w:val="28"/>
        </w:rPr>
        <w:t>5</w:t>
      </w:r>
      <w:r>
        <w:rPr>
          <w:rFonts w:hint="eastAsia"/>
          <w:snapToGrid w:val="0"/>
          <w:color w:val="auto"/>
          <w:spacing w:val="-2"/>
          <w:kern w:val="0"/>
          <w:sz w:val="28"/>
          <w:szCs w:val="28"/>
        </w:rPr>
        <w:t>天；丙酰芸苔素内酯2t</w:t>
      </w:r>
      <w:r>
        <w:rPr>
          <w:snapToGrid w:val="0"/>
          <w:color w:val="auto"/>
          <w:spacing w:val="-2"/>
          <w:kern w:val="0"/>
          <w:sz w:val="28"/>
          <w:szCs w:val="28"/>
        </w:rPr>
        <w:t>/</w:t>
      </w:r>
      <w:r>
        <w:rPr>
          <w:rFonts w:hint="eastAsia"/>
          <w:snapToGrid w:val="0"/>
          <w:color w:val="auto"/>
          <w:spacing w:val="-2"/>
          <w:kern w:val="0"/>
          <w:sz w:val="28"/>
          <w:szCs w:val="28"/>
        </w:rPr>
        <w:t>a，6</w:t>
      </w:r>
      <w:r>
        <w:rPr>
          <w:snapToGrid w:val="0"/>
          <w:color w:val="auto"/>
          <w:spacing w:val="-2"/>
          <w:kern w:val="0"/>
          <w:sz w:val="28"/>
          <w:szCs w:val="28"/>
        </w:rPr>
        <w:t>5</w:t>
      </w:r>
      <w:r>
        <w:rPr>
          <w:rFonts w:hint="eastAsia"/>
          <w:snapToGrid w:val="0"/>
          <w:color w:val="auto"/>
          <w:spacing w:val="-2"/>
          <w:kern w:val="0"/>
          <w:sz w:val="28"/>
          <w:szCs w:val="28"/>
        </w:rPr>
        <w:t>批次/年，操作时间1</w:t>
      </w:r>
      <w:r>
        <w:rPr>
          <w:snapToGrid w:val="0"/>
          <w:color w:val="auto"/>
          <w:spacing w:val="-2"/>
          <w:kern w:val="0"/>
          <w:sz w:val="28"/>
          <w:szCs w:val="28"/>
        </w:rPr>
        <w:t>18</w:t>
      </w:r>
      <w:r>
        <w:rPr>
          <w:rFonts w:hint="eastAsia"/>
          <w:snapToGrid w:val="0"/>
          <w:color w:val="auto"/>
          <w:spacing w:val="-2"/>
          <w:kern w:val="0"/>
          <w:sz w:val="28"/>
          <w:szCs w:val="28"/>
        </w:rPr>
        <w:t>天）；芸苔素制剂3万吨/年。</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具体产品方案如表2</w:t>
      </w:r>
      <w:r>
        <w:rPr>
          <w:rFonts w:ascii="宋体" w:hAnsi="宋体"/>
          <w:color w:val="auto"/>
          <w:sz w:val="28"/>
          <w:szCs w:val="28"/>
        </w:rPr>
        <w:t>.2-1</w:t>
      </w:r>
      <w:r>
        <w:rPr>
          <w:rFonts w:hint="eastAsia" w:ascii="宋体" w:hAnsi="宋体"/>
          <w:color w:val="auto"/>
          <w:sz w:val="28"/>
          <w:szCs w:val="28"/>
        </w:rPr>
        <w:t>。</w:t>
      </w:r>
    </w:p>
    <w:p>
      <w:pPr>
        <w:spacing w:line="600" w:lineRule="atLeast"/>
        <w:jc w:val="center"/>
        <w:rPr>
          <w:rFonts w:ascii="宋体" w:hAnsi="宋体"/>
          <w:color w:val="auto"/>
          <w:spacing w:val="-8"/>
          <w:sz w:val="24"/>
        </w:rPr>
      </w:pPr>
      <w:r>
        <w:rPr>
          <w:rFonts w:hint="eastAsia" w:ascii="宋体" w:hAnsi="宋体"/>
          <w:color w:val="auto"/>
          <w:spacing w:val="-8"/>
          <w:sz w:val="24"/>
        </w:rPr>
        <w:t>表2</w:t>
      </w:r>
      <w:r>
        <w:rPr>
          <w:rFonts w:ascii="宋体" w:hAnsi="宋体"/>
          <w:color w:val="auto"/>
          <w:spacing w:val="-8"/>
          <w:sz w:val="24"/>
        </w:rPr>
        <w:t>.2</w:t>
      </w:r>
      <w:r>
        <w:rPr>
          <w:rFonts w:hint="eastAsia" w:ascii="宋体" w:hAnsi="宋体"/>
          <w:color w:val="auto"/>
          <w:spacing w:val="-8"/>
          <w:sz w:val="24"/>
        </w:rPr>
        <w:t>-</w:t>
      </w:r>
      <w:r>
        <w:rPr>
          <w:rFonts w:ascii="宋体" w:hAnsi="宋体"/>
          <w:color w:val="auto"/>
          <w:spacing w:val="-8"/>
          <w:sz w:val="24"/>
        </w:rPr>
        <w:t>1</w:t>
      </w:r>
      <w:r>
        <w:rPr>
          <w:rFonts w:hint="eastAsia" w:ascii="宋体" w:hAnsi="宋体"/>
          <w:color w:val="auto"/>
          <w:spacing w:val="-8"/>
          <w:sz w:val="24"/>
        </w:rPr>
        <w:t xml:space="preserve">  本项目产品方案表</w:t>
      </w:r>
    </w:p>
    <w:tbl>
      <w:tblPr>
        <w:tblStyle w:val="31"/>
        <w:tblW w:w="923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8"/>
        <w:gridCol w:w="727"/>
        <w:gridCol w:w="2877"/>
        <w:gridCol w:w="695"/>
        <w:gridCol w:w="743"/>
        <w:gridCol w:w="3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序号</w:t>
            </w:r>
          </w:p>
        </w:tc>
        <w:tc>
          <w:tcPr>
            <w:tcW w:w="3604" w:type="dxa"/>
            <w:gridSpan w:val="2"/>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名称</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单位</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数据</w:t>
            </w:r>
          </w:p>
        </w:tc>
        <w:tc>
          <w:tcPr>
            <w:tcW w:w="3538"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restart"/>
            <w:tcBorders>
              <w:top w:val="single" w:color="000000" w:sz="4" w:space="0"/>
              <w:left w:val="single" w:color="000000" w:sz="4" w:space="0"/>
              <w:right w:val="single" w:color="000000" w:sz="4" w:space="0"/>
            </w:tcBorders>
            <w:vAlign w:val="center"/>
          </w:tcPr>
          <w:p>
            <w:pPr>
              <w:autoSpaceDE w:val="0"/>
              <w:autoSpaceDN w:val="0"/>
              <w:adjustRightInd w:val="0"/>
              <w:jc w:val="center"/>
              <w:rPr>
                <w:rFonts w:ascii="宋体" w:hAnsi="宋体"/>
                <w:color w:val="auto"/>
                <w:kern w:val="0"/>
              </w:rPr>
            </w:pPr>
            <w:r>
              <w:rPr>
                <w:rFonts w:hint="eastAsia" w:ascii="宋体" w:hAnsi="宋体"/>
                <w:color w:val="auto"/>
                <w:kern w:val="0"/>
              </w:rPr>
              <w:t>原药</w:t>
            </w: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2</w:t>
            </w:r>
            <w:r>
              <w:rPr>
                <w:rFonts w:ascii="宋体" w:hAnsi="宋体"/>
                <w:color w:val="auto"/>
                <w:kern w:val="0"/>
              </w:rPr>
              <w:t>4-</w:t>
            </w:r>
            <w:r>
              <w:rPr>
                <w:rFonts w:hint="eastAsia" w:ascii="宋体" w:hAnsi="宋体"/>
                <w:color w:val="auto"/>
                <w:kern w:val="0"/>
              </w:rPr>
              <w:t>表芸苔素内酯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1</w:t>
            </w:r>
            <w:r>
              <w:rPr>
                <w:rFonts w:ascii="宋体" w:hAnsi="宋体"/>
                <w:color w:val="auto"/>
                <w:kern w:val="0"/>
              </w:rPr>
              <w:t>.887</w:t>
            </w:r>
            <w:r>
              <w:rPr>
                <w:rFonts w:hint="eastAsia" w:ascii="宋体" w:hAnsi="宋体"/>
                <w:color w:val="auto"/>
                <w:kern w:val="0"/>
              </w:rPr>
              <w:t>t外售，0</w:t>
            </w:r>
            <w:r>
              <w:rPr>
                <w:rFonts w:ascii="宋体" w:hAnsi="宋体"/>
                <w:color w:val="auto"/>
                <w:kern w:val="0"/>
              </w:rPr>
              <w:t>.113</w:t>
            </w:r>
            <w:r>
              <w:rPr>
                <w:rFonts w:hint="eastAsia" w:ascii="宋体" w:hAnsi="宋体"/>
                <w:color w:val="auto"/>
                <w:kern w:val="0"/>
              </w:rPr>
              <w:t>t用于生产制剂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1</w:t>
            </w:r>
          </w:p>
        </w:tc>
        <w:tc>
          <w:tcPr>
            <w:tcW w:w="3538" w:type="dxa"/>
            <w:tcBorders>
              <w:top w:val="single" w:color="000000" w:sz="4" w:space="0"/>
              <w:left w:val="single" w:color="000000" w:sz="4" w:space="0"/>
              <w:bottom w:val="single" w:color="000000" w:sz="4" w:space="0"/>
              <w:right w:val="single" w:color="000000" w:sz="4" w:space="0"/>
            </w:tcBorders>
          </w:tcPr>
          <w:p>
            <w:pPr>
              <w:rPr>
                <w:rFonts w:ascii="Calibri" w:hAnsi="Calibri"/>
                <w:color w:val="auto"/>
              </w:rPr>
            </w:pPr>
            <w:r>
              <w:rPr>
                <w:rFonts w:hint="eastAsia" w:ascii="宋体" w:hAnsi="宋体"/>
                <w:color w:val="auto"/>
                <w:kern w:val="0"/>
              </w:rPr>
              <w:t>0</w:t>
            </w:r>
            <w:r>
              <w:rPr>
                <w:rFonts w:ascii="宋体" w:hAnsi="宋体"/>
                <w:color w:val="auto"/>
                <w:kern w:val="0"/>
              </w:rPr>
              <w:t>.889</w:t>
            </w:r>
            <w:r>
              <w:rPr>
                <w:rFonts w:hint="eastAsia" w:ascii="宋体" w:hAnsi="宋体"/>
                <w:color w:val="auto"/>
                <w:kern w:val="0"/>
              </w:rPr>
              <w:t>t外售，0</w:t>
            </w:r>
            <w:r>
              <w:rPr>
                <w:rFonts w:ascii="宋体" w:hAnsi="宋体"/>
                <w:color w:val="auto"/>
                <w:kern w:val="0"/>
              </w:rPr>
              <w:t>.111</w:t>
            </w:r>
            <w:r>
              <w:rPr>
                <w:rFonts w:hint="eastAsia" w:ascii="宋体" w:hAnsi="宋体"/>
                <w:color w:val="auto"/>
                <w:kern w:val="0"/>
              </w:rPr>
              <w:t>t用于生产制剂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丙酰芸苔素内酯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p>
        </w:tc>
        <w:tc>
          <w:tcPr>
            <w:tcW w:w="3538" w:type="dxa"/>
            <w:tcBorders>
              <w:top w:val="single" w:color="000000" w:sz="4" w:space="0"/>
              <w:left w:val="single" w:color="000000" w:sz="4" w:space="0"/>
              <w:bottom w:val="single" w:color="000000" w:sz="4" w:space="0"/>
              <w:right w:val="single" w:color="000000" w:sz="4" w:space="0"/>
            </w:tcBorders>
          </w:tcPr>
          <w:p>
            <w:pPr>
              <w:rPr>
                <w:rFonts w:ascii="Calibri" w:hAnsi="Calibri"/>
                <w:color w:val="auto"/>
              </w:rPr>
            </w:pPr>
            <w:r>
              <w:rPr>
                <w:rFonts w:hint="eastAsia" w:ascii="宋体" w:hAnsi="宋体"/>
                <w:color w:val="auto"/>
                <w:kern w:val="0"/>
              </w:rPr>
              <w:t>1</w:t>
            </w:r>
            <w:r>
              <w:rPr>
                <w:rFonts w:ascii="宋体" w:hAnsi="宋体"/>
                <w:color w:val="auto"/>
                <w:kern w:val="0"/>
              </w:rPr>
              <w:t>.924</w:t>
            </w:r>
            <w:r>
              <w:rPr>
                <w:rFonts w:hint="eastAsia" w:ascii="宋体" w:hAnsi="宋体"/>
                <w:color w:val="auto"/>
                <w:kern w:val="0"/>
              </w:rPr>
              <w:t>t外售，0</w:t>
            </w:r>
            <w:r>
              <w:rPr>
                <w:rFonts w:ascii="宋体" w:hAnsi="宋体"/>
                <w:color w:val="auto"/>
                <w:kern w:val="0"/>
              </w:rPr>
              <w:t>.076</w:t>
            </w:r>
            <w:r>
              <w:rPr>
                <w:rFonts w:hint="eastAsia" w:ascii="宋体" w:hAnsi="宋体"/>
                <w:color w:val="auto"/>
                <w:kern w:val="0"/>
              </w:rPr>
              <w:t>t用于生产制剂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restart"/>
            <w:tcBorders>
              <w:top w:val="single" w:color="000000" w:sz="4" w:space="0"/>
              <w:left w:val="single" w:color="000000" w:sz="4" w:space="0"/>
              <w:right w:val="single" w:color="000000" w:sz="4" w:space="0"/>
            </w:tcBorders>
            <w:vAlign w:val="center"/>
          </w:tcPr>
          <w:p>
            <w:pPr>
              <w:autoSpaceDE w:val="0"/>
              <w:autoSpaceDN w:val="0"/>
              <w:adjustRightInd w:val="0"/>
              <w:jc w:val="center"/>
              <w:rPr>
                <w:rFonts w:ascii="宋体" w:hAnsi="宋体"/>
                <w:color w:val="auto"/>
                <w:kern w:val="0"/>
              </w:rPr>
            </w:pPr>
            <w:r>
              <w:rPr>
                <w:rFonts w:hint="eastAsia" w:ascii="宋体" w:hAnsi="宋体"/>
                <w:color w:val="auto"/>
                <w:kern w:val="0"/>
              </w:rPr>
              <w:t>制剂</w:t>
            </w: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0.01%24-</w:t>
            </w:r>
            <w:r>
              <w:rPr>
                <w:rFonts w:hint="eastAsia" w:ascii="宋体" w:hAnsi="宋体"/>
                <w:color w:val="auto"/>
                <w:kern w:val="0"/>
              </w:rPr>
              <w:t>表芸苔素内酯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1</w:t>
            </w:r>
            <w:r>
              <w:rPr>
                <w:rFonts w:ascii="TimesNewRomanPSMT" w:hAnsi="TimesNewRomanPSMT"/>
                <w:color w:val="auto"/>
                <w:kern w:val="0"/>
              </w:rPr>
              <w:t>000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0</w:t>
            </w:r>
            <w:r>
              <w:rPr>
                <w:rFonts w:ascii="宋体" w:hAnsi="宋体"/>
                <w:color w:val="auto"/>
                <w:kern w:val="0"/>
              </w:rPr>
              <w:t>.003%</w:t>
            </w:r>
            <w:r>
              <w:rPr>
                <w:rFonts w:hint="eastAsia" w:ascii="宋体" w:hAnsi="宋体"/>
                <w:color w:val="auto"/>
                <w:kern w:val="0"/>
              </w:rPr>
              <w:t>丙酰芸苔素内酯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1</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0.01%28-</w:t>
            </w:r>
            <w:r>
              <w:rPr>
                <w:rFonts w:hint="eastAsia" w:ascii="宋体" w:hAnsi="宋体"/>
                <w:color w:val="auto"/>
                <w:kern w:val="0"/>
              </w:rPr>
              <w:t>高*丙酰芸苔素内酯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0</w:t>
            </w:r>
            <w:r>
              <w:rPr>
                <w:rFonts w:ascii="宋体" w:hAnsi="宋体"/>
                <w:color w:val="auto"/>
                <w:kern w:val="0"/>
              </w:rPr>
              <w:t>.1%</w:t>
            </w:r>
            <w:r>
              <w:rPr>
                <w:rFonts w:hint="eastAsia" w:ascii="宋体" w:hAnsi="宋体"/>
                <w:color w:val="auto"/>
                <w:kern w:val="0"/>
              </w:rPr>
              <w:t>丙酰芸*S</w:t>
            </w:r>
            <w:r>
              <w:rPr>
                <w:rFonts w:ascii="宋体" w:hAnsi="宋体"/>
                <w:color w:val="auto"/>
                <w:kern w:val="0"/>
              </w:rPr>
              <w:t>-</w:t>
            </w:r>
            <w:r>
              <w:rPr>
                <w:rFonts w:hint="eastAsia" w:ascii="宋体" w:hAnsi="宋体"/>
                <w:color w:val="auto"/>
                <w:kern w:val="0"/>
              </w:rPr>
              <w:t>诱抗素</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4.5%</w:t>
            </w: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高芸*赤霉酸</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5%</w:t>
            </w: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高芸*烯效唑</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2%</w:t>
            </w: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高芸*苄氨基嘌呤</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0</w:t>
            </w:r>
            <w:r>
              <w:rPr>
                <w:rFonts w:ascii="宋体" w:hAnsi="宋体"/>
                <w:color w:val="auto"/>
                <w:kern w:val="0"/>
              </w:rPr>
              <w:t>.1%</w:t>
            </w:r>
            <w:r>
              <w:rPr>
                <w:rFonts w:hint="eastAsia" w:ascii="宋体" w:hAnsi="宋体"/>
                <w:color w:val="auto"/>
                <w:kern w:val="0"/>
              </w:rPr>
              <w:t>丙酰芸*三十烷醇</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0.5%</w:t>
            </w: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高芸*氯吡脲</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0.16%</w:t>
            </w:r>
            <w:r>
              <w:rPr>
                <w:rFonts w:hint="eastAsia" w:ascii="宋体" w:hAnsi="宋体"/>
                <w:color w:val="auto"/>
                <w:kern w:val="0"/>
              </w:rPr>
              <w:t>2</w:t>
            </w:r>
            <w:r>
              <w:rPr>
                <w:rFonts w:ascii="宋体" w:hAnsi="宋体"/>
                <w:color w:val="auto"/>
                <w:kern w:val="0"/>
              </w:rPr>
              <w:t>8-</w:t>
            </w:r>
            <w:r>
              <w:rPr>
                <w:rFonts w:hint="eastAsia" w:ascii="宋体" w:hAnsi="宋体"/>
                <w:color w:val="auto"/>
                <w:kern w:val="0"/>
              </w:rPr>
              <w:t>高芸*噻苯隆</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0</w:t>
            </w:r>
            <w:r>
              <w:rPr>
                <w:rFonts w:ascii="宋体" w:hAnsi="宋体"/>
                <w:color w:val="auto"/>
                <w:kern w:val="0"/>
              </w:rPr>
              <w:t>.1%</w:t>
            </w:r>
            <w:r>
              <w:rPr>
                <w:rFonts w:hint="eastAsia" w:ascii="宋体" w:hAnsi="宋体"/>
                <w:color w:val="auto"/>
                <w:kern w:val="0"/>
              </w:rPr>
              <w:t>丙酰芸*氨基寡糖素</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1</w:t>
            </w:r>
            <w:r>
              <w:rPr>
                <w:rFonts w:ascii="TimesNewRomanPSMT" w:hAnsi="TimesNewRomanPSMT"/>
                <w:color w:val="auto"/>
                <w:kern w:val="0"/>
              </w:rPr>
              <w:t>0000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颗粒剂，全部外售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0</w:t>
            </w:r>
            <w:r>
              <w:rPr>
                <w:rFonts w:ascii="宋体" w:hAnsi="宋体"/>
                <w:color w:val="auto"/>
                <w:kern w:val="0"/>
              </w:rPr>
              <w:t>.1%</w:t>
            </w:r>
            <w:r>
              <w:rPr>
                <w:rFonts w:hint="eastAsia" w:ascii="宋体" w:hAnsi="宋体"/>
                <w:color w:val="auto"/>
                <w:kern w:val="0"/>
              </w:rPr>
              <w:t>丙酰芸*吲哚丁酸</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颗粒剂，全部外售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2</w:t>
            </w:r>
            <w:r>
              <w:rPr>
                <w:rFonts w:ascii="宋体" w:hAnsi="宋体"/>
                <w:color w:val="auto"/>
                <w:kern w:val="0"/>
              </w:rPr>
              <w:t>%</w:t>
            </w:r>
            <w:r>
              <w:rPr>
                <w:rFonts w:hint="eastAsia" w:ascii="宋体" w:hAnsi="宋体"/>
                <w:color w:val="auto"/>
                <w:kern w:val="0"/>
              </w:rPr>
              <w:t>丙酰芸*赤霉酸A</w:t>
            </w:r>
            <w:r>
              <w:rPr>
                <w:rFonts w:ascii="宋体" w:hAnsi="宋体"/>
                <w:color w:val="auto"/>
                <w:kern w:val="0"/>
              </w:rPr>
              <w:t>4</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hint="eastAsia" w:ascii="宋体" w:hAnsi="宋体"/>
                <w:color w:val="auto"/>
                <w:kern w:val="0"/>
              </w:rPr>
              <w:t>5</w:t>
            </w:r>
            <w:r>
              <w:rPr>
                <w:rFonts w:ascii="宋体" w:hAnsi="宋体"/>
                <w:color w:val="auto"/>
                <w:kern w:val="0"/>
              </w:rPr>
              <w:t>0%</w:t>
            </w:r>
            <w:r>
              <w:rPr>
                <w:rFonts w:hint="eastAsia" w:ascii="宋体" w:hAnsi="宋体"/>
                <w:color w:val="auto"/>
                <w:kern w:val="0"/>
              </w:rPr>
              <w:t>丙酰芸*氯化胆碱</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2</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0.006%</w:t>
            </w:r>
            <w:r>
              <w:rPr>
                <w:rFonts w:hint="eastAsia" w:ascii="宋体" w:hAnsi="宋体"/>
                <w:color w:val="auto"/>
                <w:kern w:val="0"/>
              </w:rPr>
              <w:t>S</w:t>
            </w:r>
            <w:r>
              <w:rPr>
                <w:rFonts w:ascii="宋体" w:hAnsi="宋体"/>
                <w:color w:val="auto"/>
                <w:kern w:val="0"/>
              </w:rPr>
              <w:t>-</w:t>
            </w:r>
            <w:r>
              <w:rPr>
                <w:rFonts w:hint="eastAsia" w:ascii="宋体" w:hAnsi="宋体"/>
                <w:color w:val="auto"/>
                <w:kern w:val="0"/>
              </w:rPr>
              <w:t>诱抗素</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1%</w:t>
            </w:r>
            <w:r>
              <w:rPr>
                <w:rFonts w:hint="eastAsia" w:ascii="宋体" w:hAnsi="宋体"/>
                <w:color w:val="auto"/>
                <w:kern w:val="0"/>
              </w:rPr>
              <w:t>2</w:t>
            </w:r>
            <w:r>
              <w:rPr>
                <w:rFonts w:ascii="宋体" w:hAnsi="宋体"/>
                <w:color w:val="auto"/>
                <w:kern w:val="0"/>
              </w:rPr>
              <w:t>4-</w:t>
            </w:r>
            <w:r>
              <w:rPr>
                <w:rFonts w:hint="eastAsia" w:ascii="宋体" w:hAnsi="宋体"/>
                <w:color w:val="auto"/>
                <w:kern w:val="0"/>
              </w:rPr>
              <w:t>表芸*氨基寡糖素</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5</w:t>
            </w:r>
            <w:r>
              <w:rPr>
                <w:rFonts w:ascii="TimesNewRomanPSMT" w:hAnsi="TimesNewRomanPSMT"/>
                <w:color w:val="auto"/>
                <w:kern w:val="0"/>
              </w:rPr>
              <w:t>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液体剂，全部外售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658" w:type="dxa"/>
            <w:tcBorders>
              <w:top w:val="single" w:color="000000" w:sz="4" w:space="0"/>
              <w:left w:val="single" w:color="000000" w:sz="4" w:space="0"/>
              <w:bottom w:val="single" w:color="000000" w:sz="4" w:space="0"/>
              <w:right w:val="single" w:color="000000" w:sz="4" w:space="0"/>
            </w:tcBorders>
          </w:tcPr>
          <w:p>
            <w:pPr>
              <w:pStyle w:val="57"/>
              <w:numPr>
                <w:ilvl w:val="0"/>
                <w:numId w:val="1"/>
              </w:numPr>
              <w:autoSpaceDE w:val="0"/>
              <w:autoSpaceDN w:val="0"/>
              <w:adjustRightInd w:val="0"/>
              <w:ind w:firstLineChars="0"/>
              <w:jc w:val="left"/>
              <w:rPr>
                <w:rFonts w:hint="eastAsia" w:ascii="TimesNewRomanPSMT" w:hAnsi="TimesNewRomanPSMT"/>
                <w:color w:val="auto"/>
                <w:kern w:val="0"/>
              </w:rPr>
            </w:pPr>
          </w:p>
        </w:tc>
        <w:tc>
          <w:tcPr>
            <w:tcW w:w="727" w:type="dxa"/>
            <w:vMerge w:val="continue"/>
            <w:tcBorders>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p>
        </w:tc>
        <w:tc>
          <w:tcPr>
            <w:tcW w:w="2877"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ascii="宋体" w:hAnsi="宋体"/>
                <w:color w:val="auto"/>
                <w:kern w:val="0"/>
              </w:rPr>
            </w:pPr>
            <w:r>
              <w:rPr>
                <w:rFonts w:ascii="宋体" w:hAnsi="宋体"/>
                <w:color w:val="auto"/>
                <w:kern w:val="0"/>
              </w:rPr>
              <w:t>0.1%</w:t>
            </w:r>
            <w:r>
              <w:rPr>
                <w:rFonts w:hint="eastAsia" w:ascii="宋体" w:hAnsi="宋体"/>
                <w:color w:val="auto"/>
                <w:kern w:val="0"/>
              </w:rPr>
              <w:t>2</w:t>
            </w:r>
            <w:r>
              <w:rPr>
                <w:rFonts w:ascii="宋体" w:hAnsi="宋体"/>
                <w:color w:val="auto"/>
                <w:kern w:val="0"/>
              </w:rPr>
              <w:t>4-</w:t>
            </w:r>
            <w:r>
              <w:rPr>
                <w:rFonts w:hint="eastAsia" w:ascii="宋体" w:hAnsi="宋体"/>
                <w:color w:val="auto"/>
                <w:kern w:val="0"/>
              </w:rPr>
              <w:t>表芸*胺鲜酯</w:t>
            </w:r>
          </w:p>
        </w:tc>
        <w:tc>
          <w:tcPr>
            <w:tcW w:w="69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t</w:t>
            </w:r>
            <w:r>
              <w:rPr>
                <w:rFonts w:ascii="TimesNewRomanPSMT" w:hAnsi="TimesNewRomanPSMT"/>
                <w:color w:val="auto"/>
                <w:kern w:val="0"/>
              </w:rPr>
              <w:t>/</w:t>
            </w:r>
            <w:r>
              <w:rPr>
                <w:rFonts w:hint="eastAsia" w:ascii="TimesNewRomanPSMT" w:hAnsi="TimesNewRomanPSMT"/>
                <w:color w:val="auto"/>
                <w:kern w:val="0"/>
              </w:rPr>
              <w:t>a</w:t>
            </w:r>
          </w:p>
        </w:tc>
        <w:tc>
          <w:tcPr>
            <w:tcW w:w="743"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jc w:val="left"/>
              <w:rPr>
                <w:rFonts w:hint="eastAsia" w:ascii="TimesNewRomanPSMT" w:hAnsi="TimesNewRomanPSMT"/>
                <w:color w:val="auto"/>
                <w:kern w:val="0"/>
              </w:rPr>
            </w:pPr>
            <w:r>
              <w:rPr>
                <w:rFonts w:hint="eastAsia" w:ascii="TimesNewRomanPSMT" w:hAnsi="TimesNewRomanPSMT"/>
                <w:color w:val="auto"/>
                <w:kern w:val="0"/>
              </w:rPr>
              <w:t>1</w:t>
            </w:r>
            <w:r>
              <w:rPr>
                <w:rFonts w:ascii="TimesNewRomanPSMT" w:hAnsi="TimesNewRomanPSMT"/>
                <w:color w:val="auto"/>
                <w:kern w:val="0"/>
              </w:rPr>
              <w:t>0000</w:t>
            </w:r>
          </w:p>
        </w:tc>
        <w:tc>
          <w:tcPr>
            <w:tcW w:w="3538" w:type="dxa"/>
            <w:tcBorders>
              <w:top w:val="single" w:color="000000" w:sz="4" w:space="0"/>
              <w:left w:val="single" w:color="000000" w:sz="4" w:space="0"/>
              <w:bottom w:val="single" w:color="000000" w:sz="4" w:space="0"/>
              <w:right w:val="single" w:color="000000" w:sz="4" w:space="0"/>
            </w:tcBorders>
          </w:tcPr>
          <w:p>
            <w:pPr>
              <w:rPr>
                <w:rFonts w:ascii="宋体" w:hAnsi="宋体"/>
                <w:color w:val="auto"/>
                <w:kern w:val="0"/>
              </w:rPr>
            </w:pPr>
            <w:r>
              <w:rPr>
                <w:rFonts w:hint="eastAsia" w:ascii="宋体" w:hAnsi="宋体"/>
                <w:color w:val="auto"/>
                <w:kern w:val="0"/>
              </w:rPr>
              <w:t>颗粒剂，全部外售</w:t>
            </w:r>
          </w:p>
        </w:tc>
      </w:tr>
    </w:tbl>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江西鑫立莱生化有限责任公司拟新建年产芸苔素内酯原药5千kg、制剂3万吨项目，项目选址位于吉安市新干县盐化工业城内，为新建项目。</w:t>
      </w:r>
    </w:p>
    <w:p>
      <w:pPr>
        <w:tabs>
          <w:tab w:val="left" w:pos="3601"/>
          <w:tab w:val="left" w:pos="7665"/>
        </w:tabs>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该项目建设内容：</w:t>
      </w:r>
    </w:p>
    <w:p>
      <w:pPr>
        <w:tabs>
          <w:tab w:val="left" w:pos="3601"/>
          <w:tab w:val="left" w:pos="7665"/>
        </w:tabs>
        <w:autoSpaceDE w:val="0"/>
        <w:autoSpaceDN w:val="0"/>
        <w:adjustRightInd w:val="0"/>
        <w:snapToGrid w:val="0"/>
        <w:spacing w:line="600" w:lineRule="exact"/>
        <w:jc w:val="center"/>
        <w:rPr>
          <w:rFonts w:ascii="宋体" w:hAnsi="宋体"/>
          <w:color w:val="auto"/>
          <w:sz w:val="24"/>
        </w:rPr>
      </w:pPr>
      <w:r>
        <w:rPr>
          <w:rFonts w:hint="eastAsia" w:ascii="宋体" w:hAnsi="宋体"/>
          <w:color w:val="auto"/>
          <w:sz w:val="24"/>
        </w:rPr>
        <w:t>表2</w:t>
      </w:r>
      <w:r>
        <w:rPr>
          <w:rFonts w:ascii="宋体" w:hAnsi="宋体"/>
          <w:color w:val="auto"/>
          <w:sz w:val="24"/>
        </w:rPr>
        <w:t>.2</w:t>
      </w:r>
      <w:r>
        <w:rPr>
          <w:rFonts w:hint="eastAsia" w:ascii="宋体" w:hAnsi="宋体"/>
          <w:color w:val="auto"/>
          <w:sz w:val="24"/>
        </w:rPr>
        <w:t>-</w:t>
      </w:r>
      <w:r>
        <w:rPr>
          <w:rFonts w:ascii="宋体" w:hAnsi="宋体"/>
          <w:color w:val="auto"/>
          <w:sz w:val="24"/>
        </w:rPr>
        <w:t>2</w:t>
      </w:r>
      <w:r>
        <w:rPr>
          <w:rFonts w:hint="eastAsia" w:ascii="宋体" w:hAnsi="宋体"/>
          <w:color w:val="auto"/>
          <w:sz w:val="24"/>
        </w:rPr>
        <w:t xml:space="preserve"> 项目主要建设内容一览表</w:t>
      </w:r>
    </w:p>
    <w:tbl>
      <w:tblPr>
        <w:tblStyle w:val="31"/>
        <w:tblW w:w="91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660"/>
        <w:gridCol w:w="1800"/>
        <w:gridCol w:w="4616"/>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1149" w:type="dxa"/>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类别</w:t>
            </w: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建设物名称</w:t>
            </w:r>
          </w:p>
        </w:tc>
        <w:tc>
          <w:tcPr>
            <w:tcW w:w="4616" w:type="dxa"/>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装置名称</w:t>
            </w:r>
          </w:p>
        </w:tc>
        <w:tc>
          <w:tcPr>
            <w:tcW w:w="919" w:type="dxa"/>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restart"/>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主体工程</w:t>
            </w:r>
          </w:p>
        </w:tc>
        <w:tc>
          <w:tcPr>
            <w:tcW w:w="660" w:type="dxa"/>
            <w:vMerge w:val="restart"/>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生产区域</w:t>
            </w: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1</w:t>
            </w:r>
            <w:r>
              <w:rPr>
                <w:rFonts w:ascii="宋体" w:hAnsi="宋体"/>
                <w:color w:val="auto"/>
              </w:rPr>
              <w:t>01</w:t>
            </w:r>
            <w:r>
              <w:rPr>
                <w:rFonts w:hint="eastAsia" w:ascii="宋体" w:hAnsi="宋体"/>
                <w:color w:val="auto"/>
              </w:rPr>
              <w:t>甲类车间一</w:t>
            </w:r>
          </w:p>
        </w:tc>
        <w:tc>
          <w:tcPr>
            <w:tcW w:w="4616" w:type="dxa"/>
            <w:vAlign w:val="center"/>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建设一条5千kg</w:t>
            </w:r>
            <w:r>
              <w:rPr>
                <w:rFonts w:ascii="宋体" w:hAnsi="宋体"/>
                <w:color w:val="auto"/>
              </w:rPr>
              <w:t>/</w:t>
            </w:r>
            <w:r>
              <w:rPr>
                <w:rFonts w:hint="eastAsia" w:ascii="宋体" w:hAnsi="宋体"/>
                <w:color w:val="auto"/>
              </w:rPr>
              <w:t>年原药生产线，生产2</w:t>
            </w:r>
            <w:r>
              <w:rPr>
                <w:rFonts w:ascii="宋体" w:hAnsi="宋体"/>
                <w:color w:val="auto"/>
              </w:rPr>
              <w:t>4</w:t>
            </w:r>
            <w:r>
              <w:rPr>
                <w:rFonts w:hint="eastAsia" w:ascii="宋体" w:hAnsi="宋体"/>
                <w:color w:val="auto"/>
              </w:rPr>
              <w:t>表、2</w:t>
            </w:r>
            <w:r>
              <w:rPr>
                <w:rFonts w:ascii="宋体" w:hAnsi="宋体"/>
                <w:color w:val="auto"/>
              </w:rPr>
              <w:t>8</w:t>
            </w:r>
            <w:r>
              <w:rPr>
                <w:rFonts w:hint="eastAsia" w:ascii="宋体" w:hAnsi="宋体"/>
                <w:color w:val="auto"/>
              </w:rPr>
              <w:t>高、丙酰芸苔素内酯原药，三个产品共用一套设备</w:t>
            </w:r>
          </w:p>
        </w:tc>
        <w:tc>
          <w:tcPr>
            <w:tcW w:w="919" w:type="dxa"/>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1</w:t>
            </w:r>
            <w:r>
              <w:rPr>
                <w:rFonts w:ascii="宋体" w:hAnsi="宋体"/>
                <w:color w:val="auto"/>
              </w:rPr>
              <w:t>02</w:t>
            </w:r>
            <w:r>
              <w:rPr>
                <w:rFonts w:hint="eastAsia" w:ascii="宋体" w:hAnsi="宋体"/>
                <w:color w:val="auto"/>
              </w:rPr>
              <w:t>甲类车间二</w:t>
            </w:r>
          </w:p>
        </w:tc>
        <w:tc>
          <w:tcPr>
            <w:tcW w:w="4616" w:type="dxa"/>
            <w:vAlign w:val="center"/>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预留车间</w:t>
            </w:r>
          </w:p>
        </w:tc>
        <w:tc>
          <w:tcPr>
            <w:tcW w:w="919" w:type="dxa"/>
          </w:tcPr>
          <w:p>
            <w:pPr>
              <w:tabs>
                <w:tab w:val="left" w:pos="3601"/>
                <w:tab w:val="left" w:pos="7665"/>
              </w:tabs>
              <w:autoSpaceDE w:val="0"/>
              <w:autoSpaceDN w:val="0"/>
              <w:adjustRightInd w:val="0"/>
              <w:snapToGrid w:val="0"/>
              <w:spacing w:line="256" w:lineRule="exact"/>
              <w:jc w:val="left"/>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1</w:t>
            </w:r>
            <w:r>
              <w:rPr>
                <w:rFonts w:ascii="宋体" w:hAnsi="宋体"/>
                <w:color w:val="auto"/>
              </w:rPr>
              <w:t>03</w:t>
            </w:r>
            <w:r>
              <w:rPr>
                <w:rFonts w:hint="eastAsia" w:ascii="宋体" w:hAnsi="宋体"/>
                <w:color w:val="auto"/>
              </w:rPr>
              <w:t>液体制剂车间</w:t>
            </w:r>
          </w:p>
        </w:tc>
        <w:tc>
          <w:tcPr>
            <w:tcW w:w="4616" w:type="dxa"/>
            <w:vAlign w:val="center"/>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建设由芸苔素内酯原药配置的农药制剂（液体剂）生产线一条</w:t>
            </w:r>
          </w:p>
        </w:tc>
        <w:tc>
          <w:tcPr>
            <w:tcW w:w="919" w:type="dxa"/>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1</w:t>
            </w:r>
            <w:r>
              <w:rPr>
                <w:rFonts w:ascii="宋体" w:hAnsi="宋体"/>
                <w:color w:val="auto"/>
              </w:rPr>
              <w:t>04</w:t>
            </w:r>
            <w:r>
              <w:rPr>
                <w:rFonts w:hint="eastAsia" w:ascii="宋体" w:hAnsi="宋体"/>
                <w:color w:val="auto"/>
              </w:rPr>
              <w:t>颗粒剂车间</w:t>
            </w:r>
          </w:p>
        </w:tc>
        <w:tc>
          <w:tcPr>
            <w:tcW w:w="4616" w:type="dxa"/>
            <w:vAlign w:val="center"/>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建设由芸苔素内酯原药配置的农药制剂（固体粉剂）生产线一条</w:t>
            </w:r>
          </w:p>
        </w:tc>
        <w:tc>
          <w:tcPr>
            <w:tcW w:w="919" w:type="dxa"/>
          </w:tcPr>
          <w:p>
            <w:pPr>
              <w:tabs>
                <w:tab w:val="left" w:pos="3601"/>
                <w:tab w:val="left" w:pos="7665"/>
              </w:tabs>
              <w:autoSpaceDE w:val="0"/>
              <w:autoSpaceDN w:val="0"/>
              <w:adjustRightInd w:val="0"/>
              <w:snapToGrid w:val="0"/>
              <w:spacing w:line="256" w:lineRule="exact"/>
              <w:jc w:val="lef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restart"/>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仓储</w:t>
            </w:r>
          </w:p>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单位</w:t>
            </w: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highlight w:val="yellow"/>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4616" w:type="dxa"/>
            <w:vAlign w:val="center"/>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用于存储麦角甾醇、四氢呋喃、三乙胺、丙酮、碳酸氢钾、甲苯、次氯酸钠、四甲基哌啶氧化物、液氮、乙酸乙酯、液氨、氯化铵、溴化钠、对甲苯磺酸、叔丁醇、铁氰化钾、碳酸钾、甲基磺酰胺、锇酸钾、奎尼丁、三氟乙酸酐、石油醚、硫酸、50%双氧水、豆甾醇、丁酮、氢溴酸、DMF、30%双氧水、二氯甲烷、甲醇、硅胶、亚硫酸氢钠、工业盐、N</w:t>
            </w:r>
            <w:r>
              <w:rPr>
                <w:rFonts w:ascii="宋体" w:hAnsi="宋体"/>
                <w:color w:val="auto"/>
              </w:rPr>
              <w:t>-</w:t>
            </w:r>
            <w:r>
              <w:rPr>
                <w:rFonts w:hint="eastAsia" w:ascii="宋体" w:hAnsi="宋体"/>
                <w:color w:val="auto"/>
              </w:rPr>
              <w:t>甲基氧化吗啉、亚硫酸钠、丙酸酐、间氯过氧苯甲酸、环己酮等原辅材料</w:t>
            </w:r>
          </w:p>
        </w:tc>
        <w:tc>
          <w:tcPr>
            <w:tcW w:w="919" w:type="dxa"/>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2</w:t>
            </w:r>
            <w:r>
              <w:rPr>
                <w:rFonts w:ascii="宋体" w:hAnsi="宋体"/>
                <w:color w:val="auto"/>
              </w:rPr>
              <w:t>02</w:t>
            </w:r>
            <w:r>
              <w:rPr>
                <w:rFonts w:hint="eastAsia" w:ascii="宋体" w:hAnsi="宋体"/>
                <w:color w:val="auto"/>
              </w:rPr>
              <w:t>甲类仓库二</w:t>
            </w:r>
          </w:p>
        </w:tc>
        <w:tc>
          <w:tcPr>
            <w:tcW w:w="4616" w:type="dxa"/>
            <w:vAlign w:val="center"/>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存储原材料无水乙醇、异丙醇、DMF、甲基磺酰氯等原辅材料</w:t>
            </w:r>
          </w:p>
        </w:tc>
        <w:tc>
          <w:tcPr>
            <w:tcW w:w="919" w:type="dxa"/>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2</w:t>
            </w:r>
            <w:r>
              <w:rPr>
                <w:rFonts w:ascii="宋体" w:hAnsi="宋体"/>
                <w:color w:val="auto"/>
              </w:rPr>
              <w:t>03</w:t>
            </w:r>
            <w:r>
              <w:rPr>
                <w:rFonts w:hint="eastAsia" w:ascii="宋体" w:hAnsi="宋体"/>
                <w:color w:val="auto"/>
              </w:rPr>
              <w:t>丙类仓库一</w:t>
            </w:r>
          </w:p>
        </w:tc>
        <w:tc>
          <w:tcPr>
            <w:tcW w:w="4616" w:type="dxa"/>
            <w:vAlign w:val="center"/>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存储2</w:t>
            </w:r>
            <w:r>
              <w:rPr>
                <w:rFonts w:ascii="宋体" w:hAnsi="宋体"/>
                <w:color w:val="auto"/>
              </w:rPr>
              <w:t>4-</w:t>
            </w:r>
            <w:r>
              <w:rPr>
                <w:rFonts w:hint="eastAsia" w:ascii="宋体" w:hAnsi="宋体"/>
                <w:color w:val="auto"/>
              </w:rPr>
              <w:t>表芸苔素内酯、2</w:t>
            </w:r>
            <w:r>
              <w:rPr>
                <w:rFonts w:ascii="宋体" w:hAnsi="宋体"/>
                <w:color w:val="auto"/>
              </w:rPr>
              <w:t>8-</w:t>
            </w:r>
            <w:r>
              <w:rPr>
                <w:rFonts w:hint="eastAsia" w:ascii="宋体" w:hAnsi="宋体"/>
                <w:color w:val="auto"/>
              </w:rPr>
              <w:t>高芸苔素内酯、丙酰芸苔素内酯、NP</w:t>
            </w:r>
            <w:r>
              <w:rPr>
                <w:rFonts w:ascii="宋体" w:hAnsi="宋体"/>
                <w:color w:val="auto"/>
              </w:rPr>
              <w:t>-10</w:t>
            </w:r>
            <w:r>
              <w:rPr>
                <w:rFonts w:hint="eastAsia" w:ascii="宋体" w:hAnsi="宋体"/>
                <w:color w:val="auto"/>
              </w:rPr>
              <w:t>、SC</w:t>
            </w:r>
            <w:r>
              <w:rPr>
                <w:rFonts w:ascii="宋体" w:hAnsi="宋体"/>
                <w:color w:val="auto"/>
              </w:rPr>
              <w:t>001</w:t>
            </w:r>
            <w:r>
              <w:rPr>
                <w:rFonts w:hint="eastAsia" w:ascii="宋体" w:hAnsi="宋体"/>
                <w:color w:val="auto"/>
              </w:rPr>
              <w:t>、S</w:t>
            </w:r>
            <w:r>
              <w:rPr>
                <w:rFonts w:ascii="宋体" w:hAnsi="宋体"/>
                <w:color w:val="auto"/>
              </w:rPr>
              <w:t>-</w:t>
            </w:r>
            <w:r>
              <w:rPr>
                <w:rFonts w:hint="eastAsia" w:ascii="宋体" w:hAnsi="宋体"/>
                <w:color w:val="auto"/>
              </w:rPr>
              <w:t>诱抗素、胺鲜酯、白炭黑、苯甲酸钠、碳酸氢钠、苄氨基嘌呤、赤霉素A</w:t>
            </w:r>
            <w:r>
              <w:rPr>
                <w:rFonts w:ascii="宋体" w:hAnsi="宋体"/>
                <w:color w:val="auto"/>
              </w:rPr>
              <w:t>4</w:t>
            </w:r>
            <w:r>
              <w:rPr>
                <w:rFonts w:hint="eastAsia" w:ascii="宋体" w:hAnsi="宋体"/>
                <w:color w:val="auto"/>
              </w:rPr>
              <w:t>、赤霉素A</w:t>
            </w:r>
            <w:r>
              <w:rPr>
                <w:rFonts w:ascii="宋体" w:hAnsi="宋体"/>
                <w:color w:val="auto"/>
              </w:rPr>
              <w:t>3</w:t>
            </w:r>
            <w:r>
              <w:rPr>
                <w:rFonts w:hint="eastAsia" w:ascii="宋体" w:hAnsi="宋体"/>
                <w:color w:val="auto"/>
              </w:rPr>
              <w:t>、黄原胶、朗钛LT</w:t>
            </w:r>
            <w:r>
              <w:rPr>
                <w:rFonts w:ascii="宋体" w:hAnsi="宋体"/>
                <w:color w:val="auto"/>
              </w:rPr>
              <w:t>-569</w:t>
            </w:r>
            <w:r>
              <w:rPr>
                <w:rFonts w:hint="eastAsia" w:ascii="宋体" w:hAnsi="宋体"/>
                <w:color w:val="auto"/>
              </w:rPr>
              <w:t>、氯吡脲、氯化胆碱、噻苯隆、三十烷醇、烯效唑、消泡剂、乙二醇、吲哚丁酸</w:t>
            </w:r>
            <w:r>
              <w:rPr>
                <w:rFonts w:hint="eastAsia" w:ascii="宋体" w:hAnsi="宋体"/>
                <w:color w:val="auto"/>
                <w:lang w:eastAsia="zh-CN"/>
              </w:rPr>
              <w:t>、</w:t>
            </w:r>
            <w:r>
              <w:rPr>
                <w:rFonts w:hint="eastAsia" w:ascii="宋体" w:hAnsi="宋体"/>
                <w:color w:val="auto"/>
              </w:rPr>
              <w:t>氨基寡糖素、肥料载体、三聚磷酸钠等原辅材料及产品</w:t>
            </w:r>
          </w:p>
        </w:tc>
        <w:tc>
          <w:tcPr>
            <w:tcW w:w="919" w:type="dxa"/>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660" w:type="dxa"/>
            <w:vMerge w:val="continue"/>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p>
        </w:tc>
        <w:tc>
          <w:tcPr>
            <w:tcW w:w="1800" w:type="dxa"/>
            <w:vAlign w:val="center"/>
          </w:tcPr>
          <w:p>
            <w:pPr>
              <w:tabs>
                <w:tab w:val="left" w:pos="3601"/>
                <w:tab w:val="left" w:pos="7665"/>
              </w:tabs>
              <w:autoSpaceDE w:val="0"/>
              <w:autoSpaceDN w:val="0"/>
              <w:adjustRightInd w:val="0"/>
              <w:snapToGrid w:val="0"/>
              <w:spacing w:line="256" w:lineRule="exact"/>
              <w:jc w:val="center"/>
              <w:rPr>
                <w:rFonts w:ascii="宋体" w:hAnsi="宋体"/>
                <w:color w:val="auto"/>
              </w:rPr>
            </w:pPr>
            <w:r>
              <w:rPr>
                <w:rFonts w:hint="eastAsia" w:ascii="宋体" w:hAnsi="宋体"/>
                <w:color w:val="auto"/>
              </w:rPr>
              <w:t>2</w:t>
            </w:r>
            <w:r>
              <w:rPr>
                <w:rFonts w:ascii="宋体" w:hAnsi="宋体"/>
                <w:color w:val="auto"/>
              </w:rPr>
              <w:t>05</w:t>
            </w:r>
            <w:r>
              <w:rPr>
                <w:rFonts w:hint="eastAsia" w:ascii="宋体" w:hAnsi="宋体"/>
                <w:color w:val="auto"/>
              </w:rPr>
              <w:t>甲类仓库三</w:t>
            </w:r>
          </w:p>
        </w:tc>
        <w:tc>
          <w:tcPr>
            <w:tcW w:w="4616" w:type="dxa"/>
            <w:vAlign w:val="center"/>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存储金属锂</w:t>
            </w:r>
          </w:p>
        </w:tc>
        <w:tc>
          <w:tcPr>
            <w:tcW w:w="919" w:type="dxa"/>
          </w:tcPr>
          <w:p>
            <w:pPr>
              <w:tabs>
                <w:tab w:val="left" w:pos="3601"/>
                <w:tab w:val="left" w:pos="7665"/>
              </w:tabs>
              <w:autoSpaceDE w:val="0"/>
              <w:autoSpaceDN w:val="0"/>
              <w:adjustRightInd w:val="0"/>
              <w:snapToGrid w:val="0"/>
              <w:spacing w:line="256" w:lineRule="exact"/>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9" w:type="dxa"/>
            <w:gridSpan w:val="3"/>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r>
              <w:rPr>
                <w:rFonts w:hint="eastAsia" w:ascii="宋体" w:hAnsi="宋体"/>
                <w:color w:val="auto"/>
              </w:rPr>
              <w:t>其他辅助工程</w:t>
            </w:r>
          </w:p>
        </w:tc>
        <w:tc>
          <w:tcPr>
            <w:tcW w:w="4616" w:type="dxa"/>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textAlignment w:val="auto"/>
              <w:rPr>
                <w:rFonts w:ascii="宋体" w:hAnsi="宋体"/>
                <w:color w:val="auto"/>
              </w:rPr>
            </w:pPr>
            <w:r>
              <w:rPr>
                <w:rFonts w:hint="eastAsia" w:ascii="宋体" w:hAnsi="宋体"/>
                <w:color w:val="auto"/>
              </w:rPr>
              <w:t>3</w:t>
            </w:r>
            <w:r>
              <w:rPr>
                <w:rFonts w:ascii="宋体" w:hAnsi="宋体"/>
                <w:color w:val="auto"/>
              </w:rPr>
              <w:t>01</w:t>
            </w:r>
            <w:r>
              <w:rPr>
                <w:rFonts w:hint="eastAsia" w:ascii="宋体" w:hAnsi="宋体"/>
                <w:color w:val="auto"/>
              </w:rPr>
              <w:t>公用工程车间、3</w:t>
            </w:r>
            <w:r>
              <w:rPr>
                <w:rFonts w:ascii="宋体" w:hAnsi="宋体"/>
                <w:color w:val="auto"/>
              </w:rPr>
              <w:t>02</w:t>
            </w:r>
            <w:r>
              <w:rPr>
                <w:rFonts w:hint="eastAsia" w:ascii="宋体" w:hAnsi="宋体"/>
                <w:color w:val="auto"/>
              </w:rPr>
              <w:t>事故应急池、3</w:t>
            </w:r>
            <w:r>
              <w:rPr>
                <w:rFonts w:ascii="宋体" w:hAnsi="宋体"/>
                <w:color w:val="auto"/>
              </w:rPr>
              <w:t>03</w:t>
            </w:r>
            <w:r>
              <w:rPr>
                <w:rFonts w:hint="eastAsia" w:ascii="宋体" w:hAnsi="宋体"/>
                <w:color w:val="auto"/>
              </w:rPr>
              <w:t>初期雨水池、3</w:t>
            </w:r>
            <w:r>
              <w:rPr>
                <w:rFonts w:ascii="宋体" w:hAnsi="宋体"/>
                <w:color w:val="auto"/>
              </w:rPr>
              <w:t>04</w:t>
            </w:r>
            <w:r>
              <w:rPr>
                <w:rFonts w:hint="eastAsia" w:ascii="宋体" w:hAnsi="宋体"/>
                <w:color w:val="auto"/>
              </w:rPr>
              <w:t>消防水池、3</w:t>
            </w:r>
            <w:r>
              <w:rPr>
                <w:rFonts w:ascii="宋体" w:hAnsi="宋体"/>
                <w:color w:val="auto"/>
              </w:rPr>
              <w:t>05</w:t>
            </w:r>
            <w:r>
              <w:rPr>
                <w:rFonts w:hint="eastAsia" w:ascii="宋体" w:hAnsi="宋体"/>
                <w:color w:val="auto"/>
              </w:rPr>
              <w:t>泵房、3</w:t>
            </w:r>
            <w:r>
              <w:rPr>
                <w:rFonts w:ascii="宋体" w:hAnsi="宋体"/>
                <w:color w:val="auto"/>
              </w:rPr>
              <w:t>06</w:t>
            </w:r>
            <w:r>
              <w:rPr>
                <w:rFonts w:hint="eastAsia" w:ascii="宋体" w:hAnsi="宋体"/>
                <w:color w:val="auto"/>
              </w:rPr>
              <w:t>污水处理区域、3</w:t>
            </w:r>
            <w:r>
              <w:rPr>
                <w:rFonts w:ascii="宋体" w:hAnsi="宋体"/>
                <w:color w:val="auto"/>
              </w:rPr>
              <w:t>07</w:t>
            </w:r>
            <w:r>
              <w:rPr>
                <w:rFonts w:hint="eastAsia" w:ascii="宋体" w:hAnsi="宋体"/>
                <w:color w:val="auto"/>
              </w:rPr>
              <w:t>循环水池。</w:t>
            </w:r>
          </w:p>
        </w:tc>
        <w:tc>
          <w:tcPr>
            <w:tcW w:w="919" w:type="dxa"/>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textAlignment w:val="auto"/>
              <w:rPr>
                <w:rFonts w:ascii="宋体" w:hAnsi="宋体"/>
                <w:color w:val="auto"/>
              </w:rPr>
            </w:pPr>
            <w:r>
              <w:rPr>
                <w:rFonts w:hint="eastAsia" w:ascii="宋体" w:hAnsi="宋体"/>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restart"/>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r>
              <w:rPr>
                <w:rFonts w:hint="eastAsia" w:ascii="宋体" w:hAnsi="宋体"/>
                <w:color w:val="auto"/>
              </w:rPr>
              <w:t>公用工程</w:t>
            </w:r>
          </w:p>
        </w:tc>
        <w:tc>
          <w:tcPr>
            <w:tcW w:w="2460" w:type="dxa"/>
            <w:gridSpan w:val="2"/>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r>
              <w:rPr>
                <w:rFonts w:hint="eastAsia" w:ascii="宋体" w:hAnsi="宋体"/>
                <w:color w:val="auto"/>
              </w:rPr>
              <w:t>给水</w:t>
            </w:r>
          </w:p>
        </w:tc>
        <w:tc>
          <w:tcPr>
            <w:tcW w:w="4616" w:type="dxa"/>
            <w:vAlign w:val="center"/>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kern w:val="2"/>
                <w:sz w:val="21"/>
              </w:rPr>
              <w:t>项目供水水源来自新干县盐化工业城市政供水管网提供，供水管网主管为DN315，压力不小于0.35MPa。厂区供水管接入管径DN200，给水管道于厂区干道环形敷设。</w:t>
            </w:r>
          </w:p>
        </w:tc>
        <w:tc>
          <w:tcPr>
            <w:tcW w:w="919" w:type="dxa"/>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kern w:val="2"/>
                <w:sz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p>
        </w:tc>
        <w:tc>
          <w:tcPr>
            <w:tcW w:w="2460" w:type="dxa"/>
            <w:gridSpan w:val="2"/>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r>
              <w:rPr>
                <w:rFonts w:hint="eastAsia" w:ascii="宋体" w:hAnsi="宋体"/>
                <w:color w:val="auto"/>
              </w:rPr>
              <w:t>排水</w:t>
            </w:r>
          </w:p>
        </w:tc>
        <w:tc>
          <w:tcPr>
            <w:tcW w:w="4616" w:type="dxa"/>
            <w:vAlign w:val="center"/>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highlight w:val="yellow"/>
              </w:rPr>
            </w:pPr>
            <w:r>
              <w:rPr>
                <w:rFonts w:hint="eastAsia"/>
                <w:color w:val="auto"/>
                <w:kern w:val="2"/>
                <w:sz w:val="21"/>
              </w:rPr>
              <w:t>排水采用雨、污分流，生活污水经化粪池处理后排至污水处理站处理最终排入市政污水管网。生产废水经污水处理站处理后排入工业园污水管网。厂区初期雨水先排入初期雨水池，达到排放标准后雨水排入市政雨水管网。</w:t>
            </w:r>
          </w:p>
        </w:tc>
        <w:tc>
          <w:tcPr>
            <w:tcW w:w="919" w:type="dxa"/>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sz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p>
        </w:tc>
        <w:tc>
          <w:tcPr>
            <w:tcW w:w="2460" w:type="dxa"/>
            <w:gridSpan w:val="2"/>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r>
              <w:rPr>
                <w:rFonts w:hint="eastAsia" w:ascii="宋体" w:hAnsi="宋体"/>
                <w:color w:val="auto"/>
              </w:rPr>
              <w:t>供电</w:t>
            </w:r>
          </w:p>
        </w:tc>
        <w:tc>
          <w:tcPr>
            <w:tcW w:w="4616" w:type="dxa"/>
            <w:vAlign w:val="center"/>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kern w:val="2"/>
                <w:sz w:val="21"/>
              </w:rPr>
              <w:t>项目301公用工程车间新建高、低压配电间，在高压配电间设置2台1000KVA干式变压器。</w:t>
            </w:r>
          </w:p>
        </w:tc>
        <w:tc>
          <w:tcPr>
            <w:tcW w:w="919" w:type="dxa"/>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sz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rPr>
            </w:pPr>
          </w:p>
        </w:tc>
        <w:tc>
          <w:tcPr>
            <w:tcW w:w="2460" w:type="dxa"/>
            <w:gridSpan w:val="2"/>
            <w:vAlign w:val="center"/>
          </w:tcPr>
          <w:p>
            <w:pPr>
              <w:keepNext w:val="0"/>
              <w:keepLines w:val="0"/>
              <w:pageBreakBefore w:val="0"/>
              <w:widowControl w:val="0"/>
              <w:tabs>
                <w:tab w:val="left" w:pos="3601"/>
                <w:tab w:val="left" w:pos="7665"/>
              </w:tabs>
              <w:kinsoku/>
              <w:wordWrap/>
              <w:overflowPunct/>
              <w:topLinePunct w:val="0"/>
              <w:autoSpaceDE w:val="0"/>
              <w:autoSpaceDN w:val="0"/>
              <w:bidi w:val="0"/>
              <w:adjustRightInd w:val="0"/>
              <w:snapToGrid w:val="0"/>
              <w:spacing w:line="270" w:lineRule="exact"/>
              <w:jc w:val="center"/>
              <w:textAlignment w:val="auto"/>
              <w:rPr>
                <w:rFonts w:ascii="宋体" w:hAnsi="宋体"/>
                <w:color w:val="auto"/>
                <w:highlight w:val="yellow"/>
              </w:rPr>
            </w:pPr>
            <w:r>
              <w:rPr>
                <w:rFonts w:hint="eastAsia" w:ascii="宋体" w:hAnsi="宋体"/>
                <w:color w:val="auto"/>
              </w:rPr>
              <w:t>供热</w:t>
            </w:r>
          </w:p>
        </w:tc>
        <w:tc>
          <w:tcPr>
            <w:tcW w:w="4616" w:type="dxa"/>
            <w:vAlign w:val="center"/>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kern w:val="2"/>
                <w:sz w:val="21"/>
              </w:rPr>
              <w:t>蒸汽由园区蒸汽管网集中供应，蒸汽由管道输送至厂区，园区蒸汽管网供给饱和蒸汽压力0</w:t>
            </w:r>
            <w:r>
              <w:rPr>
                <w:color w:val="auto"/>
                <w:kern w:val="2"/>
                <w:sz w:val="21"/>
              </w:rPr>
              <w:t>.6</w:t>
            </w:r>
            <w:r>
              <w:rPr>
                <w:rFonts w:hint="eastAsia"/>
                <w:color w:val="auto"/>
                <w:kern w:val="2"/>
                <w:sz w:val="21"/>
              </w:rPr>
              <w:t>MPa，可供应蒸汽用量153万吨/年。该项目蒸汽用量为</w:t>
            </w:r>
            <w:r>
              <w:rPr>
                <w:color w:val="auto"/>
                <w:kern w:val="2"/>
                <w:sz w:val="21"/>
              </w:rPr>
              <w:t>5712</w:t>
            </w:r>
            <w:r>
              <w:rPr>
                <w:rFonts w:hint="eastAsia"/>
                <w:color w:val="auto"/>
                <w:kern w:val="2"/>
                <w:sz w:val="21"/>
              </w:rPr>
              <w:t>吨/年，园区供给蒸汽可满足项目蒸汽需求。</w:t>
            </w:r>
          </w:p>
        </w:tc>
        <w:tc>
          <w:tcPr>
            <w:tcW w:w="919" w:type="dxa"/>
          </w:tcPr>
          <w:p>
            <w:pPr>
              <w:pStyle w:val="27"/>
              <w:keepNext w:val="0"/>
              <w:keepLines w:val="0"/>
              <w:pageBreakBefore w:val="0"/>
              <w:widowControl w:val="0"/>
              <w:kinsoku/>
              <w:wordWrap/>
              <w:overflowPunct/>
              <w:topLinePunct w:val="0"/>
              <w:bidi w:val="0"/>
              <w:adjustRightInd w:val="0"/>
              <w:snapToGrid w:val="0"/>
              <w:spacing w:before="0" w:beforeAutospacing="0" w:after="0" w:afterAutospacing="0" w:line="270" w:lineRule="exact"/>
              <w:textAlignment w:val="auto"/>
              <w:rPr>
                <w:color w:val="auto"/>
                <w:kern w:val="2"/>
                <w:sz w:val="21"/>
              </w:rPr>
            </w:pPr>
            <w:r>
              <w:rPr>
                <w:rFonts w:hint="eastAsia"/>
                <w:color w:val="auto"/>
                <w:sz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restart"/>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环保工程</w:t>
            </w: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highlight w:val="yellow"/>
              </w:rPr>
            </w:pPr>
            <w:r>
              <w:rPr>
                <w:rFonts w:hint="eastAsia" w:ascii="宋体" w:hAnsi="宋体"/>
                <w:color w:val="auto"/>
              </w:rPr>
              <w:t>废气</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该项目原药生产车间产生的工艺废气采用“水吸收+活性炭吸附”工艺，生产工艺中产生的废气经过冷凝回收后，不凝气由放空管接入废气总管管道经水吸收+活性炭吸附处理达标后经30m高的排气筒达标排放。</w:t>
            </w:r>
          </w:p>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液体制剂生产过程产生的有组织废气采用密闭式集气罩负压收集，经多级活性炭处理后通过30m高排气筒排放。</w:t>
            </w:r>
          </w:p>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颗粒剂生产过程中产生的废气采用密闭集气罩负压收集，经布袋除尘+三级水喷淋处理后通过30m高排气筒排放。</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highlight w:val="yellow"/>
              </w:rPr>
            </w:pPr>
            <w:r>
              <w:rPr>
                <w:rFonts w:hint="eastAsia" w:ascii="宋体" w:hAnsi="宋体"/>
                <w:color w:val="auto"/>
              </w:rPr>
              <w:t>废水</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该项目废水产生量为11053.29t/a。生活污水产生量为5760t/a。生活污水经“化粪池”预处理后进入厂区污水处理站进一步处理，生产废水直排污水处理站处理。</w:t>
            </w:r>
          </w:p>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项目建设污水站处理能力为200t/d，可以满足污水处理需求。</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噪声治理</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选用低噪声设备，噪声设备采取隔声、消声、减振等降噪措施。项目车间密闭、基础减振、隔声、消声等措施。</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固废</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highlight w:val="yellow"/>
              </w:rPr>
            </w:pPr>
            <w:r>
              <w:rPr>
                <w:rFonts w:hint="eastAsia" w:ascii="宋体" w:hAnsi="宋体"/>
                <w:color w:val="auto"/>
              </w:rPr>
              <w:t>项目总固废产生量为316.82，其中收集粉尘全部返回颗粒剂生产工段回用，废硅胶柱、蒸馏残渣、压滤渣、废活性炭、污泥、废包装袋等收集贮存在202甲类仓库中的危废</w:t>
            </w:r>
            <w:r>
              <w:rPr>
                <w:rFonts w:hint="eastAsia" w:ascii="宋体" w:hAnsi="宋体"/>
                <w:color w:val="auto"/>
                <w:lang w:eastAsia="zh-CN"/>
              </w:rPr>
              <w:t>、</w:t>
            </w:r>
            <w:r>
              <w:rPr>
                <w:rFonts w:hint="eastAsia" w:ascii="宋体" w:hAnsi="宋体"/>
                <w:color w:val="auto"/>
                <w:lang w:val="en-US" w:eastAsia="zh-CN"/>
              </w:rPr>
              <w:t>固废间</w:t>
            </w:r>
            <w:r>
              <w:rPr>
                <w:rFonts w:hint="eastAsia" w:ascii="宋体" w:hAnsi="宋体"/>
                <w:color w:val="auto"/>
              </w:rPr>
              <w:t>，再委托有资质单位处置，生活垃圾统一交由环卫部门处理。</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9" w:type="dxa"/>
            <w:vMerge w:val="continue"/>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生态</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厂区空地及入口种植适宜生长的树木花卉。</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Merge w:val="continue"/>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p>
        </w:tc>
        <w:tc>
          <w:tcPr>
            <w:tcW w:w="2460" w:type="dxa"/>
            <w:gridSpan w:val="2"/>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地下水、土壤</w:t>
            </w:r>
          </w:p>
        </w:tc>
        <w:tc>
          <w:tcPr>
            <w:tcW w:w="4616" w:type="dxa"/>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预防为主、分区防渗。</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9" w:type="dxa"/>
            <w:vAlign w:val="center"/>
          </w:tcPr>
          <w:p>
            <w:pPr>
              <w:tabs>
                <w:tab w:val="left" w:pos="3601"/>
                <w:tab w:val="left" w:pos="7665"/>
              </w:tabs>
              <w:autoSpaceDE w:val="0"/>
              <w:autoSpaceDN w:val="0"/>
              <w:adjustRightInd w:val="0"/>
              <w:snapToGrid w:val="0"/>
              <w:spacing w:line="260" w:lineRule="exact"/>
              <w:jc w:val="center"/>
              <w:rPr>
                <w:rFonts w:ascii="宋体" w:hAnsi="宋体"/>
                <w:color w:val="auto"/>
              </w:rPr>
            </w:pPr>
            <w:r>
              <w:rPr>
                <w:rFonts w:hint="eastAsia" w:ascii="宋体" w:hAnsi="宋体"/>
                <w:color w:val="auto"/>
              </w:rPr>
              <w:t>办公服务工程</w:t>
            </w:r>
          </w:p>
        </w:tc>
        <w:tc>
          <w:tcPr>
            <w:tcW w:w="7076" w:type="dxa"/>
            <w:gridSpan w:val="3"/>
            <w:vAlign w:val="center"/>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ascii="宋体" w:hAnsi="宋体"/>
                <w:color w:val="auto"/>
              </w:rPr>
              <w:t>新建4</w:t>
            </w:r>
            <w:r>
              <w:rPr>
                <w:rFonts w:ascii="宋体" w:hAnsi="宋体"/>
                <w:color w:val="auto"/>
              </w:rPr>
              <w:t>01</w:t>
            </w:r>
            <w:r>
              <w:rPr>
                <w:rFonts w:hint="eastAsia" w:ascii="宋体" w:hAnsi="宋体"/>
                <w:color w:val="auto"/>
              </w:rPr>
              <w:t>综合楼、4</w:t>
            </w:r>
            <w:r>
              <w:rPr>
                <w:rFonts w:ascii="宋体" w:hAnsi="宋体"/>
                <w:color w:val="auto"/>
              </w:rPr>
              <w:t>03</w:t>
            </w:r>
            <w:r>
              <w:rPr>
                <w:rFonts w:hint="eastAsia" w:ascii="宋体" w:hAnsi="宋体"/>
                <w:color w:val="auto"/>
              </w:rPr>
              <w:t>控制室、4</w:t>
            </w:r>
            <w:r>
              <w:rPr>
                <w:rFonts w:ascii="宋体" w:hAnsi="宋体"/>
                <w:color w:val="auto"/>
              </w:rPr>
              <w:t>0</w:t>
            </w:r>
            <w:r>
              <w:rPr>
                <w:rFonts w:hint="eastAsia" w:ascii="宋体" w:hAnsi="宋体"/>
                <w:color w:val="auto"/>
              </w:rPr>
              <w:t>2门卫。</w:t>
            </w:r>
          </w:p>
        </w:tc>
        <w:tc>
          <w:tcPr>
            <w:tcW w:w="919" w:type="dxa"/>
          </w:tcPr>
          <w:p>
            <w:pPr>
              <w:tabs>
                <w:tab w:val="left" w:pos="3601"/>
                <w:tab w:val="left" w:pos="7665"/>
              </w:tabs>
              <w:autoSpaceDE w:val="0"/>
              <w:autoSpaceDN w:val="0"/>
              <w:adjustRightInd w:val="0"/>
              <w:snapToGrid w:val="0"/>
              <w:spacing w:line="260" w:lineRule="exact"/>
              <w:jc w:val="left"/>
              <w:rPr>
                <w:rFonts w:ascii="宋体" w:hAnsi="宋体"/>
                <w:color w:val="auto"/>
              </w:rPr>
            </w:pPr>
            <w:r>
              <w:rPr>
                <w:rFonts w:hint="eastAsia"/>
                <w:color w:val="auto"/>
              </w:rPr>
              <w:t>新建</w:t>
            </w:r>
          </w:p>
        </w:tc>
      </w:tr>
    </w:tbl>
    <w:p>
      <w:pPr>
        <w:pStyle w:val="49"/>
        <w:ind w:firstLine="480"/>
        <w:rPr>
          <w:color w:val="auto"/>
        </w:rPr>
      </w:pPr>
    </w:p>
    <w:p>
      <w:pPr>
        <w:pStyle w:val="49"/>
        <w:rPr>
          <w:color w:val="auto"/>
          <w:sz w:val="28"/>
          <w:szCs w:val="28"/>
        </w:rPr>
      </w:pPr>
      <w:r>
        <w:rPr>
          <w:rFonts w:hint="eastAsia"/>
          <w:color w:val="auto"/>
          <w:sz w:val="28"/>
          <w:szCs w:val="28"/>
        </w:rPr>
        <w:t>项目前期工作：</w:t>
      </w:r>
    </w:p>
    <w:p>
      <w:pPr>
        <w:spacing w:line="600" w:lineRule="exact"/>
        <w:ind w:firstLine="495" w:firstLineChars="177"/>
        <w:rPr>
          <w:rFonts w:ascii="宋体" w:hAnsi="宋体"/>
          <w:color w:val="auto"/>
          <w:sz w:val="28"/>
          <w:szCs w:val="28"/>
        </w:rPr>
      </w:pPr>
      <w:r>
        <w:rPr>
          <w:rFonts w:hint="eastAsia" w:ascii="宋体" w:hAnsi="宋体"/>
          <w:color w:val="auto"/>
          <w:sz w:val="28"/>
          <w:szCs w:val="28"/>
        </w:rPr>
        <w:t>该项目于202</w:t>
      </w:r>
      <w:r>
        <w:rPr>
          <w:rFonts w:ascii="宋体" w:hAnsi="宋体"/>
          <w:color w:val="auto"/>
          <w:sz w:val="28"/>
          <w:szCs w:val="28"/>
        </w:rPr>
        <w:t>3</w:t>
      </w:r>
      <w:r>
        <w:rPr>
          <w:rFonts w:hint="eastAsia" w:ascii="宋体" w:hAnsi="宋体"/>
          <w:color w:val="auto"/>
          <w:sz w:val="28"/>
          <w:szCs w:val="28"/>
        </w:rPr>
        <w:t>年</w:t>
      </w:r>
      <w:r>
        <w:rPr>
          <w:rFonts w:ascii="宋体" w:hAnsi="宋体"/>
          <w:color w:val="auto"/>
          <w:sz w:val="28"/>
          <w:szCs w:val="28"/>
        </w:rPr>
        <w:t>1</w:t>
      </w:r>
      <w:r>
        <w:rPr>
          <w:rFonts w:hint="eastAsia" w:ascii="宋体" w:hAnsi="宋体"/>
          <w:color w:val="auto"/>
          <w:sz w:val="28"/>
          <w:szCs w:val="28"/>
        </w:rPr>
        <w:t>月</w:t>
      </w:r>
      <w:r>
        <w:rPr>
          <w:rFonts w:ascii="宋体" w:hAnsi="宋体"/>
          <w:color w:val="auto"/>
          <w:sz w:val="28"/>
          <w:szCs w:val="28"/>
        </w:rPr>
        <w:t>6</w:t>
      </w:r>
      <w:r>
        <w:rPr>
          <w:rFonts w:hint="eastAsia" w:ascii="宋体" w:hAnsi="宋体"/>
          <w:color w:val="auto"/>
          <w:sz w:val="28"/>
          <w:szCs w:val="28"/>
        </w:rPr>
        <w:t>日获得吉安市新干县出具的《建设用地规划许可证》，选址位于吉安市新干县盐化工业城中区。</w:t>
      </w:r>
    </w:p>
    <w:p>
      <w:pPr>
        <w:spacing w:line="600" w:lineRule="exact"/>
        <w:ind w:firstLine="495" w:firstLineChars="177"/>
        <w:rPr>
          <w:rFonts w:ascii="宋体" w:hAnsi="宋体"/>
          <w:color w:val="auto"/>
          <w:sz w:val="28"/>
          <w:szCs w:val="28"/>
        </w:rPr>
      </w:pPr>
      <w:r>
        <w:rPr>
          <w:rFonts w:hint="eastAsia" w:ascii="宋体" w:hAnsi="宋体"/>
          <w:color w:val="auto"/>
          <w:sz w:val="28"/>
          <w:szCs w:val="28"/>
        </w:rPr>
        <w:t>该项目于2023年4月6日获得新干县发展和改革委员会关于年产芸苔素内酯原药5千kg、制剂3万吨项目（项目统一代码为：2</w:t>
      </w:r>
      <w:r>
        <w:rPr>
          <w:rFonts w:ascii="宋体" w:hAnsi="宋体"/>
          <w:color w:val="auto"/>
          <w:sz w:val="28"/>
          <w:szCs w:val="28"/>
        </w:rPr>
        <w:t>106</w:t>
      </w:r>
      <w:r>
        <w:rPr>
          <w:rFonts w:hint="eastAsia" w:ascii="宋体" w:hAnsi="宋体"/>
          <w:color w:val="auto"/>
          <w:sz w:val="28"/>
          <w:szCs w:val="28"/>
        </w:rPr>
        <w:t>-360</w:t>
      </w:r>
      <w:r>
        <w:rPr>
          <w:rFonts w:ascii="宋体" w:hAnsi="宋体"/>
          <w:color w:val="auto"/>
          <w:sz w:val="28"/>
          <w:szCs w:val="28"/>
        </w:rPr>
        <w:t>824</w:t>
      </w:r>
      <w:r>
        <w:rPr>
          <w:rFonts w:hint="eastAsia" w:ascii="宋体" w:hAnsi="宋体"/>
          <w:color w:val="auto"/>
          <w:sz w:val="28"/>
          <w:szCs w:val="28"/>
        </w:rPr>
        <w:t>-</w:t>
      </w:r>
      <w:r>
        <w:rPr>
          <w:rFonts w:ascii="宋体" w:hAnsi="宋体"/>
          <w:color w:val="auto"/>
          <w:sz w:val="28"/>
          <w:szCs w:val="28"/>
        </w:rPr>
        <w:t>0</w:t>
      </w:r>
      <w:r>
        <w:rPr>
          <w:rFonts w:hint="eastAsia" w:ascii="宋体" w:hAnsi="宋体"/>
          <w:color w:val="auto"/>
          <w:sz w:val="28"/>
          <w:szCs w:val="28"/>
        </w:rPr>
        <w:t>4-0</w:t>
      </w:r>
      <w:r>
        <w:rPr>
          <w:rFonts w:ascii="宋体" w:hAnsi="宋体"/>
          <w:color w:val="auto"/>
          <w:sz w:val="28"/>
          <w:szCs w:val="28"/>
        </w:rPr>
        <w:t>1</w:t>
      </w:r>
      <w:r>
        <w:rPr>
          <w:rFonts w:hint="eastAsia" w:ascii="宋体" w:hAnsi="宋体"/>
          <w:color w:val="auto"/>
          <w:sz w:val="28"/>
          <w:szCs w:val="28"/>
        </w:rPr>
        <w:t>-</w:t>
      </w:r>
      <w:r>
        <w:rPr>
          <w:rFonts w:ascii="宋体" w:hAnsi="宋体"/>
          <w:color w:val="auto"/>
          <w:sz w:val="28"/>
          <w:szCs w:val="28"/>
        </w:rPr>
        <w:t>355235</w:t>
      </w:r>
      <w:r>
        <w:rPr>
          <w:rFonts w:hint="eastAsia" w:ascii="宋体" w:hAnsi="宋体"/>
          <w:color w:val="auto"/>
          <w:sz w:val="28"/>
          <w:szCs w:val="28"/>
        </w:rPr>
        <w:t>）的备案通知书。</w:t>
      </w:r>
    </w:p>
    <w:p>
      <w:pPr>
        <w:spacing w:line="600" w:lineRule="exact"/>
        <w:ind w:firstLine="495" w:firstLineChars="177"/>
        <w:rPr>
          <w:rFonts w:ascii="宋体" w:hAnsi="宋体"/>
          <w:color w:val="auto"/>
          <w:sz w:val="28"/>
          <w:szCs w:val="28"/>
        </w:rPr>
      </w:pPr>
      <w:r>
        <w:rPr>
          <w:rFonts w:hint="eastAsia" w:hAnsi="宋体"/>
          <w:color w:val="auto"/>
          <w:sz w:val="28"/>
          <w:szCs w:val="28"/>
        </w:rPr>
        <w:t>该项目平面布置图由山东富海石化工程有限公司绘制，山东富海石化工程有限公司具有工程设计化工石化医药行业甲级资质；证书编号：A</w:t>
      </w:r>
      <w:r>
        <w:rPr>
          <w:rFonts w:hAnsi="宋体"/>
          <w:color w:val="auto"/>
          <w:sz w:val="28"/>
          <w:szCs w:val="28"/>
        </w:rPr>
        <w:t>237005152</w:t>
      </w:r>
      <w:r>
        <w:rPr>
          <w:rFonts w:hint="eastAsia" w:hAnsi="宋体"/>
          <w:color w:val="auto"/>
          <w:sz w:val="28"/>
          <w:szCs w:val="28"/>
        </w:rPr>
        <w:t>。</w:t>
      </w:r>
    </w:p>
    <w:p>
      <w:pPr>
        <w:pStyle w:val="49"/>
        <w:ind w:firstLine="560" w:firstLineChars="200"/>
        <w:rPr>
          <w:color w:val="auto"/>
          <w:sz w:val="28"/>
          <w:szCs w:val="28"/>
        </w:rPr>
      </w:pPr>
      <w:r>
        <w:rPr>
          <w:rFonts w:hint="eastAsia" w:hAnsi="宋体"/>
          <w:color w:val="auto"/>
          <w:sz w:val="28"/>
          <w:szCs w:val="28"/>
        </w:rPr>
        <w:t>该项目符合国家发展和改革委员会令20</w:t>
      </w:r>
      <w:r>
        <w:rPr>
          <w:rFonts w:hAnsi="宋体"/>
          <w:color w:val="auto"/>
          <w:sz w:val="28"/>
          <w:szCs w:val="28"/>
        </w:rPr>
        <w:t>21</w:t>
      </w:r>
      <w:r>
        <w:rPr>
          <w:rFonts w:hint="eastAsia" w:hAnsi="宋体"/>
          <w:color w:val="auto"/>
          <w:sz w:val="28"/>
          <w:szCs w:val="28"/>
        </w:rPr>
        <w:t>年第</w:t>
      </w:r>
      <w:r>
        <w:rPr>
          <w:color w:val="auto"/>
          <w:sz w:val="28"/>
          <w:szCs w:val="28"/>
        </w:rPr>
        <w:t>4</w:t>
      </w:r>
      <w:r>
        <w:rPr>
          <w:rFonts w:hint="eastAsia"/>
          <w:color w:val="auto"/>
          <w:sz w:val="28"/>
          <w:szCs w:val="28"/>
        </w:rPr>
        <w:t>9</w:t>
      </w:r>
      <w:r>
        <w:rPr>
          <w:rFonts w:hint="eastAsia" w:hAnsi="宋体"/>
          <w:color w:val="auto"/>
          <w:sz w:val="28"/>
          <w:szCs w:val="28"/>
        </w:rPr>
        <w:t>号修改版的</w:t>
      </w:r>
      <w:r>
        <w:rPr>
          <w:rFonts w:hAnsi="宋体"/>
          <w:color w:val="auto"/>
          <w:sz w:val="28"/>
          <w:szCs w:val="28"/>
        </w:rPr>
        <w:t>《产业结构调整指导目录（</w:t>
      </w:r>
      <w:r>
        <w:rPr>
          <w:color w:val="auto"/>
          <w:sz w:val="28"/>
          <w:szCs w:val="28"/>
        </w:rPr>
        <w:t>201</w:t>
      </w:r>
      <w:r>
        <w:rPr>
          <w:rFonts w:hint="eastAsia"/>
          <w:color w:val="auto"/>
          <w:sz w:val="28"/>
          <w:szCs w:val="28"/>
        </w:rPr>
        <w:t>9</w:t>
      </w:r>
      <w:r>
        <w:rPr>
          <w:rFonts w:hAnsi="宋体"/>
          <w:color w:val="auto"/>
          <w:sz w:val="28"/>
          <w:szCs w:val="28"/>
        </w:rPr>
        <w:t>年本）》</w:t>
      </w:r>
      <w:r>
        <w:rPr>
          <w:rFonts w:hint="eastAsia" w:hAnsi="宋体"/>
          <w:color w:val="auto"/>
          <w:sz w:val="28"/>
          <w:szCs w:val="28"/>
        </w:rPr>
        <w:t>中的规定，属于鼓励类“十一、石化化工”中“6、高效、安全、环境友好的农药新品种、新剂型，生物农药新产品、新技术的开发与生产”。</w:t>
      </w:r>
    </w:p>
    <w:bookmarkEnd w:id="21"/>
    <w:p>
      <w:pPr>
        <w:keepNext/>
        <w:keepLines/>
        <w:spacing w:line="600" w:lineRule="exact"/>
        <w:jc w:val="left"/>
        <w:outlineLvl w:val="2"/>
        <w:rPr>
          <w:b/>
          <w:color w:val="auto"/>
          <w:sz w:val="28"/>
          <w:szCs w:val="32"/>
        </w:rPr>
      </w:pPr>
      <w:bookmarkStart w:id="22" w:name="_Toc144109140"/>
      <w:r>
        <w:rPr>
          <w:rFonts w:hint="eastAsia"/>
          <w:b/>
          <w:color w:val="auto"/>
          <w:sz w:val="28"/>
          <w:szCs w:val="32"/>
        </w:rPr>
        <w:t>2.</w:t>
      </w:r>
      <w:r>
        <w:rPr>
          <w:b/>
          <w:color w:val="auto"/>
          <w:sz w:val="28"/>
          <w:szCs w:val="32"/>
        </w:rPr>
        <w:t>2</w:t>
      </w:r>
      <w:r>
        <w:rPr>
          <w:rFonts w:hint="eastAsia"/>
          <w:b/>
          <w:color w:val="auto"/>
          <w:sz w:val="28"/>
          <w:szCs w:val="32"/>
        </w:rPr>
        <w:t>.1 建设项目所在的地理位置及周边环境</w:t>
      </w:r>
      <w:bookmarkEnd w:id="22"/>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1）地理位置</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新干县坐标位置为东经115°15'-115°44'，北纬27°30'-27°58'，属亚热带季风气候。年平均气温17.5℃，年均降水量1604.5毫米，全年无霜275天，适合各种生物繁衍生长。新干县位于江西省中部、鄱阳湖生态经济区范围内，系吉安市的“北大门”，是一方具有深厚历史底蕴、充满生机和活力的热土。新干交通便利，自古为商贾云集之地。京九铁路、105国道、赣江水道呈“川”字型纵贯县境南北，新干赣江大桥与赣粤高速公路挂线连接并通车。京九铁路在县境内设有一个货站和一个县级客站，新干港河西综合码头已列入国家交通部“十一五”重点建设项目，并已开工建设，形成县内“半小时经济圈”，省内 “一小时经济圈”，“长珠闽”地区主要城市“六小时经济圈”。</w:t>
      </w:r>
    </w:p>
    <w:p>
      <w:pPr>
        <w:spacing w:line="600" w:lineRule="exact"/>
        <w:ind w:firstLine="482"/>
        <w:rPr>
          <w:color w:val="auto"/>
          <w:sz w:val="28"/>
          <w:szCs w:val="28"/>
        </w:rPr>
      </w:pPr>
      <w:r>
        <w:rPr>
          <w:rFonts w:ascii="宋体" w:hAnsi="宋体"/>
          <w:color w:val="auto"/>
          <w:sz w:val="28"/>
          <w:szCs w:val="28"/>
        </w:rPr>
        <w:t>本项目位于江西省</w:t>
      </w:r>
      <w:r>
        <w:rPr>
          <w:rFonts w:hint="eastAsia" w:ascii="宋体" w:hAnsi="宋体"/>
          <w:color w:val="auto"/>
          <w:sz w:val="28"/>
          <w:szCs w:val="28"/>
        </w:rPr>
        <w:t>吉安</w:t>
      </w:r>
      <w:r>
        <w:rPr>
          <w:rFonts w:ascii="宋体" w:hAnsi="宋体"/>
          <w:color w:val="auto"/>
          <w:sz w:val="28"/>
          <w:szCs w:val="28"/>
        </w:rPr>
        <w:t>市</w:t>
      </w:r>
      <w:r>
        <w:rPr>
          <w:rFonts w:hint="eastAsia" w:ascii="宋体" w:hAnsi="宋体"/>
          <w:color w:val="auto"/>
          <w:sz w:val="28"/>
          <w:szCs w:val="28"/>
        </w:rPr>
        <w:t>新干县</w:t>
      </w:r>
      <w:r>
        <w:rPr>
          <w:rFonts w:ascii="宋体" w:hAnsi="宋体"/>
          <w:color w:val="auto"/>
          <w:sz w:val="28"/>
          <w:szCs w:val="28"/>
        </w:rPr>
        <w:t>盐化</w:t>
      </w:r>
      <w:r>
        <w:rPr>
          <w:rFonts w:hint="eastAsia" w:ascii="宋体" w:hAnsi="宋体"/>
          <w:color w:val="auto"/>
          <w:sz w:val="28"/>
          <w:szCs w:val="28"/>
        </w:rPr>
        <w:t>工业城</w:t>
      </w:r>
      <w:r>
        <w:rPr>
          <w:rFonts w:ascii="宋体" w:hAnsi="宋体"/>
          <w:color w:val="auto"/>
          <w:sz w:val="28"/>
          <w:szCs w:val="28"/>
        </w:rPr>
        <w:t>，</w:t>
      </w:r>
      <w:r>
        <w:rPr>
          <w:rFonts w:hint="eastAsia" w:ascii="宋体" w:hAnsi="宋体"/>
          <w:color w:val="auto"/>
          <w:sz w:val="28"/>
          <w:szCs w:val="28"/>
        </w:rPr>
        <w:t>吉安创新聚氨酯科技有限公司以北地块</w:t>
      </w:r>
      <w:r>
        <w:rPr>
          <w:rFonts w:ascii="宋体" w:hAnsi="宋体"/>
          <w:color w:val="auto"/>
          <w:sz w:val="28"/>
          <w:szCs w:val="28"/>
        </w:rPr>
        <w:t>。</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2）周边环境</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该项目为年产芸苔素内酯原药5千kg、制剂3万吨项目，拟建设地点位于江西省吉安市新干县盐化工业城。项目占地为</w:t>
      </w:r>
      <w:r>
        <w:rPr>
          <w:rFonts w:ascii="宋体" w:hAnsi="宋体"/>
          <w:color w:val="auto"/>
          <w:sz w:val="28"/>
          <w:szCs w:val="28"/>
        </w:rPr>
        <w:t>32456.83</w:t>
      </w:r>
      <w:r>
        <w:rPr>
          <w:rFonts w:hint="eastAsia" w:ascii="宋体" w:hAnsi="宋体"/>
          <w:color w:val="auto"/>
          <w:sz w:val="28"/>
          <w:szCs w:val="28"/>
        </w:rPr>
        <w:t>m</w:t>
      </w:r>
      <w:r>
        <w:rPr>
          <w:rFonts w:ascii="宋体" w:hAnsi="宋体"/>
          <w:color w:val="auto"/>
          <w:sz w:val="28"/>
          <w:szCs w:val="28"/>
          <w:vertAlign w:val="superscript"/>
        </w:rPr>
        <w:t>2</w:t>
      </w:r>
      <w:r>
        <w:rPr>
          <w:rFonts w:hint="eastAsia" w:ascii="宋体" w:hAnsi="宋体"/>
          <w:color w:val="auto"/>
          <w:sz w:val="28"/>
          <w:szCs w:val="28"/>
        </w:rPr>
        <w:t>。该项目场地西侧为江西双佳科技股份有限公司，两公司共围墙，该项目</w:t>
      </w:r>
      <w:r>
        <w:rPr>
          <w:rFonts w:ascii="宋体" w:hAnsi="宋体"/>
          <w:color w:val="auto"/>
          <w:sz w:val="28"/>
          <w:szCs w:val="28"/>
        </w:rPr>
        <w:t>201</w:t>
      </w:r>
      <w:r>
        <w:rPr>
          <w:rFonts w:hint="eastAsia" w:ascii="宋体" w:hAnsi="宋体"/>
          <w:color w:val="auto"/>
          <w:sz w:val="28"/>
          <w:szCs w:val="28"/>
        </w:rPr>
        <w:t>甲类仓库一距离江西双佳科技股份有限公司最近丁类仓库为</w:t>
      </w:r>
      <w:r>
        <w:rPr>
          <w:rFonts w:ascii="宋体" w:hAnsi="宋体"/>
          <w:color w:val="auto"/>
          <w:sz w:val="28"/>
          <w:szCs w:val="28"/>
        </w:rPr>
        <w:t>29.7</w:t>
      </w:r>
      <w:r>
        <w:rPr>
          <w:rFonts w:hint="eastAsia" w:ascii="宋体" w:hAnsi="宋体"/>
          <w:color w:val="auto"/>
          <w:sz w:val="28"/>
          <w:szCs w:val="28"/>
        </w:rPr>
        <w:t>m。东侧为盐化大道，隔道路对面为江西新富凯科技有限公司和江西明亮亚克力有限公司，企业围墙距离为</w:t>
      </w:r>
      <w:r>
        <w:rPr>
          <w:rFonts w:ascii="宋体" w:hAnsi="宋体"/>
          <w:color w:val="auto"/>
          <w:sz w:val="28"/>
          <w:szCs w:val="28"/>
        </w:rPr>
        <w:t>55</w:t>
      </w:r>
      <w:r>
        <w:rPr>
          <w:rFonts w:hint="eastAsia" w:ascii="宋体" w:hAnsi="宋体"/>
          <w:color w:val="auto"/>
          <w:sz w:val="28"/>
          <w:szCs w:val="28"/>
        </w:rPr>
        <w:t>m。厂区东侧沿盐化大道存在国防光缆，距离该项目场地</w:t>
      </w:r>
      <w:r>
        <w:rPr>
          <w:rFonts w:ascii="宋体" w:hAnsi="宋体"/>
          <w:color w:val="auto"/>
          <w:sz w:val="28"/>
          <w:szCs w:val="28"/>
        </w:rPr>
        <w:t>15.4</w:t>
      </w:r>
      <w:r>
        <w:rPr>
          <w:rFonts w:hint="eastAsia" w:ascii="宋体" w:hAnsi="宋体"/>
          <w:color w:val="auto"/>
          <w:sz w:val="28"/>
          <w:szCs w:val="28"/>
        </w:rPr>
        <w:t>m；同时存在一1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m），距离厂区拟建围墙9</w:t>
      </w:r>
      <w:r>
        <w:rPr>
          <w:rFonts w:ascii="宋体" w:hAnsi="宋体"/>
          <w:color w:val="auto"/>
          <w:sz w:val="28"/>
          <w:szCs w:val="28"/>
        </w:rPr>
        <w:t>.2</w:t>
      </w:r>
      <w:r>
        <w:rPr>
          <w:rFonts w:hint="eastAsia" w:ascii="宋体" w:hAnsi="宋体"/>
          <w:color w:val="auto"/>
          <w:sz w:val="28"/>
          <w:szCs w:val="28"/>
        </w:rPr>
        <w:t>m；厂区东侧沿盐化大道还存在园区蒸汽管道，距离该项目厂区围墙约5m。该项目场地南侧为吉安创新聚氨酯科技有限公司和吉安永翔硅业新材料有限公司，预留1</w:t>
      </w:r>
      <w:r>
        <w:rPr>
          <w:rFonts w:ascii="宋体" w:hAnsi="宋体"/>
          <w:color w:val="auto"/>
          <w:sz w:val="28"/>
          <w:szCs w:val="28"/>
        </w:rPr>
        <w:t>02</w:t>
      </w:r>
      <w:r>
        <w:rPr>
          <w:rFonts w:hint="eastAsia" w:ascii="宋体" w:hAnsi="宋体"/>
          <w:color w:val="auto"/>
          <w:sz w:val="28"/>
          <w:szCs w:val="28"/>
        </w:rPr>
        <w:t>甲类车间二距离吉安创新聚氨酯科技有限公司最近原料罐区丙类储罐3</w:t>
      </w:r>
      <w:r>
        <w:rPr>
          <w:rFonts w:ascii="宋体" w:hAnsi="宋体"/>
          <w:color w:val="auto"/>
          <w:sz w:val="28"/>
          <w:szCs w:val="28"/>
        </w:rPr>
        <w:t>8.8</w:t>
      </w:r>
      <w:r>
        <w:rPr>
          <w:rFonts w:hint="eastAsia" w:ascii="宋体" w:hAnsi="宋体"/>
          <w:color w:val="auto"/>
          <w:sz w:val="28"/>
          <w:szCs w:val="28"/>
        </w:rPr>
        <w:t>m。北侧为规划用地，厂区与规划用地中间为园区道路崛起路，北侧沿道路存在1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m），距离厂区拟建围墙3</w:t>
      </w:r>
      <w:r>
        <w:rPr>
          <w:rFonts w:ascii="宋体" w:hAnsi="宋体"/>
          <w:color w:val="auto"/>
          <w:sz w:val="28"/>
          <w:szCs w:val="28"/>
        </w:rPr>
        <w:t>0</w:t>
      </w:r>
      <w:r>
        <w:rPr>
          <w:rFonts w:hint="eastAsia" w:ascii="宋体" w:hAnsi="宋体"/>
          <w:color w:val="auto"/>
          <w:sz w:val="28"/>
          <w:szCs w:val="28"/>
        </w:rPr>
        <w:t>m；北侧沿道路同时存在园区蒸汽管道，距离项目厂区围墙约3m。最近敏感点为西侧熊家曹，距离为</w:t>
      </w:r>
      <w:r>
        <w:rPr>
          <w:rFonts w:ascii="宋体" w:hAnsi="宋体"/>
          <w:color w:val="auto"/>
          <w:sz w:val="28"/>
          <w:szCs w:val="28"/>
        </w:rPr>
        <w:t>816</w:t>
      </w:r>
      <w:r>
        <w:rPr>
          <w:rFonts w:hint="eastAsia" w:ascii="宋体" w:hAnsi="宋体"/>
          <w:color w:val="auto"/>
          <w:sz w:val="28"/>
          <w:szCs w:val="28"/>
        </w:rPr>
        <w:t>m。项目选址区位示意图详见图2-1。</w:t>
      </w:r>
    </w:p>
    <w:p>
      <w:pPr>
        <w:autoSpaceDE w:val="0"/>
        <w:autoSpaceDN w:val="0"/>
        <w:adjustRightInd w:val="0"/>
        <w:snapToGrid w:val="0"/>
        <w:rPr>
          <w:rFonts w:ascii="宋体" w:hAnsi="宋体"/>
          <w:color w:val="auto"/>
          <w:sz w:val="28"/>
          <w:szCs w:val="28"/>
        </w:rPr>
      </w:pPr>
      <w:r>
        <w:rPr>
          <w:color w:val="auto"/>
        </w:rPr>
        <w:drawing>
          <wp:inline distT="0" distB="0" distL="0" distR="0">
            <wp:extent cx="5759450" cy="3041015"/>
            <wp:effectExtent l="0" t="0" r="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0"/>
                    <a:stretch>
                      <a:fillRect/>
                    </a:stretch>
                  </pic:blipFill>
                  <pic:spPr>
                    <a:xfrm>
                      <a:off x="0" y="0"/>
                      <a:ext cx="5759450" cy="3041015"/>
                    </a:xfrm>
                    <a:prstGeom prst="rect">
                      <a:avLst/>
                    </a:prstGeom>
                  </pic:spPr>
                </pic:pic>
              </a:graphicData>
            </a:graphic>
          </wp:inline>
        </w:drawing>
      </w:r>
    </w:p>
    <w:p>
      <w:pPr>
        <w:autoSpaceDE w:val="0"/>
        <w:autoSpaceDN w:val="0"/>
        <w:adjustRightInd w:val="0"/>
        <w:snapToGrid w:val="0"/>
        <w:spacing w:line="600" w:lineRule="exact"/>
        <w:jc w:val="center"/>
        <w:rPr>
          <w:rFonts w:ascii="宋体" w:hAnsi="宋体"/>
          <w:color w:val="auto"/>
          <w:sz w:val="28"/>
          <w:szCs w:val="28"/>
        </w:rPr>
      </w:pPr>
      <w:r>
        <w:rPr>
          <w:rFonts w:hint="eastAsia" w:ascii="宋体" w:hAnsi="宋体"/>
          <w:color w:val="auto"/>
          <w:sz w:val="24"/>
        </w:rPr>
        <w:t>图2-1 项目选址示意图</w:t>
      </w:r>
    </w:p>
    <w:p>
      <w:pPr>
        <w:autoSpaceDE w:val="0"/>
        <w:autoSpaceDN w:val="0"/>
        <w:adjustRightInd w:val="0"/>
        <w:snapToGrid w:val="0"/>
        <w:spacing w:line="600" w:lineRule="exact"/>
        <w:ind w:firstLine="560" w:firstLineChars="200"/>
        <w:rPr>
          <w:color w:val="auto"/>
        </w:rPr>
      </w:pPr>
      <w:r>
        <w:rPr>
          <w:rFonts w:hint="eastAsia" w:ascii="宋体" w:hAnsi="宋体"/>
          <w:color w:val="auto"/>
          <w:sz w:val="28"/>
          <w:szCs w:val="28"/>
        </w:rPr>
        <w:t xml:space="preserve">该项目选址区域符合新干县盐化工业城土地利用总体规划，选址周边无显著污染源，无有害废弃物以及粉尘、有害气体、放射性物质和其他扩散性污染源，不易发生洪涝灾害，不会有虫害大量孳生的潜在场所，符合《工业企业总平面设计规范》（GB </w:t>
      </w:r>
      <w:r>
        <w:rPr>
          <w:rFonts w:ascii="宋体" w:hAnsi="宋体"/>
          <w:color w:val="auto"/>
          <w:sz w:val="28"/>
          <w:szCs w:val="28"/>
        </w:rPr>
        <w:t>50187</w:t>
      </w:r>
      <w:r>
        <w:rPr>
          <w:rFonts w:hint="eastAsia" w:ascii="宋体" w:hAnsi="宋体"/>
          <w:color w:val="auto"/>
          <w:sz w:val="28"/>
          <w:szCs w:val="28"/>
        </w:rPr>
        <w:t>-201</w:t>
      </w:r>
      <w:r>
        <w:rPr>
          <w:rFonts w:ascii="宋体" w:hAnsi="宋体"/>
          <w:color w:val="auto"/>
          <w:sz w:val="28"/>
          <w:szCs w:val="28"/>
        </w:rPr>
        <w:t>2</w:t>
      </w:r>
      <w:r>
        <w:rPr>
          <w:rFonts w:hint="eastAsia" w:ascii="宋体" w:hAnsi="宋体"/>
          <w:color w:val="auto"/>
          <w:sz w:val="28"/>
          <w:szCs w:val="28"/>
        </w:rPr>
        <w:t>）强制规定的场所选择与环境要求。</w:t>
      </w:r>
    </w:p>
    <w:p>
      <w:pPr>
        <w:pStyle w:val="49"/>
        <w:ind w:firstLine="560" w:firstLineChars="200"/>
        <w:rPr>
          <w:color w:val="auto"/>
          <w:sz w:val="28"/>
          <w:szCs w:val="28"/>
        </w:rPr>
      </w:pPr>
      <w:r>
        <w:rPr>
          <w:rFonts w:hint="eastAsia"/>
          <w:color w:val="auto"/>
          <w:sz w:val="28"/>
          <w:szCs w:val="28"/>
        </w:rPr>
        <w:t>3）项目周边交通、河流等分布情况</w:t>
      </w:r>
    </w:p>
    <w:p>
      <w:pPr>
        <w:adjustRightInd w:val="0"/>
        <w:snapToGrid w:val="0"/>
        <w:spacing w:line="600" w:lineRule="exact"/>
        <w:ind w:firstLine="560" w:firstLineChars="200"/>
        <w:jc w:val="left"/>
        <w:rPr>
          <w:rFonts w:ascii="宋体" w:hAnsi="宋体"/>
          <w:color w:val="auto"/>
          <w:sz w:val="28"/>
          <w:szCs w:val="28"/>
        </w:rPr>
      </w:pPr>
      <w:r>
        <w:rPr>
          <w:rFonts w:ascii="宋体" w:hAnsi="宋体"/>
          <w:color w:val="auto"/>
          <w:sz w:val="28"/>
          <w:szCs w:val="28"/>
        </w:rPr>
        <w:t>新干盐化工业城水、陆、铁路交通便利。北京</w:t>
      </w:r>
      <w:r>
        <w:rPr>
          <w:color w:val="auto"/>
          <w:sz w:val="28"/>
          <w:szCs w:val="28"/>
        </w:rPr>
        <w:t>—</w:t>
      </w:r>
      <w:r>
        <w:rPr>
          <w:rFonts w:ascii="宋体" w:hAnsi="宋体"/>
          <w:color w:val="auto"/>
          <w:sz w:val="28"/>
          <w:szCs w:val="28"/>
        </w:rPr>
        <w:t>武汉</w:t>
      </w:r>
      <w:r>
        <w:rPr>
          <w:color w:val="auto"/>
          <w:sz w:val="28"/>
          <w:szCs w:val="28"/>
        </w:rPr>
        <w:t>—</w:t>
      </w:r>
      <w:r>
        <w:rPr>
          <w:rFonts w:ascii="宋体" w:hAnsi="宋体"/>
          <w:color w:val="auto"/>
          <w:sz w:val="28"/>
          <w:szCs w:val="28"/>
        </w:rPr>
        <w:t>广州城际高速铁路将从新干县经过，并在新干县设站；盐化工业城西与</w:t>
      </w:r>
      <w:r>
        <w:rPr>
          <w:color w:val="auto"/>
          <w:sz w:val="28"/>
          <w:szCs w:val="28"/>
        </w:rPr>
        <w:t>105</w:t>
      </w:r>
      <w:r>
        <w:rPr>
          <w:rFonts w:ascii="宋体" w:hAnsi="宋体"/>
          <w:color w:val="auto"/>
          <w:sz w:val="28"/>
          <w:szCs w:val="28"/>
        </w:rPr>
        <w:t>国道相通，并毗邻京九铁路，距大洋洲铁路货运站仅</w:t>
      </w:r>
      <w:r>
        <w:rPr>
          <w:color w:val="auto"/>
          <w:sz w:val="28"/>
          <w:szCs w:val="28"/>
        </w:rPr>
        <w:t>200</w:t>
      </w:r>
      <w:r>
        <w:rPr>
          <w:rFonts w:ascii="宋体" w:hAnsi="宋体"/>
          <w:color w:val="auto"/>
          <w:sz w:val="28"/>
          <w:szCs w:val="28"/>
        </w:rPr>
        <w:t>米，距樟新铁路装卸站</w:t>
      </w:r>
      <w:r>
        <w:rPr>
          <w:color w:val="auto"/>
          <w:sz w:val="28"/>
          <w:szCs w:val="28"/>
        </w:rPr>
        <w:t>8</w:t>
      </w:r>
      <w:r>
        <w:rPr>
          <w:rFonts w:ascii="宋体" w:hAnsi="宋体"/>
          <w:color w:val="auto"/>
          <w:sz w:val="28"/>
          <w:szCs w:val="28"/>
        </w:rPr>
        <w:t>公里，并规划建设盐化工业城至铁路装卸站二级公路，直接为盐化工业城物流疏散提供便利；南面紧临新干县城；西侧约</w:t>
      </w:r>
      <w:r>
        <w:rPr>
          <w:color w:val="auto"/>
          <w:sz w:val="28"/>
          <w:szCs w:val="28"/>
        </w:rPr>
        <w:t>1.7km</w:t>
      </w:r>
      <w:r>
        <w:rPr>
          <w:rFonts w:ascii="宋体" w:hAnsi="宋体"/>
          <w:color w:val="auto"/>
          <w:sz w:val="28"/>
          <w:szCs w:val="28"/>
        </w:rPr>
        <w:t>是赣江，可常年通航，距赣江新干河西综合码头</w:t>
      </w:r>
      <w:r>
        <w:rPr>
          <w:color w:val="auto"/>
          <w:sz w:val="28"/>
          <w:szCs w:val="28"/>
        </w:rPr>
        <w:t>19</w:t>
      </w:r>
      <w:r>
        <w:rPr>
          <w:rFonts w:ascii="宋体" w:hAnsi="宋体"/>
          <w:color w:val="auto"/>
          <w:sz w:val="28"/>
          <w:szCs w:val="28"/>
        </w:rPr>
        <w:t>公里，该码头已建成</w:t>
      </w:r>
      <w:r>
        <w:rPr>
          <w:color w:val="auto"/>
          <w:sz w:val="28"/>
          <w:szCs w:val="28"/>
        </w:rPr>
        <w:t>3</w:t>
      </w:r>
      <w:r>
        <w:rPr>
          <w:rFonts w:ascii="宋体" w:hAnsi="宋体"/>
          <w:color w:val="auto"/>
          <w:sz w:val="28"/>
          <w:szCs w:val="28"/>
        </w:rPr>
        <w:t>个</w:t>
      </w:r>
      <w:r>
        <w:rPr>
          <w:color w:val="auto"/>
          <w:sz w:val="28"/>
          <w:szCs w:val="28"/>
        </w:rPr>
        <w:t>500</w:t>
      </w:r>
      <w:r>
        <w:rPr>
          <w:rFonts w:ascii="宋体" w:hAnsi="宋体"/>
          <w:color w:val="auto"/>
          <w:sz w:val="28"/>
          <w:szCs w:val="28"/>
        </w:rPr>
        <w:t>吨级泊位，还将扩建</w:t>
      </w:r>
      <w:r>
        <w:rPr>
          <w:color w:val="auto"/>
          <w:sz w:val="28"/>
          <w:szCs w:val="28"/>
        </w:rPr>
        <w:t>2</w:t>
      </w:r>
      <w:r>
        <w:rPr>
          <w:rFonts w:ascii="宋体" w:hAnsi="宋体"/>
          <w:color w:val="auto"/>
          <w:sz w:val="28"/>
          <w:szCs w:val="28"/>
        </w:rPr>
        <w:t>个</w:t>
      </w:r>
      <w:r>
        <w:rPr>
          <w:color w:val="auto"/>
          <w:sz w:val="28"/>
          <w:szCs w:val="28"/>
        </w:rPr>
        <w:t>500</w:t>
      </w:r>
      <w:r>
        <w:rPr>
          <w:rFonts w:ascii="宋体" w:hAnsi="宋体"/>
          <w:color w:val="auto"/>
          <w:sz w:val="28"/>
          <w:szCs w:val="28"/>
        </w:rPr>
        <w:t>吨级泊位，是江西省赣江流域最大的县级赣江货运码头；工业城距九江港长江码头（万吨级）</w:t>
      </w:r>
      <w:r>
        <w:rPr>
          <w:color w:val="auto"/>
          <w:sz w:val="28"/>
          <w:szCs w:val="28"/>
        </w:rPr>
        <w:t>215</w:t>
      </w:r>
      <w:r>
        <w:rPr>
          <w:rFonts w:ascii="宋体" w:hAnsi="宋体"/>
          <w:color w:val="auto"/>
          <w:sz w:val="28"/>
          <w:szCs w:val="28"/>
        </w:rPr>
        <w:t>公里，距赣粤高速公路</w:t>
      </w:r>
      <w:r>
        <w:rPr>
          <w:color w:val="auto"/>
          <w:sz w:val="28"/>
          <w:szCs w:val="28"/>
        </w:rPr>
        <w:t>25</w:t>
      </w:r>
      <w:r>
        <w:rPr>
          <w:rFonts w:ascii="宋体" w:hAnsi="宋体"/>
          <w:color w:val="auto"/>
          <w:sz w:val="28"/>
          <w:szCs w:val="28"/>
        </w:rPr>
        <w:t>公里，距南昌昌北机场</w:t>
      </w:r>
      <w:r>
        <w:rPr>
          <w:color w:val="auto"/>
          <w:sz w:val="28"/>
          <w:szCs w:val="28"/>
        </w:rPr>
        <w:t>130</w:t>
      </w:r>
      <w:r>
        <w:rPr>
          <w:rFonts w:ascii="宋体" w:hAnsi="宋体"/>
          <w:color w:val="auto"/>
          <w:sz w:val="28"/>
          <w:szCs w:val="28"/>
        </w:rPr>
        <w:t>公里，距长沙</w:t>
      </w:r>
      <w:r>
        <w:rPr>
          <w:color w:val="auto"/>
          <w:sz w:val="28"/>
          <w:szCs w:val="28"/>
        </w:rPr>
        <w:t>4</w:t>
      </w:r>
      <w:r>
        <w:rPr>
          <w:rFonts w:ascii="宋体" w:hAnsi="宋体"/>
          <w:color w:val="auto"/>
          <w:sz w:val="28"/>
          <w:szCs w:val="28"/>
        </w:rPr>
        <w:t>小时车程，距广州、杭州、福州均</w:t>
      </w:r>
      <w:r>
        <w:rPr>
          <w:color w:val="auto"/>
          <w:sz w:val="28"/>
          <w:szCs w:val="28"/>
        </w:rPr>
        <w:t>6</w:t>
      </w:r>
      <w:r>
        <w:rPr>
          <w:rFonts w:ascii="宋体" w:hAnsi="宋体"/>
          <w:color w:val="auto"/>
          <w:sz w:val="28"/>
          <w:szCs w:val="28"/>
        </w:rPr>
        <w:t>小时车程。</w:t>
      </w:r>
    </w:p>
    <w:p>
      <w:pPr>
        <w:adjustRightInd w:val="0"/>
        <w:snapToGrid w:val="0"/>
        <w:spacing w:line="600" w:lineRule="exact"/>
        <w:ind w:firstLine="560" w:firstLineChars="200"/>
        <w:jc w:val="left"/>
        <w:rPr>
          <w:rFonts w:ascii="宋体" w:hAnsi="宋体"/>
          <w:color w:val="auto"/>
          <w:kern w:val="0"/>
          <w:sz w:val="28"/>
          <w:szCs w:val="28"/>
        </w:rPr>
      </w:pPr>
      <w:r>
        <w:rPr>
          <w:rFonts w:hint="eastAsia" w:ascii="宋体" w:hAnsi="宋体"/>
          <w:color w:val="auto"/>
          <w:sz w:val="28"/>
          <w:szCs w:val="28"/>
        </w:rPr>
        <w:t>该项目厂区东面连接新干县盐化工业城盐化大道，交通运输条件便利。</w:t>
      </w:r>
    </w:p>
    <w:p>
      <w:pPr>
        <w:spacing w:line="600" w:lineRule="exact"/>
        <w:ind w:firstLine="560" w:firstLineChars="200"/>
        <w:rPr>
          <w:color w:val="auto"/>
        </w:rPr>
      </w:pPr>
      <w:r>
        <w:rPr>
          <w:rFonts w:hint="eastAsia" w:ascii="宋体" w:hAnsi="宋体"/>
          <w:color w:val="auto"/>
          <w:kern w:val="0"/>
          <w:sz w:val="28"/>
          <w:szCs w:val="28"/>
        </w:rPr>
        <w:t>厂址周边1000m范围内无商业中心、公园等人员密集场所及重要公共设施。项目周边1000m范围内无基本农田保护区、基本草原、畜禽遗传资源保护区、畜禽规模化养殖场（养殖小区）、渔业水域以及种子、种畜禽、水产苗种生产基地；项目周边</w:t>
      </w:r>
      <w:r>
        <w:rPr>
          <w:rFonts w:hint="eastAsia" w:ascii="宋体" w:hAnsi="宋体"/>
          <w:color w:val="auto"/>
          <w:sz w:val="28"/>
          <w:szCs w:val="28"/>
        </w:rPr>
        <w:t>1000m范围内无</w:t>
      </w:r>
      <w:r>
        <w:rPr>
          <w:rFonts w:hint="eastAsia" w:ascii="宋体" w:hAnsi="宋体"/>
          <w:color w:val="auto"/>
          <w:kern w:val="0"/>
          <w:sz w:val="28"/>
          <w:szCs w:val="28"/>
        </w:rPr>
        <w:t>湖泊、风景名胜区和自然保护区。项目周边无军事禁区、军事管理区；项目周边无法律、行政法规规定予以保护的其他区域。</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因此，厂址周边已经形成了以公路为主，公路、铁路、水路和空运并举的交通网络，交通条件非常便捷。</w:t>
      </w:r>
    </w:p>
    <w:p>
      <w:pPr>
        <w:autoSpaceDE w:val="0"/>
        <w:autoSpaceDN w:val="0"/>
        <w:adjustRightInd w:val="0"/>
        <w:snapToGrid w:val="0"/>
        <w:spacing w:line="600" w:lineRule="exact"/>
        <w:ind w:firstLine="560" w:firstLineChars="200"/>
        <w:rPr>
          <w:rFonts w:ascii="宋体" w:hAnsi="宋体"/>
          <w:color w:val="auto"/>
          <w:sz w:val="28"/>
          <w:szCs w:val="28"/>
        </w:rPr>
      </w:pPr>
    </w:p>
    <w:p>
      <w:pPr>
        <w:autoSpaceDE w:val="0"/>
        <w:autoSpaceDN w:val="0"/>
        <w:adjustRightInd w:val="0"/>
        <w:snapToGrid w:val="0"/>
        <w:spacing w:line="600" w:lineRule="exact"/>
        <w:ind w:firstLine="560" w:firstLineChars="200"/>
        <w:rPr>
          <w:rFonts w:ascii="宋体" w:hAnsi="宋体"/>
          <w:color w:val="auto"/>
          <w:sz w:val="28"/>
          <w:szCs w:val="28"/>
        </w:rPr>
      </w:pPr>
      <w:r>
        <w:rPr>
          <w:rFonts w:ascii="宋体" w:hAnsi="宋体"/>
          <w:color w:val="auto"/>
          <w:sz w:val="28"/>
          <w:szCs w:val="28"/>
        </w:rPr>
        <w:t>4</w:t>
      </w:r>
      <w:r>
        <w:rPr>
          <w:rFonts w:hint="eastAsia" w:ascii="宋体" w:hAnsi="宋体"/>
          <w:color w:val="auto"/>
          <w:sz w:val="28"/>
          <w:szCs w:val="28"/>
        </w:rPr>
        <w:t>）项目外部依托条件</w:t>
      </w:r>
    </w:p>
    <w:p>
      <w:pPr>
        <w:autoSpaceDE w:val="0"/>
        <w:spacing w:line="360" w:lineRule="auto"/>
        <w:ind w:firstLine="560" w:firstLineChars="200"/>
        <w:rPr>
          <w:color w:val="auto"/>
          <w:sz w:val="28"/>
          <w:szCs w:val="28"/>
        </w:rPr>
      </w:pPr>
      <w:r>
        <w:rPr>
          <w:rFonts w:ascii="宋体" w:hAnsi="宋体"/>
          <w:color w:val="auto"/>
          <w:sz w:val="28"/>
          <w:szCs w:val="28"/>
        </w:rPr>
        <w:t>（</w:t>
      </w:r>
      <w:r>
        <w:rPr>
          <w:color w:val="auto"/>
          <w:sz w:val="28"/>
          <w:szCs w:val="28"/>
        </w:rPr>
        <w:t>1</w:t>
      </w:r>
      <w:r>
        <w:rPr>
          <w:rFonts w:ascii="宋体" w:hAnsi="宋体"/>
          <w:color w:val="auto"/>
          <w:sz w:val="28"/>
          <w:szCs w:val="28"/>
        </w:rPr>
        <w:t>）水源供应情况</w:t>
      </w:r>
    </w:p>
    <w:p>
      <w:pPr>
        <w:autoSpaceDE w:val="0"/>
        <w:spacing w:line="360" w:lineRule="auto"/>
        <w:ind w:firstLine="560" w:firstLineChars="200"/>
        <w:rPr>
          <w:color w:val="auto"/>
          <w:sz w:val="28"/>
          <w:szCs w:val="28"/>
        </w:rPr>
      </w:pPr>
      <w:r>
        <w:rPr>
          <w:rFonts w:ascii="宋体" w:hAnsi="宋体"/>
          <w:color w:val="auto"/>
          <w:sz w:val="28"/>
          <w:szCs w:val="28"/>
        </w:rPr>
        <w:t>新干盐化工业城现建有一个自来水厂，供水能力</w:t>
      </w:r>
      <w:r>
        <w:rPr>
          <w:color w:val="auto"/>
          <w:sz w:val="28"/>
          <w:szCs w:val="28"/>
        </w:rPr>
        <w:t>5</w:t>
      </w:r>
      <w:r>
        <w:rPr>
          <w:rFonts w:ascii="宋体" w:hAnsi="宋体"/>
          <w:color w:val="auto"/>
          <w:sz w:val="28"/>
          <w:szCs w:val="28"/>
        </w:rPr>
        <w:t>万</w:t>
      </w:r>
      <w:r>
        <w:rPr>
          <w:color w:val="auto"/>
          <w:sz w:val="28"/>
          <w:szCs w:val="28"/>
        </w:rPr>
        <w:t>t/d</w:t>
      </w:r>
      <w:r>
        <w:rPr>
          <w:rFonts w:ascii="宋体" w:hAnsi="宋体"/>
          <w:color w:val="auto"/>
          <w:sz w:val="28"/>
          <w:szCs w:val="28"/>
        </w:rPr>
        <w:t>，供水压力</w:t>
      </w:r>
      <w:r>
        <w:rPr>
          <w:color w:val="auto"/>
          <w:sz w:val="28"/>
          <w:szCs w:val="28"/>
        </w:rPr>
        <w:t>0.5MPa</w:t>
      </w:r>
      <w:r>
        <w:rPr>
          <w:rFonts w:ascii="宋体" w:hAnsi="宋体"/>
          <w:color w:val="auto"/>
          <w:sz w:val="28"/>
          <w:szCs w:val="28"/>
        </w:rPr>
        <w:t>。该水厂占地面积</w:t>
      </w:r>
      <w:r>
        <w:rPr>
          <w:color w:val="auto"/>
          <w:sz w:val="28"/>
          <w:szCs w:val="28"/>
        </w:rPr>
        <w:t>41.33</w:t>
      </w:r>
      <w:r>
        <w:rPr>
          <w:rFonts w:ascii="宋体" w:hAnsi="宋体"/>
          <w:color w:val="auto"/>
          <w:sz w:val="28"/>
          <w:szCs w:val="28"/>
        </w:rPr>
        <w:t>亩，水源取自赣江。现状供水管网基本为枝状，现有给水主管管径为</w:t>
      </w:r>
      <w:r>
        <w:rPr>
          <w:color w:val="auto"/>
          <w:sz w:val="28"/>
          <w:szCs w:val="28"/>
        </w:rPr>
        <w:t>DN500~DN200</w:t>
      </w:r>
      <w:r>
        <w:rPr>
          <w:rFonts w:ascii="宋体" w:hAnsi="宋体"/>
          <w:color w:val="auto"/>
          <w:sz w:val="28"/>
          <w:szCs w:val="28"/>
        </w:rPr>
        <w:t>，管网总长约</w:t>
      </w:r>
      <w:r>
        <w:rPr>
          <w:color w:val="auto"/>
          <w:sz w:val="28"/>
          <w:szCs w:val="28"/>
        </w:rPr>
        <w:t>28km</w:t>
      </w:r>
      <w:r>
        <w:rPr>
          <w:rFonts w:ascii="宋体" w:hAnsi="宋体"/>
          <w:color w:val="auto"/>
          <w:sz w:val="28"/>
          <w:szCs w:val="28"/>
        </w:rPr>
        <w:t>，管网末端水压为</w:t>
      </w:r>
      <w:r>
        <w:rPr>
          <w:color w:val="auto"/>
          <w:sz w:val="28"/>
          <w:szCs w:val="28"/>
        </w:rPr>
        <w:t>0.12MPa</w:t>
      </w:r>
      <w:r>
        <w:rPr>
          <w:rFonts w:ascii="宋体" w:hAnsi="宋体"/>
          <w:color w:val="auto"/>
          <w:sz w:val="28"/>
          <w:szCs w:val="28"/>
        </w:rPr>
        <w:t>～</w:t>
      </w:r>
      <w:r>
        <w:rPr>
          <w:color w:val="auto"/>
          <w:sz w:val="28"/>
          <w:szCs w:val="28"/>
        </w:rPr>
        <w:t>0.2MPa</w:t>
      </w:r>
      <w:r>
        <w:rPr>
          <w:rFonts w:ascii="宋体" w:hAnsi="宋体"/>
          <w:color w:val="auto"/>
          <w:sz w:val="28"/>
          <w:szCs w:val="28"/>
        </w:rPr>
        <w:t>。该公司的用水直接接自化工园区给水管道。</w:t>
      </w:r>
    </w:p>
    <w:p>
      <w:pPr>
        <w:autoSpaceDE w:val="0"/>
        <w:spacing w:line="360" w:lineRule="auto"/>
        <w:ind w:firstLine="560" w:firstLineChars="200"/>
        <w:rPr>
          <w:color w:val="auto"/>
          <w:sz w:val="28"/>
          <w:szCs w:val="28"/>
        </w:rPr>
      </w:pPr>
      <w:r>
        <w:rPr>
          <w:rFonts w:ascii="宋体" w:hAnsi="宋体"/>
          <w:color w:val="auto"/>
          <w:sz w:val="28"/>
          <w:szCs w:val="28"/>
        </w:rPr>
        <w:t>（</w:t>
      </w:r>
      <w:r>
        <w:rPr>
          <w:color w:val="auto"/>
          <w:sz w:val="28"/>
          <w:szCs w:val="28"/>
        </w:rPr>
        <w:t>2</w:t>
      </w:r>
      <w:r>
        <w:rPr>
          <w:rFonts w:ascii="宋体" w:hAnsi="宋体"/>
          <w:color w:val="auto"/>
          <w:sz w:val="28"/>
          <w:szCs w:val="28"/>
        </w:rPr>
        <w:t>）供电情况</w:t>
      </w:r>
    </w:p>
    <w:p>
      <w:pPr>
        <w:autoSpaceDE w:val="0"/>
        <w:spacing w:line="360" w:lineRule="auto"/>
        <w:ind w:firstLine="560" w:firstLineChars="200"/>
        <w:rPr>
          <w:color w:val="auto"/>
          <w:sz w:val="28"/>
          <w:szCs w:val="28"/>
        </w:rPr>
      </w:pPr>
      <w:r>
        <w:rPr>
          <w:rFonts w:ascii="宋体" w:hAnsi="宋体"/>
          <w:color w:val="auto"/>
          <w:sz w:val="28"/>
          <w:szCs w:val="28"/>
        </w:rPr>
        <w:t>新干县盐化城现有两条从</w:t>
      </w:r>
      <w:r>
        <w:rPr>
          <w:color w:val="auto"/>
          <w:sz w:val="28"/>
          <w:szCs w:val="28"/>
        </w:rPr>
        <w:t>220kV</w:t>
      </w:r>
      <w:r>
        <w:rPr>
          <w:rFonts w:ascii="宋体" w:hAnsi="宋体"/>
          <w:color w:val="auto"/>
          <w:sz w:val="28"/>
          <w:szCs w:val="28"/>
        </w:rPr>
        <w:t>溧江变至该城的</w:t>
      </w:r>
      <w:r>
        <w:rPr>
          <w:color w:val="auto"/>
          <w:sz w:val="28"/>
          <w:szCs w:val="28"/>
        </w:rPr>
        <w:t>110kV</w:t>
      </w:r>
      <w:r>
        <w:rPr>
          <w:rFonts w:ascii="宋体" w:hAnsi="宋体"/>
          <w:color w:val="auto"/>
          <w:sz w:val="28"/>
          <w:szCs w:val="28"/>
        </w:rPr>
        <w:t>专用线路，分别供应江西兰太化工、江西碱业两大企业用电。盐化城双回</w:t>
      </w:r>
      <w:r>
        <w:rPr>
          <w:color w:val="auto"/>
          <w:sz w:val="28"/>
          <w:szCs w:val="28"/>
        </w:rPr>
        <w:t>10kV</w:t>
      </w:r>
      <w:r>
        <w:rPr>
          <w:rFonts w:ascii="宋体" w:hAnsi="宋体"/>
          <w:color w:val="auto"/>
          <w:sz w:val="28"/>
          <w:szCs w:val="28"/>
        </w:rPr>
        <w:t>线路直接从溧江</w:t>
      </w:r>
      <w:r>
        <w:rPr>
          <w:color w:val="auto"/>
          <w:sz w:val="28"/>
          <w:szCs w:val="28"/>
        </w:rPr>
        <w:t>220kV</w:t>
      </w:r>
      <w:r>
        <w:rPr>
          <w:rFonts w:ascii="宋体" w:hAnsi="宋体"/>
          <w:color w:val="auto"/>
          <w:sz w:val="28"/>
          <w:szCs w:val="28"/>
        </w:rPr>
        <w:t>变电站供电，每回线路供电能力达到</w:t>
      </w:r>
      <w:r>
        <w:rPr>
          <w:color w:val="auto"/>
          <w:sz w:val="28"/>
          <w:szCs w:val="28"/>
        </w:rPr>
        <w:t>10000kVA</w:t>
      </w:r>
      <w:r>
        <w:rPr>
          <w:rFonts w:ascii="宋体" w:hAnsi="宋体"/>
          <w:color w:val="auto"/>
          <w:sz w:val="28"/>
          <w:szCs w:val="28"/>
        </w:rPr>
        <w:t>。</w:t>
      </w:r>
    </w:p>
    <w:p>
      <w:pPr>
        <w:autoSpaceDE w:val="0"/>
        <w:spacing w:line="360" w:lineRule="auto"/>
        <w:ind w:firstLine="560" w:firstLineChars="200"/>
        <w:rPr>
          <w:color w:val="auto"/>
          <w:sz w:val="28"/>
          <w:szCs w:val="28"/>
        </w:rPr>
      </w:pPr>
      <w:r>
        <w:rPr>
          <w:rFonts w:ascii="宋体" w:hAnsi="宋体"/>
          <w:color w:val="auto"/>
          <w:sz w:val="28"/>
          <w:szCs w:val="28"/>
        </w:rPr>
        <w:t>大洋洲</w:t>
      </w:r>
      <w:r>
        <w:rPr>
          <w:color w:val="auto"/>
          <w:sz w:val="28"/>
          <w:szCs w:val="28"/>
        </w:rPr>
        <w:t>35kV</w:t>
      </w:r>
      <w:r>
        <w:rPr>
          <w:rFonts w:ascii="宋体" w:hAnsi="宋体"/>
          <w:color w:val="auto"/>
          <w:sz w:val="28"/>
          <w:szCs w:val="28"/>
        </w:rPr>
        <w:t>变电站，两台容量分别为</w:t>
      </w:r>
      <w:r>
        <w:rPr>
          <w:color w:val="auto"/>
          <w:sz w:val="28"/>
          <w:szCs w:val="28"/>
        </w:rPr>
        <w:t>8000</w:t>
      </w:r>
      <w:r>
        <w:rPr>
          <w:rFonts w:ascii="宋体" w:hAnsi="宋体"/>
          <w:color w:val="auto"/>
          <w:sz w:val="28"/>
          <w:szCs w:val="28"/>
        </w:rPr>
        <w:t>、</w:t>
      </w:r>
      <w:r>
        <w:rPr>
          <w:color w:val="auto"/>
          <w:sz w:val="28"/>
          <w:szCs w:val="28"/>
        </w:rPr>
        <w:t>6300kVA</w:t>
      </w:r>
      <w:r>
        <w:rPr>
          <w:rFonts w:ascii="宋体" w:hAnsi="宋体"/>
          <w:color w:val="auto"/>
          <w:sz w:val="28"/>
          <w:szCs w:val="28"/>
        </w:rPr>
        <w:t>的主变，一条</w:t>
      </w:r>
      <w:r>
        <w:rPr>
          <w:color w:val="auto"/>
          <w:sz w:val="28"/>
          <w:szCs w:val="28"/>
        </w:rPr>
        <w:t>10kV</w:t>
      </w:r>
      <w:r>
        <w:rPr>
          <w:rFonts w:ascii="宋体" w:hAnsi="宋体"/>
          <w:color w:val="auto"/>
          <w:sz w:val="28"/>
          <w:szCs w:val="28"/>
        </w:rPr>
        <w:t>主线供电。新干县盐化城企业实现</w:t>
      </w:r>
      <w:r>
        <w:rPr>
          <w:color w:val="auto"/>
          <w:sz w:val="28"/>
          <w:szCs w:val="28"/>
        </w:rPr>
        <w:t>10kV</w:t>
      </w:r>
      <w:r>
        <w:rPr>
          <w:rFonts w:ascii="宋体" w:hAnsi="宋体"/>
          <w:color w:val="auto"/>
          <w:sz w:val="28"/>
          <w:szCs w:val="28"/>
        </w:rPr>
        <w:t>双电源供电。</w:t>
      </w:r>
    </w:p>
    <w:p>
      <w:pPr>
        <w:autoSpaceDE w:val="0"/>
        <w:spacing w:line="360" w:lineRule="auto"/>
        <w:ind w:firstLine="560" w:firstLineChars="200"/>
        <w:rPr>
          <w:color w:val="auto"/>
          <w:sz w:val="28"/>
          <w:szCs w:val="28"/>
        </w:rPr>
      </w:pPr>
      <w:r>
        <w:rPr>
          <w:rFonts w:ascii="宋体" w:hAnsi="宋体"/>
          <w:color w:val="auto"/>
          <w:sz w:val="28"/>
          <w:szCs w:val="28"/>
        </w:rPr>
        <w:t>（</w:t>
      </w:r>
      <w:r>
        <w:rPr>
          <w:color w:val="auto"/>
          <w:sz w:val="28"/>
          <w:szCs w:val="28"/>
        </w:rPr>
        <w:t>3</w:t>
      </w:r>
      <w:r>
        <w:rPr>
          <w:rFonts w:ascii="宋体" w:hAnsi="宋体"/>
          <w:color w:val="auto"/>
          <w:sz w:val="28"/>
          <w:szCs w:val="28"/>
        </w:rPr>
        <w:t>）供热情况</w:t>
      </w:r>
    </w:p>
    <w:p>
      <w:pPr>
        <w:autoSpaceDE w:val="0"/>
        <w:spacing w:line="360" w:lineRule="auto"/>
        <w:ind w:firstLine="560" w:firstLineChars="200"/>
        <w:rPr>
          <w:color w:val="auto"/>
          <w:sz w:val="28"/>
          <w:szCs w:val="28"/>
        </w:rPr>
      </w:pPr>
      <w:r>
        <w:rPr>
          <w:rFonts w:ascii="宋体" w:hAnsi="宋体"/>
          <w:color w:val="auto"/>
          <w:sz w:val="28"/>
          <w:szCs w:val="28"/>
        </w:rPr>
        <w:t>新干盐化工业城热电厂铂瑞能源（新干）公司设计有</w:t>
      </w:r>
      <w:r>
        <w:rPr>
          <w:color w:val="auto"/>
          <w:sz w:val="28"/>
          <w:szCs w:val="28"/>
        </w:rPr>
        <w:t>2×6000kW</w:t>
      </w:r>
      <w:r>
        <w:rPr>
          <w:rFonts w:ascii="宋体" w:hAnsi="宋体"/>
          <w:color w:val="auto"/>
          <w:sz w:val="28"/>
          <w:szCs w:val="28"/>
        </w:rPr>
        <w:t>抽凝发电机组，</w:t>
      </w:r>
      <w:r>
        <w:rPr>
          <w:color w:val="auto"/>
          <w:sz w:val="28"/>
          <w:szCs w:val="28"/>
        </w:rPr>
        <w:t>2</w:t>
      </w:r>
      <w:r>
        <w:rPr>
          <w:rFonts w:ascii="宋体" w:hAnsi="宋体"/>
          <w:color w:val="auto"/>
          <w:sz w:val="28"/>
          <w:szCs w:val="28"/>
        </w:rPr>
        <w:t>台</w:t>
      </w:r>
      <w:r>
        <w:rPr>
          <w:color w:val="auto"/>
          <w:sz w:val="28"/>
          <w:szCs w:val="28"/>
        </w:rPr>
        <w:t>75t/h</w:t>
      </w:r>
      <w:r>
        <w:rPr>
          <w:rFonts w:ascii="宋体" w:hAnsi="宋体"/>
          <w:color w:val="auto"/>
          <w:sz w:val="28"/>
          <w:szCs w:val="28"/>
        </w:rPr>
        <w:t>次高压流化床锅炉，热力管网已通过了安全设施竣工验收，主要提供出口压力</w:t>
      </w:r>
      <w:r>
        <w:rPr>
          <w:color w:val="auto"/>
          <w:sz w:val="28"/>
          <w:szCs w:val="28"/>
        </w:rPr>
        <w:t>1.0MPa</w:t>
      </w:r>
      <w:r>
        <w:rPr>
          <w:rFonts w:ascii="宋体" w:hAnsi="宋体"/>
          <w:color w:val="auto"/>
          <w:sz w:val="28"/>
          <w:szCs w:val="28"/>
        </w:rPr>
        <w:t>，温度</w:t>
      </w:r>
      <w:r>
        <w:rPr>
          <w:color w:val="auto"/>
          <w:sz w:val="28"/>
          <w:szCs w:val="28"/>
        </w:rPr>
        <w:t>220℃</w:t>
      </w:r>
      <w:r>
        <w:rPr>
          <w:rFonts w:ascii="宋体" w:hAnsi="宋体"/>
          <w:color w:val="auto"/>
          <w:sz w:val="28"/>
          <w:szCs w:val="28"/>
        </w:rPr>
        <w:t>过热蒸汽。</w:t>
      </w:r>
    </w:p>
    <w:p>
      <w:pPr>
        <w:autoSpaceDE w:val="0"/>
        <w:spacing w:line="360" w:lineRule="auto"/>
        <w:ind w:firstLine="560" w:firstLineChars="200"/>
        <w:rPr>
          <w:color w:val="auto"/>
          <w:sz w:val="28"/>
          <w:szCs w:val="28"/>
        </w:rPr>
      </w:pPr>
      <w:r>
        <w:rPr>
          <w:rFonts w:ascii="宋体" w:hAnsi="宋体"/>
          <w:color w:val="auto"/>
          <w:sz w:val="28"/>
          <w:szCs w:val="28"/>
        </w:rPr>
        <w:t>（</w:t>
      </w:r>
      <w:r>
        <w:rPr>
          <w:color w:val="auto"/>
          <w:sz w:val="28"/>
          <w:szCs w:val="28"/>
        </w:rPr>
        <w:t>4</w:t>
      </w:r>
      <w:r>
        <w:rPr>
          <w:rFonts w:ascii="宋体" w:hAnsi="宋体"/>
          <w:color w:val="auto"/>
          <w:sz w:val="28"/>
          <w:szCs w:val="28"/>
        </w:rPr>
        <w:t>）消防设施</w:t>
      </w:r>
    </w:p>
    <w:p>
      <w:pPr>
        <w:autoSpaceDE w:val="0"/>
        <w:spacing w:line="360" w:lineRule="auto"/>
        <w:ind w:firstLine="560" w:firstLineChars="200"/>
        <w:rPr>
          <w:color w:val="auto"/>
          <w:sz w:val="28"/>
          <w:szCs w:val="28"/>
        </w:rPr>
      </w:pPr>
      <w:r>
        <w:rPr>
          <w:rFonts w:ascii="宋体" w:hAnsi="宋体"/>
          <w:color w:val="auto"/>
          <w:sz w:val="28"/>
          <w:szCs w:val="28"/>
        </w:rPr>
        <w:t>新干县目前设有</w:t>
      </w:r>
      <w:r>
        <w:rPr>
          <w:color w:val="auto"/>
          <w:sz w:val="28"/>
          <w:szCs w:val="28"/>
        </w:rPr>
        <w:t>1</w:t>
      </w:r>
      <w:r>
        <w:rPr>
          <w:rFonts w:ascii="宋体" w:hAnsi="宋体"/>
          <w:color w:val="auto"/>
          <w:sz w:val="28"/>
          <w:szCs w:val="28"/>
        </w:rPr>
        <w:t>个</w:t>
      </w:r>
      <w:r>
        <w:rPr>
          <w:rFonts w:hint="eastAsia" w:ascii="宋体" w:hAnsi="宋体"/>
          <w:color w:val="auto"/>
          <w:sz w:val="28"/>
          <w:szCs w:val="28"/>
        </w:rPr>
        <w:t>消防救援大队</w:t>
      </w:r>
      <w:r>
        <w:rPr>
          <w:rFonts w:ascii="宋体" w:hAnsi="宋体"/>
          <w:color w:val="auto"/>
          <w:sz w:val="28"/>
          <w:szCs w:val="28"/>
        </w:rPr>
        <w:t>、</w:t>
      </w:r>
      <w:r>
        <w:rPr>
          <w:color w:val="auto"/>
          <w:sz w:val="28"/>
          <w:szCs w:val="28"/>
        </w:rPr>
        <w:t>3</w:t>
      </w:r>
      <w:r>
        <w:rPr>
          <w:rFonts w:ascii="宋体" w:hAnsi="宋体"/>
          <w:color w:val="auto"/>
          <w:sz w:val="28"/>
          <w:szCs w:val="28"/>
        </w:rPr>
        <w:t>个消防中队共</w:t>
      </w:r>
      <w:r>
        <w:rPr>
          <w:color w:val="auto"/>
          <w:sz w:val="28"/>
          <w:szCs w:val="28"/>
        </w:rPr>
        <w:t>15</w:t>
      </w:r>
      <w:r>
        <w:rPr>
          <w:rFonts w:ascii="宋体" w:hAnsi="宋体"/>
          <w:color w:val="auto"/>
          <w:sz w:val="28"/>
          <w:szCs w:val="28"/>
        </w:rPr>
        <w:t>辆消防车，包括多辆特种消防车辆。园区的市政消火栓沿盐化工业城道路布置，间距不超过</w:t>
      </w:r>
      <w:r>
        <w:rPr>
          <w:color w:val="auto"/>
          <w:sz w:val="28"/>
          <w:szCs w:val="28"/>
        </w:rPr>
        <w:t>120m</w:t>
      </w:r>
      <w:r>
        <w:rPr>
          <w:rFonts w:ascii="宋体" w:hAnsi="宋体"/>
          <w:color w:val="auto"/>
          <w:sz w:val="28"/>
          <w:szCs w:val="28"/>
        </w:rPr>
        <w:t>。各企业均建有完善的消防设施或自备消防站，临近区域内还驻有多个消防中队可供支援调遣，可确保企业的消防安全。</w:t>
      </w:r>
    </w:p>
    <w:p>
      <w:pPr>
        <w:autoSpaceDE w:val="0"/>
        <w:spacing w:line="360" w:lineRule="auto"/>
        <w:ind w:firstLine="560" w:firstLineChars="200"/>
        <w:rPr>
          <w:color w:val="auto"/>
          <w:sz w:val="28"/>
          <w:szCs w:val="28"/>
        </w:rPr>
      </w:pPr>
      <w:r>
        <w:rPr>
          <w:rFonts w:ascii="宋体" w:hAnsi="宋体"/>
          <w:color w:val="auto"/>
          <w:sz w:val="28"/>
          <w:szCs w:val="28"/>
        </w:rPr>
        <w:t>（</w:t>
      </w:r>
      <w:r>
        <w:rPr>
          <w:color w:val="auto"/>
          <w:sz w:val="28"/>
          <w:szCs w:val="28"/>
        </w:rPr>
        <w:t>5</w:t>
      </w:r>
      <w:r>
        <w:rPr>
          <w:rFonts w:ascii="宋体" w:hAnsi="宋体"/>
          <w:color w:val="auto"/>
          <w:sz w:val="28"/>
          <w:szCs w:val="28"/>
        </w:rPr>
        <w:t>）厂外运输</w:t>
      </w:r>
    </w:p>
    <w:p>
      <w:pPr>
        <w:autoSpaceDE w:val="0"/>
        <w:spacing w:line="360" w:lineRule="auto"/>
        <w:ind w:firstLine="560" w:firstLineChars="200"/>
        <w:rPr>
          <w:color w:val="auto"/>
          <w:sz w:val="28"/>
          <w:szCs w:val="28"/>
        </w:rPr>
      </w:pPr>
      <w:r>
        <w:rPr>
          <w:rFonts w:ascii="宋体" w:hAnsi="宋体"/>
          <w:color w:val="auto"/>
          <w:sz w:val="28"/>
          <w:szCs w:val="28"/>
        </w:rPr>
        <w:t>新干县位于江西省中部、赣江中游，是吉安市的</w:t>
      </w:r>
      <w:r>
        <w:rPr>
          <w:color w:val="auto"/>
          <w:sz w:val="28"/>
          <w:szCs w:val="28"/>
        </w:rPr>
        <w:t>“</w:t>
      </w:r>
      <w:r>
        <w:rPr>
          <w:rFonts w:ascii="宋体" w:hAnsi="宋体"/>
          <w:color w:val="auto"/>
          <w:sz w:val="28"/>
          <w:szCs w:val="28"/>
        </w:rPr>
        <w:t>北大门</w:t>
      </w:r>
      <w:r>
        <w:rPr>
          <w:color w:val="auto"/>
          <w:sz w:val="28"/>
          <w:szCs w:val="28"/>
        </w:rPr>
        <w:t>”</w:t>
      </w:r>
      <w:r>
        <w:rPr>
          <w:rFonts w:ascii="宋体" w:hAnsi="宋体"/>
          <w:color w:val="auto"/>
          <w:sz w:val="28"/>
          <w:szCs w:val="28"/>
        </w:rPr>
        <w:t>，自古为赣粤交通要道的赣中重地，京九铁路、</w:t>
      </w:r>
      <w:r>
        <w:rPr>
          <w:color w:val="auto"/>
          <w:sz w:val="28"/>
          <w:szCs w:val="28"/>
        </w:rPr>
        <w:t>105</w:t>
      </w:r>
      <w:r>
        <w:rPr>
          <w:rFonts w:ascii="宋体" w:hAnsi="宋体"/>
          <w:color w:val="auto"/>
          <w:sz w:val="28"/>
          <w:szCs w:val="28"/>
        </w:rPr>
        <w:t>国道、赣粤高速公路贯穿全境，盐化工业城旁有</w:t>
      </w:r>
      <w:r>
        <w:rPr>
          <w:color w:val="auto"/>
          <w:sz w:val="28"/>
          <w:szCs w:val="28"/>
        </w:rPr>
        <w:t>105</w:t>
      </w:r>
      <w:r>
        <w:rPr>
          <w:rFonts w:ascii="宋体" w:hAnsi="宋体"/>
          <w:color w:val="auto"/>
          <w:sz w:val="28"/>
          <w:szCs w:val="28"/>
        </w:rPr>
        <w:t>国道、京九铁路通过，盐化工业城有园区道路与</w:t>
      </w:r>
      <w:r>
        <w:rPr>
          <w:color w:val="auto"/>
          <w:sz w:val="28"/>
          <w:szCs w:val="28"/>
        </w:rPr>
        <w:t>105</w:t>
      </w:r>
      <w:r>
        <w:rPr>
          <w:rFonts w:ascii="宋体" w:hAnsi="宋体"/>
          <w:color w:val="auto"/>
          <w:sz w:val="28"/>
          <w:szCs w:val="28"/>
        </w:rPr>
        <w:t>国道相接，京九铁路线盐化工业城专用铁路线正在建设中。赣江可常年通航，距赣江新干河西综合码头</w:t>
      </w:r>
      <w:r>
        <w:rPr>
          <w:color w:val="auto"/>
          <w:sz w:val="28"/>
          <w:szCs w:val="28"/>
        </w:rPr>
        <w:t>19</w:t>
      </w:r>
      <w:r>
        <w:rPr>
          <w:rFonts w:ascii="宋体" w:hAnsi="宋体"/>
          <w:color w:val="auto"/>
          <w:sz w:val="28"/>
          <w:szCs w:val="28"/>
        </w:rPr>
        <w:t>公里，该码头已建成</w:t>
      </w:r>
      <w:r>
        <w:rPr>
          <w:color w:val="auto"/>
          <w:sz w:val="28"/>
          <w:szCs w:val="28"/>
        </w:rPr>
        <w:t>3</w:t>
      </w:r>
      <w:r>
        <w:rPr>
          <w:rFonts w:ascii="宋体" w:hAnsi="宋体"/>
          <w:color w:val="auto"/>
          <w:sz w:val="28"/>
          <w:szCs w:val="28"/>
        </w:rPr>
        <w:t>个</w:t>
      </w:r>
      <w:r>
        <w:rPr>
          <w:color w:val="auto"/>
          <w:sz w:val="28"/>
          <w:szCs w:val="28"/>
        </w:rPr>
        <w:t>500</w:t>
      </w:r>
      <w:r>
        <w:rPr>
          <w:rFonts w:ascii="宋体" w:hAnsi="宋体"/>
          <w:color w:val="auto"/>
          <w:sz w:val="28"/>
          <w:szCs w:val="28"/>
        </w:rPr>
        <w:t>吨级泊位。</w:t>
      </w:r>
    </w:p>
    <w:p>
      <w:pPr>
        <w:autoSpaceDE w:val="0"/>
        <w:spacing w:line="360" w:lineRule="auto"/>
        <w:ind w:firstLine="560" w:firstLineChars="200"/>
        <w:rPr>
          <w:color w:val="auto"/>
          <w:sz w:val="28"/>
          <w:szCs w:val="28"/>
        </w:rPr>
      </w:pPr>
      <w:r>
        <w:rPr>
          <w:rFonts w:hint="eastAsia" w:ascii="宋体" w:hAnsi="宋体"/>
          <w:color w:val="auto"/>
          <w:sz w:val="28"/>
          <w:szCs w:val="28"/>
        </w:rPr>
        <w:t>（</w:t>
      </w:r>
      <w:r>
        <w:rPr>
          <w:rFonts w:hint="eastAsia"/>
          <w:color w:val="auto"/>
          <w:sz w:val="28"/>
          <w:szCs w:val="28"/>
        </w:rPr>
        <w:t>6</w:t>
      </w:r>
      <w:r>
        <w:rPr>
          <w:rFonts w:hint="eastAsia" w:ascii="宋体" w:hAnsi="宋体"/>
          <w:color w:val="auto"/>
          <w:sz w:val="28"/>
          <w:szCs w:val="28"/>
        </w:rPr>
        <w:t>）</w:t>
      </w:r>
      <w:r>
        <w:rPr>
          <w:rFonts w:ascii="宋体" w:hAnsi="宋体"/>
          <w:color w:val="auto"/>
          <w:sz w:val="28"/>
          <w:szCs w:val="28"/>
        </w:rPr>
        <w:t>外部应急设施</w:t>
      </w:r>
    </w:p>
    <w:p>
      <w:pPr>
        <w:autoSpaceDE w:val="0"/>
        <w:spacing w:line="360" w:lineRule="auto"/>
        <w:ind w:firstLine="560" w:firstLineChars="200"/>
        <w:rPr>
          <w:color w:val="auto"/>
          <w:sz w:val="28"/>
          <w:szCs w:val="28"/>
        </w:rPr>
      </w:pPr>
      <w:r>
        <w:rPr>
          <w:rFonts w:hint="eastAsia" w:ascii="宋体" w:hAnsi="宋体"/>
          <w:color w:val="auto"/>
          <w:sz w:val="28"/>
          <w:szCs w:val="28"/>
        </w:rPr>
        <w:t>该拟建项目</w:t>
      </w:r>
      <w:r>
        <w:rPr>
          <w:rFonts w:ascii="宋体" w:hAnsi="宋体"/>
          <w:color w:val="auto"/>
          <w:sz w:val="28"/>
          <w:szCs w:val="28"/>
        </w:rPr>
        <w:t>除了厂区内的应急自救力量外，外部主要依托企业所在地的消防部门和医疗卫生部门，在上级主管部门的协调下进行展开救援工作。</w:t>
      </w:r>
    </w:p>
    <w:p>
      <w:pPr>
        <w:autoSpaceDE w:val="0"/>
        <w:spacing w:line="360" w:lineRule="auto"/>
        <w:ind w:firstLine="560" w:firstLineChars="200"/>
        <w:rPr>
          <w:color w:val="auto"/>
          <w:sz w:val="28"/>
          <w:szCs w:val="28"/>
        </w:rPr>
      </w:pPr>
      <w:r>
        <w:rPr>
          <w:rFonts w:ascii="宋体" w:hAnsi="宋体"/>
          <w:color w:val="auto"/>
          <w:sz w:val="28"/>
          <w:szCs w:val="28"/>
        </w:rPr>
        <w:t>当发生事故需要外部力量救援时，公司应急指挥部可向政府应急指挥机构和相关政府部门进行全力支持和救护。公司能够利用的外部救援力量有新干县人民新区医院、园区消防中队、</w:t>
      </w:r>
      <w:r>
        <w:rPr>
          <w:rFonts w:hint="eastAsia" w:ascii="宋体" w:hAnsi="宋体"/>
          <w:color w:val="auto"/>
          <w:sz w:val="28"/>
          <w:szCs w:val="28"/>
        </w:rPr>
        <w:t>新干县公安局大洋洲分局</w:t>
      </w:r>
      <w:r>
        <w:rPr>
          <w:rFonts w:ascii="宋体" w:hAnsi="宋体"/>
          <w:color w:val="auto"/>
          <w:sz w:val="28"/>
          <w:szCs w:val="28"/>
        </w:rPr>
        <w:t>等。</w:t>
      </w:r>
    </w:p>
    <w:p>
      <w:pPr>
        <w:autoSpaceDE w:val="0"/>
        <w:spacing w:line="360" w:lineRule="auto"/>
        <w:ind w:firstLine="560" w:firstLineChars="200"/>
        <w:rPr>
          <w:color w:val="auto"/>
          <w:sz w:val="28"/>
          <w:szCs w:val="28"/>
        </w:rPr>
      </w:pPr>
      <w:r>
        <w:rPr>
          <w:rFonts w:hint="eastAsia"/>
          <w:color w:val="auto"/>
          <w:sz w:val="28"/>
          <w:szCs w:val="28"/>
        </w:rPr>
        <w:t>1</w:t>
      </w:r>
      <w:r>
        <w:rPr>
          <w:rFonts w:hint="eastAsia" w:ascii="宋体" w:hAnsi="宋体"/>
          <w:color w:val="auto"/>
          <w:sz w:val="28"/>
          <w:szCs w:val="28"/>
        </w:rPr>
        <w:t>、</w:t>
      </w:r>
      <w:r>
        <w:rPr>
          <w:rFonts w:ascii="宋体" w:hAnsi="宋体"/>
          <w:color w:val="auto"/>
          <w:sz w:val="28"/>
          <w:szCs w:val="28"/>
        </w:rPr>
        <w:t>公安部门、派出所：协助公司进行警戒，封锁相关要道，防止无关人员进入事故现场和污染区，电话：</w:t>
      </w:r>
      <w:r>
        <w:rPr>
          <w:color w:val="auto"/>
          <w:sz w:val="28"/>
          <w:szCs w:val="28"/>
        </w:rPr>
        <w:t>110</w:t>
      </w:r>
    </w:p>
    <w:p>
      <w:pPr>
        <w:autoSpaceDE w:val="0"/>
        <w:spacing w:line="360" w:lineRule="auto"/>
        <w:ind w:firstLine="560" w:firstLineChars="200"/>
        <w:rPr>
          <w:color w:val="auto"/>
          <w:sz w:val="28"/>
          <w:szCs w:val="28"/>
        </w:rPr>
      </w:pPr>
      <w:r>
        <w:rPr>
          <w:rFonts w:hint="eastAsia"/>
          <w:color w:val="auto"/>
          <w:sz w:val="28"/>
          <w:szCs w:val="28"/>
        </w:rPr>
        <w:t>2</w:t>
      </w:r>
      <w:r>
        <w:rPr>
          <w:rFonts w:hint="eastAsia" w:ascii="宋体" w:hAnsi="宋体"/>
          <w:color w:val="auto"/>
          <w:sz w:val="28"/>
          <w:szCs w:val="28"/>
        </w:rPr>
        <w:t>、</w:t>
      </w:r>
      <w:r>
        <w:rPr>
          <w:rFonts w:ascii="宋体" w:hAnsi="宋体"/>
          <w:color w:val="auto"/>
          <w:sz w:val="28"/>
          <w:szCs w:val="28"/>
        </w:rPr>
        <w:t>消防队：发生火灾事故时，进行灭火的救护。距公司最近的消防队为新干盐化城防中队，电话：</w:t>
      </w:r>
      <w:r>
        <w:rPr>
          <w:color w:val="auto"/>
          <w:sz w:val="28"/>
          <w:szCs w:val="28"/>
        </w:rPr>
        <w:t>119</w:t>
      </w:r>
    </w:p>
    <w:p>
      <w:pPr>
        <w:autoSpaceDE w:val="0"/>
        <w:spacing w:line="360" w:lineRule="auto"/>
        <w:ind w:firstLine="560" w:firstLineChars="200"/>
        <w:rPr>
          <w:color w:val="auto"/>
          <w:sz w:val="28"/>
          <w:szCs w:val="28"/>
        </w:rPr>
      </w:pPr>
      <w:r>
        <w:rPr>
          <w:rFonts w:hint="eastAsia"/>
          <w:color w:val="auto"/>
          <w:sz w:val="28"/>
          <w:szCs w:val="28"/>
        </w:rPr>
        <w:t>3</w:t>
      </w:r>
      <w:r>
        <w:rPr>
          <w:rFonts w:hint="eastAsia" w:ascii="宋体" w:hAnsi="宋体"/>
          <w:color w:val="auto"/>
          <w:sz w:val="28"/>
          <w:szCs w:val="28"/>
        </w:rPr>
        <w:t>、</w:t>
      </w:r>
      <w:r>
        <w:rPr>
          <w:rFonts w:ascii="宋体" w:hAnsi="宋体"/>
          <w:color w:val="auto"/>
          <w:sz w:val="28"/>
          <w:szCs w:val="28"/>
        </w:rPr>
        <w:t>园区环境保护局：提供事故的实时监测和污染区的处理工作</w:t>
      </w:r>
    </w:p>
    <w:p>
      <w:pPr>
        <w:autoSpaceDE w:val="0"/>
        <w:spacing w:line="360" w:lineRule="auto"/>
        <w:ind w:firstLine="560" w:firstLineChars="200"/>
        <w:rPr>
          <w:color w:val="auto"/>
          <w:sz w:val="28"/>
          <w:szCs w:val="28"/>
        </w:rPr>
      </w:pPr>
      <w:r>
        <w:rPr>
          <w:rFonts w:hint="eastAsia"/>
          <w:color w:val="auto"/>
          <w:sz w:val="28"/>
          <w:szCs w:val="28"/>
        </w:rPr>
        <w:t>4</w:t>
      </w:r>
      <w:r>
        <w:rPr>
          <w:rFonts w:hint="eastAsia" w:ascii="宋体" w:hAnsi="宋体"/>
          <w:color w:val="auto"/>
          <w:sz w:val="28"/>
          <w:szCs w:val="28"/>
        </w:rPr>
        <w:t>、</w:t>
      </w:r>
      <w:r>
        <w:rPr>
          <w:rFonts w:ascii="宋体" w:hAnsi="宋体"/>
          <w:color w:val="auto"/>
          <w:sz w:val="28"/>
          <w:szCs w:val="28"/>
        </w:rPr>
        <w:t>园区</w:t>
      </w:r>
      <w:r>
        <w:rPr>
          <w:rFonts w:hint="eastAsia" w:ascii="宋体" w:hAnsi="宋体"/>
          <w:color w:val="auto"/>
          <w:sz w:val="28"/>
          <w:szCs w:val="28"/>
        </w:rPr>
        <w:t>管委会</w:t>
      </w:r>
      <w:r>
        <w:rPr>
          <w:rFonts w:ascii="宋体" w:hAnsi="宋体"/>
          <w:color w:val="auto"/>
          <w:sz w:val="28"/>
          <w:szCs w:val="28"/>
        </w:rPr>
        <w:t>：提供事故时的应急处理工作</w:t>
      </w:r>
    </w:p>
    <w:p>
      <w:pPr>
        <w:autoSpaceDE w:val="0"/>
        <w:spacing w:line="360" w:lineRule="auto"/>
        <w:ind w:firstLine="560" w:firstLineChars="200"/>
        <w:rPr>
          <w:color w:val="auto"/>
          <w:sz w:val="28"/>
          <w:szCs w:val="28"/>
        </w:rPr>
      </w:pPr>
      <w:r>
        <w:rPr>
          <w:rFonts w:hint="eastAsia"/>
          <w:color w:val="auto"/>
          <w:sz w:val="28"/>
          <w:szCs w:val="28"/>
        </w:rPr>
        <w:t>5</w:t>
      </w:r>
      <w:r>
        <w:rPr>
          <w:rFonts w:hint="eastAsia" w:ascii="宋体" w:hAnsi="宋体"/>
          <w:color w:val="auto"/>
          <w:sz w:val="28"/>
          <w:szCs w:val="28"/>
        </w:rPr>
        <w:t>、</w:t>
      </w:r>
      <w:r>
        <w:rPr>
          <w:rFonts w:ascii="宋体" w:hAnsi="宋体"/>
          <w:color w:val="auto"/>
          <w:sz w:val="28"/>
          <w:szCs w:val="28"/>
        </w:rPr>
        <w:t>医疗单位：提供伤员、中毒救护的治疗服务和现场救护所需要的药品和人员。</w:t>
      </w:r>
    </w:p>
    <w:p>
      <w:pPr>
        <w:autoSpaceDE w:val="0"/>
        <w:spacing w:line="360" w:lineRule="auto"/>
        <w:ind w:firstLine="560" w:firstLineChars="200"/>
        <w:rPr>
          <w:color w:val="auto"/>
          <w:sz w:val="28"/>
          <w:szCs w:val="28"/>
        </w:rPr>
      </w:pPr>
      <w:r>
        <w:rPr>
          <w:rFonts w:ascii="宋体" w:hAnsi="宋体"/>
          <w:color w:val="auto"/>
          <w:sz w:val="28"/>
          <w:szCs w:val="28"/>
        </w:rPr>
        <w:t>建议建设单位要求该医院配备针对性的应急急救药品和设施，一旦发生意外事故，患者送往该医院救治。</w:t>
      </w:r>
    </w:p>
    <w:p>
      <w:pPr>
        <w:keepNext/>
        <w:keepLines/>
        <w:spacing w:line="600" w:lineRule="exact"/>
        <w:jc w:val="left"/>
        <w:outlineLvl w:val="2"/>
        <w:rPr>
          <w:b/>
          <w:color w:val="auto"/>
          <w:sz w:val="28"/>
          <w:szCs w:val="32"/>
        </w:rPr>
      </w:pPr>
      <w:bookmarkStart w:id="23" w:name="_Toc144109141"/>
      <w:r>
        <w:rPr>
          <w:rFonts w:hint="eastAsia"/>
          <w:b/>
          <w:color w:val="auto"/>
          <w:sz w:val="28"/>
          <w:szCs w:val="32"/>
        </w:rPr>
        <w:t>2.</w:t>
      </w:r>
      <w:r>
        <w:rPr>
          <w:b/>
          <w:color w:val="auto"/>
          <w:sz w:val="28"/>
          <w:szCs w:val="32"/>
        </w:rPr>
        <w:t>2</w:t>
      </w:r>
      <w:r>
        <w:rPr>
          <w:rFonts w:hint="eastAsia"/>
          <w:b/>
          <w:color w:val="auto"/>
          <w:sz w:val="28"/>
          <w:szCs w:val="32"/>
        </w:rPr>
        <w:t>.</w:t>
      </w:r>
      <w:r>
        <w:rPr>
          <w:b/>
          <w:color w:val="auto"/>
          <w:sz w:val="28"/>
          <w:szCs w:val="32"/>
        </w:rPr>
        <w:t>2</w:t>
      </w:r>
      <w:r>
        <w:rPr>
          <w:rFonts w:hint="eastAsia"/>
          <w:b/>
          <w:color w:val="auto"/>
          <w:sz w:val="28"/>
          <w:szCs w:val="32"/>
        </w:rPr>
        <w:t xml:space="preserve"> 建设项目拟采用的主要技术、工艺方法（方式）和国内外同类建设项目水平对比情况</w:t>
      </w:r>
      <w:bookmarkEnd w:id="23"/>
    </w:p>
    <w:p>
      <w:pPr>
        <w:pStyle w:val="49"/>
        <w:ind w:firstLine="562" w:firstLineChars="200"/>
        <w:rPr>
          <w:b/>
          <w:bCs/>
          <w:color w:val="auto"/>
          <w:sz w:val="28"/>
          <w:szCs w:val="28"/>
        </w:rPr>
      </w:pPr>
      <w:r>
        <w:rPr>
          <w:rFonts w:hint="eastAsia"/>
          <w:b/>
          <w:bCs/>
          <w:color w:val="auto"/>
          <w:sz w:val="28"/>
          <w:szCs w:val="28"/>
        </w:rPr>
        <w:t>1、工艺技术概况和选择</w:t>
      </w:r>
    </w:p>
    <w:p>
      <w:pPr>
        <w:pStyle w:val="49"/>
        <w:ind w:firstLine="560" w:firstLineChars="200"/>
        <w:rPr>
          <w:color w:val="auto"/>
          <w:sz w:val="28"/>
          <w:szCs w:val="28"/>
        </w:rPr>
      </w:pPr>
      <w:r>
        <w:rPr>
          <w:rFonts w:hint="eastAsia"/>
          <w:color w:val="auto"/>
          <w:sz w:val="28"/>
          <w:szCs w:val="28"/>
        </w:rPr>
        <w:t>1）2</w:t>
      </w:r>
      <w:r>
        <w:rPr>
          <w:color w:val="auto"/>
          <w:sz w:val="28"/>
          <w:szCs w:val="28"/>
        </w:rPr>
        <w:t>4-</w:t>
      </w:r>
      <w:r>
        <w:rPr>
          <w:rFonts w:hint="eastAsia"/>
          <w:color w:val="auto"/>
          <w:sz w:val="28"/>
          <w:szCs w:val="28"/>
        </w:rPr>
        <w:t>表芸苔素内酯</w:t>
      </w:r>
    </w:p>
    <w:p>
      <w:pPr>
        <w:pStyle w:val="49"/>
        <w:ind w:firstLine="560" w:firstLineChars="200"/>
        <w:jc w:val="both"/>
        <w:rPr>
          <w:color w:val="auto"/>
          <w:sz w:val="28"/>
          <w:szCs w:val="28"/>
        </w:rPr>
      </w:pPr>
      <w:r>
        <w:rPr>
          <w:rFonts w:hint="eastAsia"/>
          <w:color w:val="auto"/>
          <w:sz w:val="28"/>
          <w:szCs w:val="28"/>
        </w:rPr>
        <w:t>该项目以麦角甾醇、四氢呋喃、三乙胺、甲基磺酰氯、丙酮、碳酸氢钾、四甲基哌啶氧化物、甲苯、次氯酸钠、甲醇、硫酸、液氨、金属锂、氯化铵、对甲苯磺酸、溴化钠、二甲基甲酰胺、乙酸乙酯、叔丁醇、铁氰化钾、碳酸钾、甲基磺酰胺、锇酸钾、奎尼丁、亚硫酸氢钠、二氯甲烷、NaCl、硅胶、三氟乙酸酐、双氧水等为原材料，经磺酰化、水解、氧化、还原、重排、双羟化、内酯化得到2</w:t>
      </w:r>
      <w:r>
        <w:rPr>
          <w:color w:val="auto"/>
          <w:sz w:val="28"/>
          <w:szCs w:val="28"/>
        </w:rPr>
        <w:t>4-</w:t>
      </w:r>
      <w:r>
        <w:rPr>
          <w:rFonts w:hint="eastAsia"/>
          <w:color w:val="auto"/>
          <w:sz w:val="28"/>
          <w:szCs w:val="28"/>
        </w:rPr>
        <w:t>表芸苔素内酯。</w:t>
      </w:r>
    </w:p>
    <w:p>
      <w:pPr>
        <w:pStyle w:val="49"/>
        <w:ind w:firstLine="560" w:firstLineChars="200"/>
        <w:rPr>
          <w:color w:val="auto"/>
          <w:sz w:val="28"/>
          <w:szCs w:val="28"/>
        </w:rPr>
      </w:pPr>
      <w:r>
        <w:rPr>
          <w:color w:val="auto"/>
          <w:sz w:val="28"/>
          <w:szCs w:val="28"/>
        </w:rPr>
        <w:t>2</w:t>
      </w:r>
      <w:r>
        <w:rPr>
          <w:rFonts w:hint="eastAsia"/>
          <w:color w:val="auto"/>
          <w:sz w:val="28"/>
          <w:szCs w:val="28"/>
        </w:rPr>
        <w:t>）2</w:t>
      </w:r>
      <w:r>
        <w:rPr>
          <w:color w:val="auto"/>
          <w:sz w:val="28"/>
          <w:szCs w:val="28"/>
        </w:rPr>
        <w:t>8-</w:t>
      </w:r>
      <w:r>
        <w:rPr>
          <w:rFonts w:hint="eastAsia"/>
          <w:color w:val="auto"/>
          <w:sz w:val="28"/>
          <w:szCs w:val="28"/>
        </w:rPr>
        <w:t>高芸苔素内酯</w:t>
      </w:r>
    </w:p>
    <w:p>
      <w:pPr>
        <w:pStyle w:val="49"/>
        <w:ind w:firstLine="560" w:firstLineChars="200"/>
        <w:jc w:val="both"/>
        <w:rPr>
          <w:color w:val="auto"/>
          <w:sz w:val="28"/>
          <w:szCs w:val="28"/>
        </w:rPr>
      </w:pPr>
      <w:r>
        <w:rPr>
          <w:rFonts w:hint="eastAsia"/>
          <w:color w:val="auto"/>
          <w:sz w:val="28"/>
          <w:szCs w:val="28"/>
        </w:rPr>
        <w:t>该项目2</w:t>
      </w:r>
      <w:r>
        <w:rPr>
          <w:color w:val="auto"/>
          <w:sz w:val="28"/>
          <w:szCs w:val="28"/>
        </w:rPr>
        <w:t>8-</w:t>
      </w:r>
      <w:r>
        <w:rPr>
          <w:rFonts w:hint="eastAsia"/>
          <w:color w:val="auto"/>
          <w:sz w:val="28"/>
          <w:szCs w:val="28"/>
        </w:rPr>
        <w:t>高芸苔素内酯产品以豆甾醇、甲基磺酰氯、丁酮、三乙胺、NaCl、碳酸氢钾、次氯酸钠、四甲基哌啶氧化物、碳酸氢钠、溴化钠、二甲基甲酰胺、溴化氢、乙酸乙酯、碳酸钾、铁氰化钾、叔丁醇、奎尼丁、甲基磺酰胺、双氧水、二氯甲烷、三氟乙酸酐、石油醚、硅胶、亚硫酸氢钠等为原料，经磺酰化、水解、氧化、开环、双羟基化、内酯化得到2</w:t>
      </w:r>
      <w:r>
        <w:rPr>
          <w:color w:val="auto"/>
          <w:sz w:val="28"/>
          <w:szCs w:val="28"/>
        </w:rPr>
        <w:t>8-</w:t>
      </w:r>
      <w:r>
        <w:rPr>
          <w:rFonts w:hint="eastAsia"/>
          <w:color w:val="auto"/>
          <w:sz w:val="28"/>
          <w:szCs w:val="28"/>
        </w:rPr>
        <w:t>高芸苔素内酯。</w:t>
      </w:r>
    </w:p>
    <w:p>
      <w:pPr>
        <w:pStyle w:val="49"/>
        <w:ind w:firstLine="560" w:firstLineChars="200"/>
        <w:rPr>
          <w:color w:val="auto"/>
          <w:sz w:val="28"/>
          <w:szCs w:val="28"/>
        </w:rPr>
      </w:pPr>
      <w:r>
        <w:rPr>
          <w:rFonts w:hint="eastAsia"/>
          <w:color w:val="auto"/>
          <w:sz w:val="28"/>
          <w:szCs w:val="28"/>
        </w:rPr>
        <w:t>3）丙酰芸苔素内酯</w:t>
      </w:r>
    </w:p>
    <w:p>
      <w:pPr>
        <w:pStyle w:val="49"/>
        <w:ind w:firstLine="560" w:firstLineChars="200"/>
        <w:jc w:val="both"/>
        <w:rPr>
          <w:color w:val="auto"/>
          <w:sz w:val="28"/>
          <w:szCs w:val="28"/>
        </w:rPr>
      </w:pPr>
      <w:r>
        <w:rPr>
          <w:rFonts w:hint="eastAsia"/>
          <w:color w:val="auto"/>
          <w:sz w:val="28"/>
          <w:szCs w:val="28"/>
        </w:rPr>
        <w:t>该项目丙酰芸苔素内酯合成以豆甾醇、三乙胺、甲基磺酰氯、丁酮、NaCl、碳酸氢钾、次氯酸钠、四甲基哌啶氧化物、碳酸氢钠、溴化钠、二甲基甲酰胺、溴化氢、乙酸乙酯、碳酸钾、N</w:t>
      </w:r>
      <w:r>
        <w:rPr>
          <w:color w:val="auto"/>
          <w:sz w:val="28"/>
          <w:szCs w:val="28"/>
        </w:rPr>
        <w:t>-</w:t>
      </w:r>
      <w:r>
        <w:rPr>
          <w:rFonts w:hint="eastAsia"/>
          <w:color w:val="auto"/>
          <w:sz w:val="28"/>
          <w:szCs w:val="28"/>
        </w:rPr>
        <w:t>甲基氧化吗啉、叔丁醇、四氢呋喃、亚硫酸钠、丙酸酐、二氯甲烷、间氯过氧苯甲酸、石油醚、硅胶、亚硫酸氢钠等为原料，经磺酰化、水解、氧化、开环、A环双羟基化、丙酰化、环氧和内酯化得到丙酰芸苔素内酯。</w:t>
      </w:r>
    </w:p>
    <w:p>
      <w:pPr>
        <w:pStyle w:val="49"/>
        <w:ind w:firstLine="560" w:firstLineChars="200"/>
        <w:rPr>
          <w:color w:val="auto"/>
          <w:sz w:val="28"/>
          <w:szCs w:val="28"/>
        </w:rPr>
      </w:pPr>
      <w:r>
        <w:rPr>
          <w:rFonts w:hint="eastAsia"/>
          <w:color w:val="auto"/>
          <w:sz w:val="28"/>
          <w:szCs w:val="28"/>
        </w:rPr>
        <w:t>4）芸苔素制剂</w:t>
      </w:r>
    </w:p>
    <w:p>
      <w:pPr>
        <w:widowControl/>
        <w:ind w:firstLine="560" w:firstLineChars="200"/>
        <w:rPr>
          <w:rFonts w:ascii="宋体" w:hAnsi="宋体" w:cs="宋体"/>
          <w:color w:val="auto"/>
          <w:kern w:val="0"/>
        </w:rPr>
      </w:pPr>
      <w:r>
        <w:rPr>
          <w:rFonts w:hint="eastAsia"/>
          <w:color w:val="auto"/>
          <w:sz w:val="28"/>
          <w:szCs w:val="28"/>
        </w:rPr>
        <w:t>该项目以2</w:t>
      </w:r>
      <w:r>
        <w:rPr>
          <w:color w:val="auto"/>
          <w:sz w:val="28"/>
          <w:szCs w:val="28"/>
        </w:rPr>
        <w:t>4-</w:t>
      </w:r>
      <w:r>
        <w:rPr>
          <w:rFonts w:hint="eastAsia"/>
          <w:color w:val="auto"/>
          <w:sz w:val="28"/>
          <w:szCs w:val="28"/>
        </w:rPr>
        <w:t>表芸苔素内酯、NP</w:t>
      </w:r>
      <w:r>
        <w:rPr>
          <w:color w:val="auto"/>
          <w:sz w:val="28"/>
          <w:szCs w:val="28"/>
        </w:rPr>
        <w:t>-10</w:t>
      </w:r>
      <w:r>
        <w:rPr>
          <w:rFonts w:hint="eastAsia"/>
          <w:color w:val="auto"/>
          <w:sz w:val="28"/>
          <w:szCs w:val="28"/>
        </w:rPr>
        <w:t>、乙醇、消泡剂、水等为原料经物理混合制备</w:t>
      </w:r>
      <w:r>
        <w:rPr>
          <w:rFonts w:ascii="宋体" w:hAnsi="宋体" w:cs="宋体"/>
          <w:color w:val="auto"/>
          <w:kern w:val="0"/>
          <w:sz w:val="28"/>
          <w:szCs w:val="28"/>
        </w:rPr>
        <w:t>0.01%24-表芸苔素内酯</w:t>
      </w:r>
      <w:r>
        <w:rPr>
          <w:rFonts w:hint="eastAsia"/>
          <w:color w:val="auto"/>
          <w:sz w:val="28"/>
          <w:szCs w:val="28"/>
        </w:rPr>
        <w:t>制剂；以丙酰芸苔素内酯、异丙醇、乙醇、NP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0.003%丙酰芸苔素内酯</w:t>
      </w:r>
      <w:r>
        <w:rPr>
          <w:rFonts w:hint="eastAsia"/>
          <w:color w:val="auto"/>
          <w:sz w:val="28"/>
          <w:szCs w:val="28"/>
        </w:rPr>
        <w:t>制剂；以2</w:t>
      </w:r>
      <w:r>
        <w:rPr>
          <w:color w:val="auto"/>
          <w:sz w:val="28"/>
          <w:szCs w:val="28"/>
        </w:rPr>
        <w:t>8-</w:t>
      </w:r>
      <w:r>
        <w:rPr>
          <w:rFonts w:hint="eastAsia"/>
          <w:color w:val="auto"/>
          <w:sz w:val="28"/>
          <w:szCs w:val="28"/>
        </w:rPr>
        <w:t>高芸苔素内酯、丙酰芸苔素内酯、异丙醇、乙醇、NP</w:t>
      </w:r>
      <w:r>
        <w:rPr>
          <w:color w:val="auto"/>
          <w:sz w:val="28"/>
          <w:szCs w:val="28"/>
        </w:rPr>
        <w:t>-10</w:t>
      </w:r>
      <w:r>
        <w:rPr>
          <w:rFonts w:hint="eastAsia"/>
          <w:color w:val="auto"/>
          <w:sz w:val="28"/>
          <w:szCs w:val="28"/>
        </w:rPr>
        <w:t>、水等为原料制备</w:t>
      </w:r>
      <w:r>
        <w:rPr>
          <w:rFonts w:ascii="宋体" w:hAnsi="宋体" w:cs="宋体"/>
          <w:color w:val="auto"/>
          <w:kern w:val="0"/>
          <w:sz w:val="28"/>
          <w:szCs w:val="28"/>
        </w:rPr>
        <w:t>0.01%28-高*丙酰芸苔素内酯</w:t>
      </w:r>
      <w:r>
        <w:rPr>
          <w:rFonts w:hint="eastAsia"/>
          <w:color w:val="auto"/>
          <w:sz w:val="28"/>
          <w:szCs w:val="28"/>
        </w:rPr>
        <w:t>制剂；以丙酰芸苔素内酯、S</w:t>
      </w:r>
      <w:r>
        <w:rPr>
          <w:color w:val="auto"/>
          <w:sz w:val="28"/>
          <w:szCs w:val="28"/>
        </w:rPr>
        <w:t>-</w:t>
      </w:r>
      <w:r>
        <w:rPr>
          <w:rFonts w:hint="eastAsia"/>
          <w:color w:val="auto"/>
          <w:sz w:val="28"/>
          <w:szCs w:val="28"/>
        </w:rPr>
        <w:t>诱抗素、异丙醇、乙醇、NP</w:t>
      </w:r>
      <w:r>
        <w:rPr>
          <w:color w:val="auto"/>
          <w:sz w:val="28"/>
          <w:szCs w:val="28"/>
        </w:rPr>
        <w:t>-10</w:t>
      </w:r>
      <w:r>
        <w:rPr>
          <w:rFonts w:hint="eastAsia"/>
          <w:color w:val="auto"/>
          <w:sz w:val="28"/>
          <w:szCs w:val="28"/>
        </w:rPr>
        <w:t>、消泡剂、水等为原料经物理混合制备</w:t>
      </w:r>
      <w:r>
        <w:rPr>
          <w:rFonts w:ascii="宋体" w:hAnsi="宋体" w:cs="宋体"/>
          <w:color w:val="auto"/>
          <w:kern w:val="0"/>
          <w:sz w:val="28"/>
          <w:szCs w:val="28"/>
        </w:rPr>
        <w:t>0.1%丙酰芸*S-诱抗素</w:t>
      </w:r>
      <w:r>
        <w:rPr>
          <w:rFonts w:hint="eastAsia"/>
          <w:color w:val="auto"/>
          <w:sz w:val="28"/>
          <w:szCs w:val="28"/>
        </w:rPr>
        <w:t>制剂；以2</w:t>
      </w:r>
      <w:r>
        <w:rPr>
          <w:color w:val="auto"/>
          <w:sz w:val="28"/>
          <w:szCs w:val="28"/>
        </w:rPr>
        <w:t>8-</w:t>
      </w:r>
      <w:r>
        <w:rPr>
          <w:rFonts w:hint="eastAsia"/>
          <w:color w:val="auto"/>
          <w:sz w:val="28"/>
          <w:szCs w:val="28"/>
        </w:rPr>
        <w:t>高芸苔素内酯、赤霉酸A</w:t>
      </w:r>
      <w:r>
        <w:rPr>
          <w:color w:val="auto"/>
          <w:sz w:val="28"/>
          <w:szCs w:val="28"/>
        </w:rPr>
        <w:t>3</w:t>
      </w:r>
      <w:r>
        <w:rPr>
          <w:rFonts w:hint="eastAsia"/>
          <w:color w:val="auto"/>
          <w:sz w:val="28"/>
          <w:szCs w:val="28"/>
        </w:rPr>
        <w:t>、异丙醇、乙醇、NP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4.5%28-高芸*赤霉酸</w:t>
      </w:r>
      <w:r>
        <w:rPr>
          <w:rFonts w:hint="eastAsia"/>
          <w:color w:val="auto"/>
          <w:sz w:val="28"/>
          <w:szCs w:val="28"/>
        </w:rPr>
        <w:t>制剂；以2</w:t>
      </w:r>
      <w:r>
        <w:rPr>
          <w:color w:val="auto"/>
          <w:sz w:val="28"/>
          <w:szCs w:val="28"/>
        </w:rPr>
        <w:t>8-</w:t>
      </w:r>
      <w:r>
        <w:rPr>
          <w:rFonts w:hint="eastAsia"/>
          <w:color w:val="auto"/>
          <w:sz w:val="28"/>
          <w:szCs w:val="28"/>
        </w:rPr>
        <w:t>高芸苔素内酯、烯效唑、黄原胶、苯甲酸钠、乙二醇、白炭黑、SC</w:t>
      </w:r>
      <w:r>
        <w:rPr>
          <w:color w:val="auto"/>
          <w:sz w:val="28"/>
          <w:szCs w:val="28"/>
        </w:rPr>
        <w:t>001</w:t>
      </w:r>
      <w:r>
        <w:rPr>
          <w:rFonts w:hint="eastAsia"/>
          <w:color w:val="auto"/>
          <w:sz w:val="28"/>
          <w:szCs w:val="28"/>
        </w:rPr>
        <w:t>、水等为原料经物理混合制备</w:t>
      </w:r>
      <w:r>
        <w:rPr>
          <w:rFonts w:ascii="宋体" w:hAnsi="宋体" w:cs="宋体"/>
          <w:color w:val="auto"/>
          <w:kern w:val="0"/>
          <w:sz w:val="28"/>
          <w:szCs w:val="28"/>
        </w:rPr>
        <w:t>5%28-高芸*烯效唑</w:t>
      </w:r>
      <w:r>
        <w:rPr>
          <w:rFonts w:hint="eastAsia"/>
          <w:color w:val="auto"/>
          <w:sz w:val="28"/>
          <w:szCs w:val="28"/>
        </w:rPr>
        <w:t>制剂；以2</w:t>
      </w:r>
      <w:r>
        <w:rPr>
          <w:color w:val="auto"/>
          <w:sz w:val="28"/>
          <w:szCs w:val="28"/>
        </w:rPr>
        <w:t>8-</w:t>
      </w:r>
      <w:r>
        <w:rPr>
          <w:rFonts w:hint="eastAsia"/>
          <w:color w:val="auto"/>
          <w:sz w:val="28"/>
          <w:szCs w:val="28"/>
        </w:rPr>
        <w:t>高芸苔素内酯、苄氨基嘌呤、二甲基甲酰胺、NP</w:t>
      </w:r>
      <w:r>
        <w:rPr>
          <w:color w:val="auto"/>
          <w:sz w:val="28"/>
          <w:szCs w:val="28"/>
        </w:rPr>
        <w:t>-10</w:t>
      </w:r>
      <w:r>
        <w:rPr>
          <w:rFonts w:hint="eastAsia"/>
          <w:color w:val="auto"/>
          <w:sz w:val="28"/>
          <w:szCs w:val="28"/>
        </w:rPr>
        <w:t>、乙醇等为原料经物理混合制备</w:t>
      </w:r>
      <w:r>
        <w:rPr>
          <w:rFonts w:ascii="宋体" w:hAnsi="宋体" w:cs="宋体"/>
          <w:color w:val="auto"/>
          <w:kern w:val="0"/>
          <w:sz w:val="28"/>
          <w:szCs w:val="28"/>
        </w:rPr>
        <w:t>2%28-高芸*苄氨基嘌呤</w:t>
      </w:r>
      <w:r>
        <w:rPr>
          <w:rFonts w:hint="eastAsia"/>
          <w:color w:val="auto"/>
          <w:sz w:val="28"/>
          <w:szCs w:val="28"/>
        </w:rPr>
        <w:t>；以丙酰芸苔素内酯、三十烷醇、乙醇、NP</w:t>
      </w:r>
      <w:r>
        <w:rPr>
          <w:color w:val="auto"/>
          <w:sz w:val="28"/>
          <w:szCs w:val="28"/>
        </w:rPr>
        <w:t>-10</w:t>
      </w:r>
      <w:r>
        <w:rPr>
          <w:rFonts w:hint="eastAsia"/>
          <w:color w:val="auto"/>
          <w:sz w:val="28"/>
          <w:szCs w:val="28"/>
        </w:rPr>
        <w:t>、SC</w:t>
      </w:r>
      <w:r>
        <w:rPr>
          <w:color w:val="auto"/>
          <w:sz w:val="28"/>
          <w:szCs w:val="28"/>
        </w:rPr>
        <w:t>001</w:t>
      </w:r>
      <w:r>
        <w:rPr>
          <w:rFonts w:hint="eastAsia"/>
          <w:color w:val="auto"/>
          <w:sz w:val="28"/>
          <w:szCs w:val="28"/>
        </w:rPr>
        <w:t>、黄原胶、苯甲酸钠、消泡剂、水为原料经物理混合制备</w:t>
      </w:r>
      <w:r>
        <w:rPr>
          <w:rFonts w:ascii="宋体" w:hAnsi="宋体" w:cs="宋体"/>
          <w:color w:val="auto"/>
          <w:kern w:val="0"/>
          <w:sz w:val="28"/>
          <w:szCs w:val="28"/>
        </w:rPr>
        <w:t>0.1%丙酰芸*三十烷醇</w:t>
      </w:r>
      <w:r>
        <w:rPr>
          <w:rFonts w:hint="eastAsia"/>
          <w:color w:val="auto"/>
          <w:sz w:val="28"/>
          <w:szCs w:val="28"/>
        </w:rPr>
        <w:t>制剂；以2</w:t>
      </w:r>
      <w:r>
        <w:rPr>
          <w:color w:val="auto"/>
          <w:sz w:val="28"/>
          <w:szCs w:val="28"/>
        </w:rPr>
        <w:t>8-</w:t>
      </w:r>
      <w:r>
        <w:rPr>
          <w:rFonts w:hint="eastAsia"/>
          <w:color w:val="auto"/>
          <w:sz w:val="28"/>
          <w:szCs w:val="28"/>
        </w:rPr>
        <w:t>高芸苔素内酯、氯吡脲、乙醇、NP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0.5%28-高芸*氯吡脲</w:t>
      </w:r>
      <w:r>
        <w:rPr>
          <w:rFonts w:hint="eastAsia"/>
          <w:color w:val="auto"/>
          <w:sz w:val="28"/>
          <w:szCs w:val="28"/>
        </w:rPr>
        <w:t>；以2</w:t>
      </w:r>
      <w:r>
        <w:rPr>
          <w:color w:val="auto"/>
          <w:sz w:val="28"/>
          <w:szCs w:val="28"/>
        </w:rPr>
        <w:t>8-</w:t>
      </w:r>
      <w:r>
        <w:rPr>
          <w:rFonts w:hint="eastAsia"/>
          <w:color w:val="auto"/>
          <w:sz w:val="28"/>
          <w:szCs w:val="28"/>
        </w:rPr>
        <w:t>高芸苔素内酯、噻苯隆、乙醇、环己酮、NP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0.16%28-高芸*</w:t>
      </w:r>
      <w:r>
        <w:rPr>
          <w:rFonts w:hint="eastAsia" w:ascii="宋体" w:hAnsi="宋体" w:cs="宋体"/>
          <w:color w:val="auto"/>
          <w:kern w:val="0"/>
          <w:sz w:val="28"/>
          <w:szCs w:val="28"/>
        </w:rPr>
        <w:t>噻</w:t>
      </w:r>
      <w:r>
        <w:rPr>
          <w:rFonts w:ascii="宋体" w:hAnsi="宋体" w:cs="宋体"/>
          <w:color w:val="auto"/>
          <w:kern w:val="0"/>
          <w:sz w:val="28"/>
          <w:szCs w:val="28"/>
        </w:rPr>
        <w:t>苯隆</w:t>
      </w:r>
      <w:r>
        <w:rPr>
          <w:rFonts w:hint="eastAsia"/>
          <w:color w:val="auto"/>
          <w:sz w:val="28"/>
          <w:szCs w:val="28"/>
        </w:rPr>
        <w:t>制剂；以丙酰芸苔素内酯、氨基寡糖素、乙醇、NP</w:t>
      </w:r>
      <w:r>
        <w:rPr>
          <w:color w:val="auto"/>
          <w:sz w:val="28"/>
          <w:szCs w:val="28"/>
        </w:rPr>
        <w:t>-10</w:t>
      </w:r>
      <w:r>
        <w:rPr>
          <w:rFonts w:hint="eastAsia"/>
          <w:color w:val="auto"/>
          <w:sz w:val="28"/>
          <w:szCs w:val="28"/>
        </w:rPr>
        <w:t>、朗钛LT</w:t>
      </w:r>
      <w:r>
        <w:rPr>
          <w:color w:val="auto"/>
          <w:sz w:val="28"/>
          <w:szCs w:val="28"/>
        </w:rPr>
        <w:t>-569</w:t>
      </w:r>
      <w:r>
        <w:rPr>
          <w:rFonts w:hint="eastAsia"/>
          <w:color w:val="auto"/>
          <w:sz w:val="28"/>
          <w:szCs w:val="28"/>
        </w:rPr>
        <w:t>、三聚磷酸钠、肥料载体为原料经物理混合制备</w:t>
      </w:r>
      <w:r>
        <w:rPr>
          <w:rFonts w:ascii="宋体" w:hAnsi="宋体" w:cs="宋体"/>
          <w:color w:val="auto"/>
          <w:kern w:val="0"/>
          <w:sz w:val="28"/>
          <w:szCs w:val="28"/>
        </w:rPr>
        <w:t>0.1%丙酰芸*氨基寡糖素</w:t>
      </w:r>
      <w:r>
        <w:rPr>
          <w:rFonts w:hint="eastAsia"/>
          <w:color w:val="auto"/>
          <w:sz w:val="28"/>
          <w:szCs w:val="28"/>
        </w:rPr>
        <w:t>制剂；以丙酰芸苔素内酯、吲哚丁酸、乙醇、NP</w:t>
      </w:r>
      <w:r>
        <w:rPr>
          <w:color w:val="auto"/>
          <w:sz w:val="28"/>
          <w:szCs w:val="28"/>
        </w:rPr>
        <w:t>-10</w:t>
      </w:r>
      <w:r>
        <w:rPr>
          <w:rFonts w:hint="eastAsia"/>
          <w:color w:val="auto"/>
          <w:sz w:val="28"/>
          <w:szCs w:val="28"/>
        </w:rPr>
        <w:t>、朗钛LT</w:t>
      </w:r>
      <w:r>
        <w:rPr>
          <w:color w:val="auto"/>
          <w:sz w:val="28"/>
          <w:szCs w:val="28"/>
        </w:rPr>
        <w:t>-569</w:t>
      </w:r>
      <w:r>
        <w:rPr>
          <w:rFonts w:hint="eastAsia"/>
          <w:color w:val="auto"/>
          <w:sz w:val="28"/>
          <w:szCs w:val="28"/>
        </w:rPr>
        <w:t>、三聚磷酸钠、肥料载体等为原料经物理混合制备</w:t>
      </w:r>
      <w:r>
        <w:rPr>
          <w:rFonts w:ascii="宋体" w:hAnsi="宋体" w:cs="宋体"/>
          <w:color w:val="auto"/>
          <w:kern w:val="0"/>
          <w:sz w:val="28"/>
          <w:szCs w:val="28"/>
        </w:rPr>
        <w:t>0.1%丙酰芸*吲哚丁酸</w:t>
      </w:r>
      <w:r>
        <w:rPr>
          <w:rFonts w:hint="eastAsia"/>
          <w:color w:val="auto"/>
          <w:sz w:val="28"/>
          <w:szCs w:val="28"/>
        </w:rPr>
        <w:t>制剂；以丙酰芸苔素内酯、赤霉素A</w:t>
      </w:r>
      <w:r>
        <w:rPr>
          <w:color w:val="auto"/>
          <w:sz w:val="28"/>
          <w:szCs w:val="28"/>
        </w:rPr>
        <w:t>4</w:t>
      </w:r>
      <w:r>
        <w:rPr>
          <w:rFonts w:hint="eastAsia"/>
          <w:color w:val="auto"/>
          <w:sz w:val="28"/>
          <w:szCs w:val="28"/>
        </w:rPr>
        <w:t>、乙醇、异丙醇、NP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2%丙酰芸*赤霉酸A4</w:t>
      </w:r>
      <w:r>
        <w:rPr>
          <w:rFonts w:hint="eastAsia"/>
          <w:color w:val="auto"/>
          <w:sz w:val="28"/>
          <w:szCs w:val="28"/>
        </w:rPr>
        <w:t>制剂；以丙酰芸苔素内酯、氯化胆碱、乙醇、NP</w:t>
      </w:r>
      <w:r>
        <w:rPr>
          <w:color w:val="auto"/>
          <w:sz w:val="28"/>
          <w:szCs w:val="28"/>
        </w:rPr>
        <w:t>-10</w:t>
      </w:r>
      <w:r>
        <w:rPr>
          <w:rFonts w:hint="eastAsia"/>
          <w:color w:val="auto"/>
          <w:sz w:val="28"/>
          <w:szCs w:val="28"/>
        </w:rPr>
        <w:t>、水等为原料制备</w:t>
      </w:r>
      <w:r>
        <w:rPr>
          <w:rFonts w:ascii="宋体" w:hAnsi="宋体" w:cs="宋体"/>
          <w:color w:val="auto"/>
          <w:kern w:val="0"/>
          <w:sz w:val="28"/>
          <w:szCs w:val="28"/>
        </w:rPr>
        <w:t>50%丙酰芸*氯化胆碱</w:t>
      </w:r>
      <w:r>
        <w:rPr>
          <w:rFonts w:hint="eastAsia"/>
          <w:color w:val="auto"/>
          <w:sz w:val="28"/>
          <w:szCs w:val="28"/>
        </w:rPr>
        <w:t>制剂；以S</w:t>
      </w:r>
      <w:r>
        <w:rPr>
          <w:color w:val="auto"/>
          <w:sz w:val="28"/>
          <w:szCs w:val="28"/>
        </w:rPr>
        <w:t>-</w:t>
      </w:r>
      <w:r>
        <w:rPr>
          <w:rFonts w:hint="eastAsia"/>
          <w:color w:val="auto"/>
          <w:sz w:val="28"/>
          <w:szCs w:val="28"/>
        </w:rPr>
        <w:t>诱抗素、乙醇、NP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0.006%S-诱抗素</w:t>
      </w:r>
      <w:r>
        <w:rPr>
          <w:rFonts w:hint="eastAsia"/>
          <w:color w:val="auto"/>
          <w:sz w:val="28"/>
          <w:szCs w:val="28"/>
        </w:rPr>
        <w:t>制剂；以2</w:t>
      </w:r>
      <w:r>
        <w:rPr>
          <w:color w:val="auto"/>
          <w:sz w:val="28"/>
          <w:szCs w:val="28"/>
        </w:rPr>
        <w:t>4-</w:t>
      </w:r>
      <w:r>
        <w:rPr>
          <w:rFonts w:hint="eastAsia"/>
          <w:color w:val="auto"/>
          <w:sz w:val="28"/>
          <w:szCs w:val="28"/>
        </w:rPr>
        <w:t>表芸苔素内酯、氨基寡糖素、乙醇、NP</w:t>
      </w:r>
      <w:r>
        <w:rPr>
          <w:color w:val="auto"/>
          <w:sz w:val="28"/>
          <w:szCs w:val="28"/>
        </w:rPr>
        <w:t>-10</w:t>
      </w:r>
      <w:r>
        <w:rPr>
          <w:rFonts w:hint="eastAsia"/>
          <w:color w:val="auto"/>
          <w:sz w:val="28"/>
          <w:szCs w:val="28"/>
        </w:rPr>
        <w:t>、水等为原料经物理混合制备</w:t>
      </w:r>
      <w:r>
        <w:rPr>
          <w:rFonts w:ascii="宋体" w:hAnsi="宋体" w:cs="宋体"/>
          <w:color w:val="auto"/>
          <w:kern w:val="0"/>
          <w:sz w:val="28"/>
          <w:szCs w:val="28"/>
        </w:rPr>
        <w:t>1%24-表芸*氨基寡糖素</w:t>
      </w:r>
      <w:r>
        <w:rPr>
          <w:rFonts w:hint="eastAsia"/>
          <w:color w:val="auto"/>
          <w:sz w:val="28"/>
          <w:szCs w:val="28"/>
        </w:rPr>
        <w:t>制剂；以2</w:t>
      </w:r>
      <w:r>
        <w:rPr>
          <w:color w:val="auto"/>
          <w:sz w:val="28"/>
          <w:szCs w:val="28"/>
        </w:rPr>
        <w:t>4-</w:t>
      </w:r>
      <w:r>
        <w:rPr>
          <w:rFonts w:hint="eastAsia"/>
          <w:color w:val="auto"/>
          <w:sz w:val="28"/>
          <w:szCs w:val="28"/>
        </w:rPr>
        <w:t>表芸苔素内酯、胺鲜酯、乙醇、NP</w:t>
      </w:r>
      <w:r>
        <w:rPr>
          <w:color w:val="auto"/>
          <w:sz w:val="28"/>
          <w:szCs w:val="28"/>
        </w:rPr>
        <w:t>-10</w:t>
      </w:r>
      <w:r>
        <w:rPr>
          <w:rFonts w:hint="eastAsia"/>
          <w:color w:val="auto"/>
          <w:sz w:val="28"/>
          <w:szCs w:val="28"/>
        </w:rPr>
        <w:t>、朗钛LT</w:t>
      </w:r>
      <w:r>
        <w:rPr>
          <w:color w:val="auto"/>
          <w:sz w:val="28"/>
          <w:szCs w:val="28"/>
        </w:rPr>
        <w:t>-569</w:t>
      </w:r>
      <w:r>
        <w:rPr>
          <w:rFonts w:hint="eastAsia"/>
          <w:color w:val="auto"/>
          <w:sz w:val="28"/>
          <w:szCs w:val="28"/>
        </w:rPr>
        <w:t>、三聚磷酸钠、肥料载体等为原料经物理混合制备</w:t>
      </w:r>
      <w:r>
        <w:rPr>
          <w:rFonts w:ascii="宋体" w:hAnsi="宋体" w:cs="宋体"/>
          <w:color w:val="auto"/>
          <w:kern w:val="0"/>
          <w:sz w:val="28"/>
          <w:szCs w:val="28"/>
        </w:rPr>
        <w:t>0.1%24-表芸*胺鲜酯</w:t>
      </w:r>
      <w:r>
        <w:rPr>
          <w:rFonts w:hint="eastAsia"/>
          <w:color w:val="auto"/>
          <w:sz w:val="28"/>
          <w:szCs w:val="28"/>
        </w:rPr>
        <w:t>制剂。</w:t>
      </w:r>
    </w:p>
    <w:p>
      <w:pPr>
        <w:pStyle w:val="49"/>
        <w:ind w:firstLine="562" w:firstLineChars="200"/>
        <w:rPr>
          <w:b/>
          <w:bCs/>
          <w:color w:val="auto"/>
          <w:sz w:val="28"/>
          <w:szCs w:val="28"/>
        </w:rPr>
      </w:pPr>
      <w:r>
        <w:rPr>
          <w:rFonts w:hint="eastAsia"/>
          <w:b/>
          <w:bCs/>
          <w:color w:val="auto"/>
          <w:sz w:val="28"/>
          <w:szCs w:val="28"/>
        </w:rPr>
        <w:t>2、工艺技术来源</w:t>
      </w:r>
    </w:p>
    <w:p>
      <w:pPr>
        <w:pStyle w:val="49"/>
        <w:ind w:firstLine="560" w:firstLineChars="200"/>
        <w:rPr>
          <w:color w:val="auto"/>
          <w:sz w:val="28"/>
          <w:szCs w:val="28"/>
        </w:rPr>
      </w:pPr>
      <w:r>
        <w:rPr>
          <w:rFonts w:hint="eastAsia"/>
          <w:color w:val="auto"/>
          <w:sz w:val="28"/>
          <w:szCs w:val="28"/>
        </w:rPr>
        <w:t>江西鑫立莱生化有限责任公司已委托江西省化学化工协会对年产芸苔素内酯原药5千kg、制剂3万吨项目生产工艺进行国内首次使用的化工工艺技术安全可靠性论证，并出具《江西省化工建设项目国内首次使用的化工工艺技术安全可靠性论证报告》，报告表明采用的工艺技术安全可靠，采取一定的安全措施后生产过程中危险有害因素可控，三废排放量低且易于治理。</w:t>
      </w:r>
    </w:p>
    <w:p>
      <w:pPr>
        <w:pStyle w:val="49"/>
        <w:ind w:firstLine="560" w:firstLineChars="200"/>
        <w:rPr>
          <w:color w:val="auto"/>
          <w:sz w:val="28"/>
          <w:szCs w:val="28"/>
        </w:rPr>
      </w:pPr>
      <w:r>
        <w:rPr>
          <w:rFonts w:hint="eastAsia"/>
          <w:color w:val="auto"/>
          <w:sz w:val="28"/>
          <w:szCs w:val="28"/>
        </w:rPr>
        <w:t>江西鑫立莱生化有限责任公司已委托杭州格致检测科技有限公司（具有中国合格评定国家认可委员会实验室认可证书，注册号：CNASL</w:t>
      </w:r>
      <w:r>
        <w:rPr>
          <w:color w:val="auto"/>
          <w:sz w:val="28"/>
          <w:szCs w:val="28"/>
        </w:rPr>
        <w:t>14210</w:t>
      </w:r>
      <w:r>
        <w:rPr>
          <w:rFonts w:hint="eastAsia"/>
          <w:color w:val="auto"/>
          <w:sz w:val="28"/>
          <w:szCs w:val="28"/>
        </w:rPr>
        <w:t>；具有浙江市场监督管理局颁发的检验检测机构资质认定证书，证书编号：2</w:t>
      </w:r>
      <w:r>
        <w:rPr>
          <w:color w:val="auto"/>
          <w:sz w:val="28"/>
          <w:szCs w:val="28"/>
        </w:rPr>
        <w:t>01121342662</w:t>
      </w:r>
      <w:r>
        <w:rPr>
          <w:rFonts w:hint="eastAsia"/>
          <w:color w:val="auto"/>
          <w:sz w:val="28"/>
          <w:szCs w:val="28"/>
        </w:rPr>
        <w:t>）分别出具《2</w:t>
      </w:r>
      <w:r>
        <w:rPr>
          <w:color w:val="auto"/>
          <w:sz w:val="28"/>
          <w:szCs w:val="28"/>
        </w:rPr>
        <w:t>4-</w:t>
      </w:r>
      <w:r>
        <w:rPr>
          <w:rFonts w:hint="eastAsia"/>
          <w:color w:val="auto"/>
          <w:sz w:val="28"/>
          <w:szCs w:val="28"/>
        </w:rPr>
        <w:t>表芸苔素内酯磺酰化反应热安全风险评估</w:t>
      </w:r>
      <w:bookmarkStart w:id="24" w:name="_Hlk145321837"/>
      <w:r>
        <w:rPr>
          <w:rFonts w:hint="eastAsia"/>
          <w:color w:val="auto"/>
          <w:sz w:val="28"/>
          <w:szCs w:val="28"/>
        </w:rPr>
        <w:t>报告</w:t>
      </w:r>
      <w:bookmarkEnd w:id="24"/>
      <w:r>
        <w:rPr>
          <w:rFonts w:hint="eastAsia"/>
          <w:color w:val="auto"/>
          <w:sz w:val="28"/>
          <w:szCs w:val="28"/>
        </w:rPr>
        <w:t>》、《2</w:t>
      </w:r>
      <w:r>
        <w:rPr>
          <w:color w:val="auto"/>
          <w:sz w:val="28"/>
          <w:szCs w:val="28"/>
        </w:rPr>
        <w:t>4-</w:t>
      </w:r>
      <w:r>
        <w:rPr>
          <w:rFonts w:hint="eastAsia"/>
          <w:color w:val="auto"/>
          <w:sz w:val="28"/>
          <w:szCs w:val="28"/>
        </w:rPr>
        <w:t>表芸苔素内酯氧化反应热安全风险评估报告》、《2</w:t>
      </w:r>
      <w:r>
        <w:rPr>
          <w:color w:val="auto"/>
          <w:sz w:val="28"/>
          <w:szCs w:val="28"/>
        </w:rPr>
        <w:t>4-</w:t>
      </w:r>
      <w:r>
        <w:rPr>
          <w:rFonts w:hint="eastAsia"/>
          <w:color w:val="auto"/>
          <w:sz w:val="28"/>
          <w:szCs w:val="28"/>
        </w:rPr>
        <w:t>表芸苔素内酯还原反应热安全风险评估</w:t>
      </w:r>
      <w:bookmarkStart w:id="25" w:name="_Hlk145321842"/>
      <w:r>
        <w:rPr>
          <w:rFonts w:hint="eastAsia"/>
          <w:color w:val="auto"/>
          <w:sz w:val="28"/>
          <w:szCs w:val="28"/>
        </w:rPr>
        <w:t>报告</w:t>
      </w:r>
      <w:bookmarkEnd w:id="25"/>
      <w:r>
        <w:rPr>
          <w:rFonts w:hint="eastAsia"/>
          <w:color w:val="auto"/>
          <w:sz w:val="28"/>
          <w:szCs w:val="28"/>
        </w:rPr>
        <w:t>》、《2</w:t>
      </w:r>
      <w:r>
        <w:rPr>
          <w:color w:val="auto"/>
          <w:sz w:val="28"/>
          <w:szCs w:val="28"/>
        </w:rPr>
        <w:t>4-</w:t>
      </w:r>
      <w:r>
        <w:rPr>
          <w:rFonts w:hint="eastAsia"/>
          <w:color w:val="auto"/>
          <w:sz w:val="28"/>
          <w:szCs w:val="28"/>
        </w:rPr>
        <w:t>表芸苔素内酯化工艺热安全风险评估报告》、《2</w:t>
      </w:r>
      <w:r>
        <w:rPr>
          <w:color w:val="auto"/>
          <w:sz w:val="28"/>
          <w:szCs w:val="28"/>
        </w:rPr>
        <w:t>8-</w:t>
      </w:r>
      <w:r>
        <w:rPr>
          <w:rFonts w:hint="eastAsia"/>
          <w:color w:val="auto"/>
          <w:sz w:val="28"/>
          <w:szCs w:val="28"/>
        </w:rPr>
        <w:t>高芸苔素内酯磺酰化反应热安全风险评估报告》、《2</w:t>
      </w:r>
      <w:r>
        <w:rPr>
          <w:color w:val="auto"/>
          <w:sz w:val="28"/>
          <w:szCs w:val="28"/>
        </w:rPr>
        <w:t>8-</w:t>
      </w:r>
      <w:r>
        <w:rPr>
          <w:rFonts w:hint="eastAsia"/>
          <w:color w:val="auto"/>
          <w:sz w:val="28"/>
          <w:szCs w:val="28"/>
        </w:rPr>
        <w:t>高芸苔素内酯氧化反应热安全风险评估报告》、《2</w:t>
      </w:r>
      <w:r>
        <w:rPr>
          <w:color w:val="auto"/>
          <w:sz w:val="28"/>
          <w:szCs w:val="28"/>
        </w:rPr>
        <w:t>8-</w:t>
      </w:r>
      <w:r>
        <w:rPr>
          <w:rFonts w:hint="eastAsia"/>
          <w:color w:val="auto"/>
          <w:sz w:val="28"/>
          <w:szCs w:val="28"/>
        </w:rPr>
        <w:t>高芸苔素内酯化工艺热安全风险评估报告》和《丙酰芸苔素内酯环氧和内酯化反应热安全风险评估报告》；报告指出2</w:t>
      </w:r>
      <w:r>
        <w:rPr>
          <w:color w:val="auto"/>
          <w:sz w:val="28"/>
          <w:szCs w:val="28"/>
        </w:rPr>
        <w:t>4-</w:t>
      </w:r>
      <w:r>
        <w:rPr>
          <w:rFonts w:hint="eastAsia"/>
          <w:color w:val="auto"/>
          <w:sz w:val="28"/>
          <w:szCs w:val="28"/>
        </w:rPr>
        <w:t>表芸苔素内酯磺酰化反应工艺危险度为1级；2</w:t>
      </w:r>
      <w:r>
        <w:rPr>
          <w:color w:val="auto"/>
          <w:sz w:val="28"/>
          <w:szCs w:val="28"/>
        </w:rPr>
        <w:t>4-</w:t>
      </w:r>
      <w:r>
        <w:rPr>
          <w:rFonts w:hint="eastAsia"/>
          <w:color w:val="auto"/>
          <w:sz w:val="28"/>
          <w:szCs w:val="28"/>
        </w:rPr>
        <w:t>表芸苔素内酯氧化反应工艺危险度为1级；2</w:t>
      </w:r>
      <w:r>
        <w:rPr>
          <w:color w:val="auto"/>
          <w:sz w:val="28"/>
          <w:szCs w:val="28"/>
        </w:rPr>
        <w:t>4-</w:t>
      </w:r>
      <w:r>
        <w:rPr>
          <w:rFonts w:hint="eastAsia"/>
          <w:color w:val="auto"/>
          <w:sz w:val="28"/>
          <w:szCs w:val="28"/>
        </w:rPr>
        <w:t>表芸苔素内酯还原反应工艺危险度为1级；2</w:t>
      </w:r>
      <w:r>
        <w:rPr>
          <w:color w:val="auto"/>
          <w:sz w:val="28"/>
          <w:szCs w:val="28"/>
        </w:rPr>
        <w:t>4-</w:t>
      </w:r>
      <w:r>
        <w:rPr>
          <w:rFonts w:hint="eastAsia"/>
          <w:color w:val="auto"/>
          <w:sz w:val="28"/>
          <w:szCs w:val="28"/>
        </w:rPr>
        <w:t>表芸苔素内酯内酯化反应工艺危险度为1级；2</w:t>
      </w:r>
      <w:r>
        <w:rPr>
          <w:color w:val="auto"/>
          <w:sz w:val="28"/>
          <w:szCs w:val="28"/>
        </w:rPr>
        <w:t>8-</w:t>
      </w:r>
      <w:r>
        <w:rPr>
          <w:rFonts w:hint="eastAsia"/>
          <w:color w:val="auto"/>
          <w:sz w:val="28"/>
          <w:szCs w:val="28"/>
        </w:rPr>
        <w:t>高芸苔素内酯和丙酰芸苔素内酯磺酰化反应工艺危险度为1级；2</w:t>
      </w:r>
      <w:r>
        <w:rPr>
          <w:color w:val="auto"/>
          <w:sz w:val="28"/>
          <w:szCs w:val="28"/>
        </w:rPr>
        <w:t>8-</w:t>
      </w:r>
      <w:r>
        <w:rPr>
          <w:rFonts w:hint="eastAsia"/>
          <w:color w:val="auto"/>
          <w:sz w:val="28"/>
          <w:szCs w:val="28"/>
        </w:rPr>
        <w:t>高芸苔素内酯和丙酰芸苔素内酯氧化反应工艺危险度为1级；2</w:t>
      </w:r>
      <w:r>
        <w:rPr>
          <w:color w:val="auto"/>
          <w:sz w:val="28"/>
          <w:szCs w:val="28"/>
        </w:rPr>
        <w:t>4-</w:t>
      </w:r>
      <w:r>
        <w:rPr>
          <w:rFonts w:hint="eastAsia"/>
          <w:color w:val="auto"/>
          <w:sz w:val="28"/>
          <w:szCs w:val="28"/>
        </w:rPr>
        <w:t>表芸苔素内酯和2</w:t>
      </w:r>
      <w:r>
        <w:rPr>
          <w:color w:val="auto"/>
          <w:sz w:val="28"/>
          <w:szCs w:val="28"/>
        </w:rPr>
        <w:t>8-</w:t>
      </w:r>
      <w:r>
        <w:rPr>
          <w:rFonts w:hint="eastAsia"/>
          <w:color w:val="auto"/>
          <w:sz w:val="28"/>
          <w:szCs w:val="28"/>
        </w:rPr>
        <w:t>高芸苔素内酯副反应中氧化反应工艺危险度为1级；丙酰芸苔素内酯环氧和内酯化反应工艺危险度为1级。</w:t>
      </w:r>
    </w:p>
    <w:p>
      <w:pPr>
        <w:pStyle w:val="49"/>
        <w:ind w:firstLine="560" w:firstLineChars="200"/>
        <w:rPr>
          <w:color w:val="auto"/>
          <w:sz w:val="28"/>
          <w:szCs w:val="28"/>
        </w:rPr>
      </w:pPr>
      <w:r>
        <w:rPr>
          <w:rFonts w:hint="eastAsia"/>
          <w:color w:val="auto"/>
          <w:sz w:val="28"/>
          <w:szCs w:val="28"/>
        </w:rPr>
        <w:t>因此，该项目技术方案在后续设计过程中采纳工艺技术可靠性论证报告和反应热安全风险评估报告的建议措施后是安全的、可靠的，能够满足安全生产要求。</w:t>
      </w:r>
    </w:p>
    <w:p>
      <w:pPr>
        <w:keepNext/>
        <w:keepLines/>
        <w:spacing w:line="600" w:lineRule="exact"/>
        <w:jc w:val="left"/>
        <w:outlineLvl w:val="2"/>
        <w:rPr>
          <w:b/>
          <w:color w:val="auto"/>
          <w:sz w:val="28"/>
          <w:szCs w:val="32"/>
        </w:rPr>
      </w:pPr>
      <w:bookmarkStart w:id="26" w:name="_Toc144109142"/>
      <w:r>
        <w:rPr>
          <w:rFonts w:hint="eastAsia"/>
          <w:b/>
          <w:color w:val="auto"/>
          <w:sz w:val="28"/>
          <w:szCs w:val="32"/>
        </w:rPr>
        <w:t>2.</w:t>
      </w:r>
      <w:r>
        <w:rPr>
          <w:b/>
          <w:color w:val="auto"/>
          <w:sz w:val="28"/>
          <w:szCs w:val="32"/>
        </w:rPr>
        <w:t>2</w:t>
      </w:r>
      <w:r>
        <w:rPr>
          <w:rFonts w:hint="eastAsia"/>
          <w:b/>
          <w:color w:val="auto"/>
          <w:sz w:val="28"/>
          <w:szCs w:val="32"/>
        </w:rPr>
        <w:t>.</w:t>
      </w:r>
      <w:r>
        <w:rPr>
          <w:b/>
          <w:color w:val="auto"/>
          <w:sz w:val="28"/>
          <w:szCs w:val="32"/>
        </w:rPr>
        <w:t>3</w:t>
      </w:r>
      <w:r>
        <w:rPr>
          <w:rFonts w:hint="eastAsia"/>
          <w:b/>
          <w:color w:val="auto"/>
          <w:sz w:val="28"/>
          <w:szCs w:val="32"/>
        </w:rPr>
        <w:t xml:space="preserve"> 上下游生产装置及与现有及在建生产装置间的关系</w:t>
      </w:r>
      <w:bookmarkEnd w:id="26"/>
    </w:p>
    <w:p>
      <w:pPr>
        <w:pStyle w:val="49"/>
        <w:ind w:firstLine="562" w:firstLineChars="200"/>
        <w:jc w:val="both"/>
        <w:rPr>
          <w:b/>
          <w:bCs/>
          <w:color w:val="auto"/>
          <w:sz w:val="28"/>
          <w:szCs w:val="28"/>
        </w:rPr>
      </w:pPr>
      <w:r>
        <w:rPr>
          <w:rFonts w:hint="eastAsia"/>
          <w:b/>
          <w:bCs/>
          <w:color w:val="auto"/>
          <w:sz w:val="28"/>
          <w:szCs w:val="28"/>
        </w:rPr>
        <w:t>1、该项目上、下游生产装置</w:t>
      </w:r>
    </w:p>
    <w:p>
      <w:pPr>
        <w:widowControl/>
        <w:ind w:firstLine="560" w:firstLineChars="200"/>
        <w:rPr>
          <w:color w:val="auto"/>
          <w:sz w:val="28"/>
          <w:szCs w:val="28"/>
        </w:rPr>
      </w:pPr>
      <w:r>
        <w:rPr>
          <w:rFonts w:hint="eastAsia"/>
          <w:color w:val="auto"/>
          <w:sz w:val="28"/>
          <w:szCs w:val="28"/>
        </w:rPr>
        <w:t>该项目1</w:t>
      </w:r>
      <w:r>
        <w:rPr>
          <w:color w:val="auto"/>
          <w:sz w:val="28"/>
          <w:szCs w:val="28"/>
        </w:rPr>
        <w:t>01</w:t>
      </w:r>
      <w:r>
        <w:rPr>
          <w:rFonts w:hint="eastAsia"/>
          <w:color w:val="auto"/>
          <w:sz w:val="28"/>
          <w:szCs w:val="28"/>
        </w:rPr>
        <w:t>甲类车间一生产的2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高芸苔素内酯和丙酰芸苔素内酯等产品部分用于1</w:t>
      </w:r>
      <w:r>
        <w:rPr>
          <w:color w:val="auto"/>
          <w:sz w:val="28"/>
          <w:szCs w:val="28"/>
        </w:rPr>
        <w:t>03</w:t>
      </w:r>
      <w:r>
        <w:rPr>
          <w:rFonts w:hint="eastAsia"/>
          <w:color w:val="auto"/>
          <w:sz w:val="28"/>
          <w:szCs w:val="28"/>
        </w:rPr>
        <w:t>液体制剂车间和1</w:t>
      </w:r>
      <w:r>
        <w:rPr>
          <w:color w:val="auto"/>
          <w:sz w:val="28"/>
          <w:szCs w:val="28"/>
        </w:rPr>
        <w:t>04</w:t>
      </w:r>
      <w:r>
        <w:rPr>
          <w:rFonts w:hint="eastAsia"/>
          <w:color w:val="auto"/>
          <w:sz w:val="28"/>
          <w:szCs w:val="28"/>
        </w:rPr>
        <w:t>颗粒剂车间生产液体和颗粒剂农药制剂。</w:t>
      </w:r>
    </w:p>
    <w:p>
      <w:pPr>
        <w:widowControl/>
        <w:ind w:firstLine="560" w:firstLineChars="200"/>
        <w:rPr>
          <w:color w:val="auto"/>
          <w:sz w:val="28"/>
          <w:szCs w:val="28"/>
        </w:rPr>
      </w:pPr>
      <w:r>
        <w:rPr>
          <w:rFonts w:hint="eastAsia"/>
          <w:color w:val="auto"/>
          <w:sz w:val="28"/>
          <w:szCs w:val="28"/>
        </w:rPr>
        <w:t>2</w:t>
      </w:r>
      <w:r>
        <w:rPr>
          <w:color w:val="auto"/>
          <w:sz w:val="28"/>
          <w:szCs w:val="28"/>
        </w:rPr>
        <w:t>4-</w:t>
      </w:r>
      <w:r>
        <w:rPr>
          <w:rFonts w:hint="eastAsia"/>
          <w:color w:val="auto"/>
          <w:sz w:val="28"/>
          <w:szCs w:val="28"/>
        </w:rPr>
        <w:t>表芸苔素内酯生产下游装置为</w:t>
      </w:r>
      <w:r>
        <w:rPr>
          <w:rFonts w:ascii="宋体" w:hAnsi="宋体" w:cs="宋体"/>
          <w:color w:val="auto"/>
          <w:kern w:val="0"/>
          <w:sz w:val="28"/>
          <w:szCs w:val="28"/>
        </w:rPr>
        <w:t>0.01%24-表芸苔素内酯</w:t>
      </w:r>
      <w:r>
        <w:rPr>
          <w:rFonts w:hint="eastAsia"/>
          <w:color w:val="auto"/>
          <w:sz w:val="28"/>
          <w:szCs w:val="28"/>
        </w:rPr>
        <w:t>、</w:t>
      </w:r>
      <w:r>
        <w:rPr>
          <w:rFonts w:ascii="宋体" w:hAnsi="宋体" w:cs="宋体"/>
          <w:color w:val="auto"/>
          <w:kern w:val="0"/>
          <w:sz w:val="28"/>
          <w:szCs w:val="28"/>
        </w:rPr>
        <w:t>1%24-表芸*氨基寡糖素</w:t>
      </w:r>
      <w:r>
        <w:rPr>
          <w:rFonts w:hint="eastAsia"/>
          <w:color w:val="auto"/>
          <w:sz w:val="28"/>
          <w:szCs w:val="28"/>
        </w:rPr>
        <w:t>、</w:t>
      </w:r>
      <w:r>
        <w:rPr>
          <w:rFonts w:ascii="宋体" w:hAnsi="宋体" w:cs="宋体"/>
          <w:color w:val="auto"/>
          <w:kern w:val="0"/>
          <w:sz w:val="28"/>
          <w:szCs w:val="28"/>
        </w:rPr>
        <w:t>0.1%24-表芸*胺鲜酯</w:t>
      </w:r>
      <w:r>
        <w:rPr>
          <w:rFonts w:hint="eastAsia"/>
          <w:color w:val="auto"/>
          <w:sz w:val="28"/>
          <w:szCs w:val="28"/>
        </w:rPr>
        <w:t>等制剂生产装置，</w:t>
      </w:r>
      <w:r>
        <w:rPr>
          <w:rFonts w:ascii="宋体" w:hAnsi="宋体" w:cs="宋体"/>
          <w:color w:val="auto"/>
          <w:kern w:val="0"/>
          <w:sz w:val="28"/>
          <w:szCs w:val="28"/>
        </w:rPr>
        <w:t>0.01%24-表芸苔素内酯</w:t>
      </w:r>
      <w:r>
        <w:rPr>
          <w:rFonts w:hint="eastAsia"/>
          <w:color w:val="auto"/>
          <w:sz w:val="28"/>
          <w:szCs w:val="28"/>
        </w:rPr>
        <w:t>、</w:t>
      </w:r>
      <w:r>
        <w:rPr>
          <w:rFonts w:ascii="宋体" w:hAnsi="宋体" w:cs="宋体"/>
          <w:color w:val="auto"/>
          <w:kern w:val="0"/>
          <w:sz w:val="28"/>
          <w:szCs w:val="28"/>
        </w:rPr>
        <w:t>1%24-表芸*氨基寡糖素</w:t>
      </w:r>
      <w:r>
        <w:rPr>
          <w:rFonts w:hint="eastAsia"/>
          <w:color w:val="auto"/>
          <w:sz w:val="28"/>
          <w:szCs w:val="28"/>
        </w:rPr>
        <w:t>、</w:t>
      </w:r>
      <w:r>
        <w:rPr>
          <w:rFonts w:ascii="宋体" w:hAnsi="宋体" w:cs="宋体"/>
          <w:color w:val="auto"/>
          <w:kern w:val="0"/>
          <w:sz w:val="28"/>
          <w:szCs w:val="28"/>
        </w:rPr>
        <w:t>0.1%24-表芸*胺鲜酯</w:t>
      </w:r>
      <w:r>
        <w:rPr>
          <w:rFonts w:hint="eastAsia"/>
          <w:color w:val="auto"/>
          <w:sz w:val="28"/>
          <w:szCs w:val="28"/>
        </w:rPr>
        <w:t>等制剂以2</w:t>
      </w:r>
      <w:r>
        <w:rPr>
          <w:color w:val="auto"/>
          <w:sz w:val="28"/>
          <w:szCs w:val="28"/>
        </w:rPr>
        <w:t>4-</w:t>
      </w:r>
      <w:r>
        <w:rPr>
          <w:rFonts w:hint="eastAsia"/>
          <w:color w:val="auto"/>
          <w:sz w:val="28"/>
          <w:szCs w:val="28"/>
        </w:rPr>
        <w:t>表芸苔素内酯为原料；2</w:t>
      </w:r>
      <w:r>
        <w:rPr>
          <w:color w:val="auto"/>
          <w:sz w:val="28"/>
          <w:szCs w:val="28"/>
        </w:rPr>
        <w:t>8-</w:t>
      </w:r>
      <w:r>
        <w:rPr>
          <w:rFonts w:hint="eastAsia"/>
          <w:color w:val="auto"/>
          <w:sz w:val="28"/>
          <w:szCs w:val="28"/>
        </w:rPr>
        <w:t>高芸苔素内酯生产下游装置为</w:t>
      </w:r>
      <w:r>
        <w:rPr>
          <w:rFonts w:ascii="宋体" w:hAnsi="宋体" w:cs="宋体"/>
          <w:color w:val="auto"/>
          <w:kern w:val="0"/>
          <w:sz w:val="28"/>
          <w:szCs w:val="28"/>
        </w:rPr>
        <w:t>0.01%28-高*丙酰芸苔素内酯</w:t>
      </w:r>
      <w:r>
        <w:rPr>
          <w:rFonts w:hint="eastAsia"/>
          <w:color w:val="auto"/>
          <w:sz w:val="28"/>
          <w:szCs w:val="28"/>
        </w:rPr>
        <w:t>、</w:t>
      </w:r>
      <w:r>
        <w:rPr>
          <w:rFonts w:ascii="宋体" w:hAnsi="宋体" w:cs="宋体"/>
          <w:color w:val="auto"/>
          <w:kern w:val="0"/>
          <w:sz w:val="28"/>
          <w:szCs w:val="28"/>
        </w:rPr>
        <w:t>4.5%28-高芸*赤霉酸</w:t>
      </w:r>
      <w:r>
        <w:rPr>
          <w:rFonts w:hint="eastAsia"/>
          <w:color w:val="auto"/>
          <w:sz w:val="28"/>
          <w:szCs w:val="28"/>
        </w:rPr>
        <w:t>、</w:t>
      </w:r>
      <w:r>
        <w:rPr>
          <w:rFonts w:ascii="宋体" w:hAnsi="宋体" w:cs="宋体"/>
          <w:color w:val="auto"/>
          <w:kern w:val="0"/>
          <w:sz w:val="28"/>
          <w:szCs w:val="28"/>
        </w:rPr>
        <w:t>5%28-高芸*烯效唑</w:t>
      </w:r>
      <w:r>
        <w:rPr>
          <w:rFonts w:hint="eastAsia"/>
          <w:color w:val="auto"/>
          <w:sz w:val="28"/>
          <w:szCs w:val="28"/>
        </w:rPr>
        <w:t>、</w:t>
      </w:r>
      <w:r>
        <w:rPr>
          <w:rFonts w:ascii="宋体" w:hAnsi="宋体" w:cs="宋体"/>
          <w:color w:val="auto"/>
          <w:kern w:val="0"/>
          <w:sz w:val="28"/>
          <w:szCs w:val="28"/>
        </w:rPr>
        <w:t>2%28-高芸*苄氨基嘌呤</w:t>
      </w:r>
      <w:r>
        <w:rPr>
          <w:rFonts w:hint="eastAsia"/>
          <w:color w:val="auto"/>
          <w:sz w:val="28"/>
          <w:szCs w:val="28"/>
        </w:rPr>
        <w:t>、</w:t>
      </w:r>
      <w:r>
        <w:rPr>
          <w:rFonts w:ascii="宋体" w:hAnsi="宋体" w:cs="宋体"/>
          <w:color w:val="auto"/>
          <w:kern w:val="0"/>
          <w:sz w:val="28"/>
          <w:szCs w:val="28"/>
        </w:rPr>
        <w:t>0.5%28-高芸*氯吡脲</w:t>
      </w:r>
      <w:r>
        <w:rPr>
          <w:rFonts w:hint="eastAsia"/>
          <w:color w:val="auto"/>
          <w:sz w:val="28"/>
          <w:szCs w:val="28"/>
        </w:rPr>
        <w:t>、</w:t>
      </w:r>
      <w:r>
        <w:rPr>
          <w:rFonts w:ascii="宋体" w:hAnsi="宋体" w:cs="宋体"/>
          <w:color w:val="auto"/>
          <w:kern w:val="0"/>
          <w:sz w:val="28"/>
          <w:szCs w:val="28"/>
        </w:rPr>
        <w:t>0.16%28-高芸*</w:t>
      </w:r>
      <w:r>
        <w:rPr>
          <w:rFonts w:hint="eastAsia" w:ascii="宋体" w:hAnsi="宋体" w:cs="宋体"/>
          <w:color w:val="auto"/>
          <w:kern w:val="0"/>
          <w:sz w:val="28"/>
          <w:szCs w:val="28"/>
        </w:rPr>
        <w:t>噻</w:t>
      </w:r>
      <w:r>
        <w:rPr>
          <w:rFonts w:ascii="宋体" w:hAnsi="宋体" w:cs="宋体"/>
          <w:color w:val="auto"/>
          <w:kern w:val="0"/>
          <w:sz w:val="28"/>
          <w:szCs w:val="28"/>
        </w:rPr>
        <w:t>苯隆</w:t>
      </w:r>
      <w:r>
        <w:rPr>
          <w:rFonts w:hint="eastAsia"/>
          <w:color w:val="auto"/>
          <w:sz w:val="28"/>
          <w:szCs w:val="28"/>
        </w:rPr>
        <w:t>等制剂生产装置，</w:t>
      </w:r>
      <w:r>
        <w:rPr>
          <w:rFonts w:ascii="宋体" w:hAnsi="宋体" w:cs="宋体"/>
          <w:color w:val="auto"/>
          <w:kern w:val="0"/>
          <w:sz w:val="28"/>
          <w:szCs w:val="28"/>
        </w:rPr>
        <w:t>0.01%28-高*丙酰芸苔素内酯</w:t>
      </w:r>
      <w:r>
        <w:rPr>
          <w:rFonts w:hint="eastAsia"/>
          <w:color w:val="auto"/>
          <w:sz w:val="28"/>
          <w:szCs w:val="28"/>
        </w:rPr>
        <w:t>、</w:t>
      </w:r>
      <w:r>
        <w:rPr>
          <w:rFonts w:ascii="宋体" w:hAnsi="宋体" w:cs="宋体"/>
          <w:color w:val="auto"/>
          <w:kern w:val="0"/>
          <w:sz w:val="28"/>
          <w:szCs w:val="28"/>
        </w:rPr>
        <w:t>4.5%28-高芸*赤霉酸</w:t>
      </w:r>
      <w:r>
        <w:rPr>
          <w:rFonts w:hint="eastAsia"/>
          <w:color w:val="auto"/>
          <w:sz w:val="28"/>
          <w:szCs w:val="28"/>
        </w:rPr>
        <w:t>、</w:t>
      </w:r>
      <w:r>
        <w:rPr>
          <w:rFonts w:ascii="宋体" w:hAnsi="宋体" w:cs="宋体"/>
          <w:color w:val="auto"/>
          <w:kern w:val="0"/>
          <w:sz w:val="28"/>
          <w:szCs w:val="28"/>
        </w:rPr>
        <w:t>5%28-高芸*烯效唑</w:t>
      </w:r>
      <w:r>
        <w:rPr>
          <w:rFonts w:hint="eastAsia"/>
          <w:color w:val="auto"/>
          <w:sz w:val="28"/>
          <w:szCs w:val="28"/>
        </w:rPr>
        <w:t>、</w:t>
      </w:r>
      <w:r>
        <w:rPr>
          <w:rFonts w:ascii="宋体" w:hAnsi="宋体" w:cs="宋体"/>
          <w:color w:val="auto"/>
          <w:kern w:val="0"/>
          <w:sz w:val="28"/>
          <w:szCs w:val="28"/>
        </w:rPr>
        <w:t>2%28-高芸*苄氨基嘌呤</w:t>
      </w:r>
      <w:r>
        <w:rPr>
          <w:rFonts w:hint="eastAsia"/>
          <w:color w:val="auto"/>
          <w:sz w:val="28"/>
          <w:szCs w:val="28"/>
        </w:rPr>
        <w:t>、</w:t>
      </w:r>
      <w:r>
        <w:rPr>
          <w:rFonts w:ascii="宋体" w:hAnsi="宋体" w:cs="宋体"/>
          <w:color w:val="auto"/>
          <w:kern w:val="0"/>
          <w:sz w:val="28"/>
          <w:szCs w:val="28"/>
        </w:rPr>
        <w:t>0.5%28-高芸*氯吡脲</w:t>
      </w:r>
      <w:r>
        <w:rPr>
          <w:rFonts w:hint="eastAsia"/>
          <w:color w:val="auto"/>
          <w:sz w:val="28"/>
          <w:szCs w:val="28"/>
        </w:rPr>
        <w:t>、</w:t>
      </w:r>
      <w:r>
        <w:rPr>
          <w:rFonts w:ascii="宋体" w:hAnsi="宋体" w:cs="宋体"/>
          <w:color w:val="auto"/>
          <w:kern w:val="0"/>
          <w:sz w:val="28"/>
          <w:szCs w:val="28"/>
        </w:rPr>
        <w:t>0.16%28-高芸*</w:t>
      </w:r>
      <w:r>
        <w:rPr>
          <w:rFonts w:hint="eastAsia" w:ascii="宋体" w:hAnsi="宋体" w:cs="宋体"/>
          <w:color w:val="auto"/>
          <w:kern w:val="0"/>
          <w:sz w:val="28"/>
          <w:szCs w:val="28"/>
        </w:rPr>
        <w:t>噻</w:t>
      </w:r>
      <w:r>
        <w:rPr>
          <w:rFonts w:ascii="宋体" w:hAnsi="宋体" w:cs="宋体"/>
          <w:color w:val="auto"/>
          <w:kern w:val="0"/>
          <w:sz w:val="28"/>
          <w:szCs w:val="28"/>
        </w:rPr>
        <w:t>苯隆</w:t>
      </w:r>
      <w:r>
        <w:rPr>
          <w:rFonts w:hint="eastAsia"/>
          <w:color w:val="auto"/>
          <w:sz w:val="28"/>
          <w:szCs w:val="28"/>
        </w:rPr>
        <w:t>等制剂以2</w:t>
      </w:r>
      <w:r>
        <w:rPr>
          <w:color w:val="auto"/>
          <w:sz w:val="28"/>
          <w:szCs w:val="28"/>
        </w:rPr>
        <w:t>8-</w:t>
      </w:r>
      <w:r>
        <w:rPr>
          <w:rFonts w:hint="eastAsia"/>
          <w:color w:val="auto"/>
          <w:sz w:val="28"/>
          <w:szCs w:val="28"/>
        </w:rPr>
        <w:t>高芸苔素内酯为原料；丙酰芸苔素内酯生产下游装置为</w:t>
      </w:r>
      <w:r>
        <w:rPr>
          <w:rFonts w:ascii="宋体" w:hAnsi="宋体" w:cs="宋体"/>
          <w:color w:val="auto"/>
          <w:kern w:val="0"/>
          <w:sz w:val="28"/>
          <w:szCs w:val="28"/>
        </w:rPr>
        <w:t>0.003%丙酰芸苔素内酯</w:t>
      </w:r>
      <w:r>
        <w:rPr>
          <w:rFonts w:hint="eastAsia"/>
          <w:color w:val="auto"/>
          <w:sz w:val="28"/>
          <w:szCs w:val="28"/>
        </w:rPr>
        <w:t>、</w:t>
      </w:r>
      <w:r>
        <w:rPr>
          <w:rFonts w:ascii="宋体" w:hAnsi="宋体" w:cs="宋体"/>
          <w:color w:val="auto"/>
          <w:kern w:val="0"/>
          <w:sz w:val="28"/>
          <w:szCs w:val="28"/>
        </w:rPr>
        <w:t>0.01%28-高*丙酰芸苔素内酯</w:t>
      </w:r>
      <w:r>
        <w:rPr>
          <w:rFonts w:hint="eastAsia"/>
          <w:color w:val="auto"/>
          <w:sz w:val="28"/>
          <w:szCs w:val="28"/>
        </w:rPr>
        <w:t>、</w:t>
      </w:r>
      <w:r>
        <w:rPr>
          <w:rFonts w:ascii="宋体" w:hAnsi="宋体" w:cs="宋体"/>
          <w:color w:val="auto"/>
          <w:kern w:val="0"/>
          <w:sz w:val="28"/>
          <w:szCs w:val="28"/>
        </w:rPr>
        <w:t>0.1%丙酰芸*三十烷醇</w:t>
      </w:r>
      <w:r>
        <w:rPr>
          <w:rFonts w:hint="eastAsia"/>
          <w:color w:val="auto"/>
          <w:sz w:val="28"/>
          <w:szCs w:val="28"/>
        </w:rPr>
        <w:t>、0</w:t>
      </w:r>
      <w:r>
        <w:rPr>
          <w:color w:val="auto"/>
          <w:sz w:val="28"/>
          <w:szCs w:val="28"/>
        </w:rPr>
        <w:t>.1%</w:t>
      </w:r>
      <w:r>
        <w:rPr>
          <w:rFonts w:hint="eastAsia"/>
          <w:color w:val="auto"/>
          <w:sz w:val="28"/>
          <w:szCs w:val="28"/>
        </w:rPr>
        <w:t>丙酰芸*S</w:t>
      </w:r>
      <w:r>
        <w:rPr>
          <w:color w:val="auto"/>
          <w:sz w:val="28"/>
          <w:szCs w:val="28"/>
        </w:rPr>
        <w:t>-</w:t>
      </w:r>
      <w:r>
        <w:rPr>
          <w:rFonts w:hint="eastAsia"/>
          <w:color w:val="auto"/>
          <w:sz w:val="28"/>
          <w:szCs w:val="28"/>
        </w:rPr>
        <w:t>诱抗素、</w:t>
      </w:r>
      <w:r>
        <w:rPr>
          <w:rFonts w:ascii="宋体" w:hAnsi="宋体" w:cs="宋体"/>
          <w:color w:val="auto"/>
          <w:kern w:val="0"/>
          <w:sz w:val="28"/>
          <w:szCs w:val="28"/>
        </w:rPr>
        <w:t>0.1%丙酰芸*氨基寡糖素</w:t>
      </w:r>
      <w:r>
        <w:rPr>
          <w:rFonts w:hint="eastAsia"/>
          <w:color w:val="auto"/>
          <w:sz w:val="28"/>
          <w:szCs w:val="28"/>
        </w:rPr>
        <w:t>、</w:t>
      </w:r>
      <w:r>
        <w:rPr>
          <w:rFonts w:ascii="宋体" w:hAnsi="宋体" w:cs="宋体"/>
          <w:color w:val="auto"/>
          <w:kern w:val="0"/>
          <w:sz w:val="28"/>
          <w:szCs w:val="28"/>
        </w:rPr>
        <w:t>0.1%丙酰芸*吲哚丁酸</w:t>
      </w:r>
      <w:r>
        <w:rPr>
          <w:rFonts w:hint="eastAsia"/>
          <w:color w:val="auto"/>
          <w:sz w:val="28"/>
          <w:szCs w:val="28"/>
        </w:rPr>
        <w:t>、</w:t>
      </w:r>
      <w:r>
        <w:rPr>
          <w:rFonts w:ascii="宋体" w:hAnsi="宋体" w:cs="宋体"/>
          <w:color w:val="auto"/>
          <w:kern w:val="0"/>
          <w:sz w:val="28"/>
          <w:szCs w:val="28"/>
        </w:rPr>
        <w:t>2%丙酰芸*赤霉酸A4</w:t>
      </w:r>
      <w:r>
        <w:rPr>
          <w:rFonts w:hint="eastAsia"/>
          <w:color w:val="auto"/>
          <w:sz w:val="28"/>
          <w:szCs w:val="28"/>
        </w:rPr>
        <w:t>、</w:t>
      </w:r>
      <w:r>
        <w:rPr>
          <w:rFonts w:ascii="宋体" w:hAnsi="宋体" w:cs="宋体"/>
          <w:color w:val="auto"/>
          <w:kern w:val="0"/>
          <w:sz w:val="28"/>
          <w:szCs w:val="28"/>
        </w:rPr>
        <w:t>50%丙酰芸*氯化胆碱</w:t>
      </w:r>
      <w:r>
        <w:rPr>
          <w:rFonts w:hint="eastAsia"/>
          <w:color w:val="auto"/>
          <w:sz w:val="28"/>
          <w:szCs w:val="28"/>
        </w:rPr>
        <w:t>等制剂生产装置，</w:t>
      </w:r>
      <w:r>
        <w:rPr>
          <w:rFonts w:ascii="宋体" w:hAnsi="宋体" w:cs="宋体"/>
          <w:color w:val="auto"/>
          <w:kern w:val="0"/>
          <w:sz w:val="28"/>
          <w:szCs w:val="28"/>
        </w:rPr>
        <w:t>0.003%丙酰芸苔素内酯</w:t>
      </w:r>
      <w:r>
        <w:rPr>
          <w:rFonts w:hint="eastAsia"/>
          <w:color w:val="auto"/>
          <w:sz w:val="28"/>
          <w:szCs w:val="28"/>
        </w:rPr>
        <w:t>、</w:t>
      </w:r>
      <w:r>
        <w:rPr>
          <w:rFonts w:ascii="宋体" w:hAnsi="宋体" w:cs="宋体"/>
          <w:color w:val="auto"/>
          <w:kern w:val="0"/>
          <w:sz w:val="28"/>
          <w:szCs w:val="28"/>
        </w:rPr>
        <w:t>0.01%28-高*丙酰芸苔素内酯</w:t>
      </w:r>
      <w:r>
        <w:rPr>
          <w:rFonts w:hint="eastAsia"/>
          <w:color w:val="auto"/>
          <w:sz w:val="28"/>
          <w:szCs w:val="28"/>
        </w:rPr>
        <w:t>、</w:t>
      </w:r>
      <w:r>
        <w:rPr>
          <w:rFonts w:ascii="宋体" w:hAnsi="宋体" w:cs="宋体"/>
          <w:color w:val="auto"/>
          <w:kern w:val="0"/>
          <w:sz w:val="28"/>
          <w:szCs w:val="28"/>
        </w:rPr>
        <w:t>0.1%丙酰芸*三十烷醇</w:t>
      </w:r>
      <w:r>
        <w:rPr>
          <w:rFonts w:hint="eastAsia"/>
          <w:color w:val="auto"/>
          <w:sz w:val="28"/>
          <w:szCs w:val="28"/>
        </w:rPr>
        <w:t>、0</w:t>
      </w:r>
      <w:r>
        <w:rPr>
          <w:color w:val="auto"/>
          <w:sz w:val="28"/>
          <w:szCs w:val="28"/>
        </w:rPr>
        <w:t>.1%</w:t>
      </w:r>
      <w:r>
        <w:rPr>
          <w:rFonts w:hint="eastAsia"/>
          <w:color w:val="auto"/>
          <w:sz w:val="28"/>
          <w:szCs w:val="28"/>
        </w:rPr>
        <w:t>丙酰芸*S</w:t>
      </w:r>
      <w:r>
        <w:rPr>
          <w:color w:val="auto"/>
          <w:sz w:val="28"/>
          <w:szCs w:val="28"/>
        </w:rPr>
        <w:t>-</w:t>
      </w:r>
      <w:r>
        <w:rPr>
          <w:rFonts w:hint="eastAsia"/>
          <w:color w:val="auto"/>
          <w:sz w:val="28"/>
          <w:szCs w:val="28"/>
        </w:rPr>
        <w:t>诱抗素、</w:t>
      </w:r>
      <w:r>
        <w:rPr>
          <w:rFonts w:ascii="宋体" w:hAnsi="宋体" w:cs="宋体"/>
          <w:color w:val="auto"/>
          <w:kern w:val="0"/>
          <w:sz w:val="28"/>
          <w:szCs w:val="28"/>
        </w:rPr>
        <w:t>0.1%丙酰芸*氨基寡糖素</w:t>
      </w:r>
      <w:r>
        <w:rPr>
          <w:rFonts w:hint="eastAsia"/>
          <w:color w:val="auto"/>
          <w:sz w:val="28"/>
          <w:szCs w:val="28"/>
        </w:rPr>
        <w:t>、</w:t>
      </w:r>
      <w:r>
        <w:rPr>
          <w:rFonts w:ascii="宋体" w:hAnsi="宋体" w:cs="宋体"/>
          <w:color w:val="auto"/>
          <w:kern w:val="0"/>
          <w:sz w:val="28"/>
          <w:szCs w:val="28"/>
        </w:rPr>
        <w:t>0.1%丙酰芸*吲哚丁酸</w:t>
      </w:r>
      <w:r>
        <w:rPr>
          <w:rFonts w:hint="eastAsia"/>
          <w:color w:val="auto"/>
          <w:sz w:val="28"/>
          <w:szCs w:val="28"/>
        </w:rPr>
        <w:t>、</w:t>
      </w:r>
      <w:r>
        <w:rPr>
          <w:rFonts w:ascii="宋体" w:hAnsi="宋体" w:cs="宋体"/>
          <w:color w:val="auto"/>
          <w:kern w:val="0"/>
          <w:sz w:val="28"/>
          <w:szCs w:val="28"/>
        </w:rPr>
        <w:t>2%丙酰芸*赤霉酸A4</w:t>
      </w:r>
      <w:r>
        <w:rPr>
          <w:rFonts w:hint="eastAsia"/>
          <w:color w:val="auto"/>
          <w:sz w:val="28"/>
          <w:szCs w:val="28"/>
        </w:rPr>
        <w:t>、</w:t>
      </w:r>
      <w:r>
        <w:rPr>
          <w:rFonts w:ascii="宋体" w:hAnsi="宋体" w:cs="宋体"/>
          <w:color w:val="auto"/>
          <w:kern w:val="0"/>
          <w:sz w:val="28"/>
          <w:szCs w:val="28"/>
        </w:rPr>
        <w:t>50%丙酰芸*氯化胆碱</w:t>
      </w:r>
      <w:r>
        <w:rPr>
          <w:rFonts w:hint="eastAsia"/>
          <w:color w:val="auto"/>
          <w:sz w:val="28"/>
          <w:szCs w:val="28"/>
        </w:rPr>
        <w:t>等制剂以丙酰芸苔素内酯为原料。</w:t>
      </w:r>
    </w:p>
    <w:p>
      <w:pPr>
        <w:widowControl/>
        <w:jc w:val="center"/>
        <w:rPr>
          <w:rFonts w:ascii="宋体" w:hAnsi="宋体" w:cs="宋体"/>
          <w:color w:val="auto"/>
          <w:kern w:val="0"/>
        </w:rPr>
      </w:pPr>
      <w:r>
        <w:rPr>
          <w:color w:val="auto"/>
        </w:rPr>
        <w:drawing>
          <wp:inline distT="0" distB="0" distL="0" distR="0">
            <wp:extent cx="3109595" cy="617855"/>
            <wp:effectExtent l="0" t="0" r="0" b="0"/>
            <wp:docPr id="1105335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35168" name="图片 1"/>
                    <pic:cNvPicPr>
                      <a:picLocks noChangeAspect="1"/>
                    </pic:cNvPicPr>
                  </pic:nvPicPr>
                  <pic:blipFill>
                    <a:blip r:embed="rId21"/>
                    <a:stretch>
                      <a:fillRect/>
                    </a:stretch>
                  </pic:blipFill>
                  <pic:spPr>
                    <a:xfrm>
                      <a:off x="0" y="0"/>
                      <a:ext cx="3113543" cy="618589"/>
                    </a:xfrm>
                    <a:prstGeom prst="rect">
                      <a:avLst/>
                    </a:prstGeom>
                  </pic:spPr>
                </pic:pic>
              </a:graphicData>
            </a:graphic>
          </wp:inline>
        </w:drawing>
      </w:r>
    </w:p>
    <w:p>
      <w:pPr>
        <w:widowControl/>
        <w:jc w:val="center"/>
        <w:rPr>
          <w:rFonts w:ascii="宋体" w:hAnsi="宋体" w:cs="宋体"/>
          <w:color w:val="auto"/>
          <w:kern w:val="0"/>
        </w:rPr>
      </w:pPr>
      <w:r>
        <w:rPr>
          <w:color w:val="auto"/>
        </w:rPr>
        <w:drawing>
          <wp:inline distT="0" distB="0" distL="0" distR="0">
            <wp:extent cx="3312795" cy="1353185"/>
            <wp:effectExtent l="0" t="0" r="1905" b="0"/>
            <wp:docPr id="971501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01600" name="图片 1"/>
                    <pic:cNvPicPr>
                      <a:picLocks noChangeAspect="1"/>
                    </pic:cNvPicPr>
                  </pic:nvPicPr>
                  <pic:blipFill>
                    <a:blip r:embed="rId22"/>
                    <a:stretch>
                      <a:fillRect/>
                    </a:stretch>
                  </pic:blipFill>
                  <pic:spPr>
                    <a:xfrm>
                      <a:off x="0" y="0"/>
                      <a:ext cx="3356061" cy="1371286"/>
                    </a:xfrm>
                    <a:prstGeom prst="rect">
                      <a:avLst/>
                    </a:prstGeom>
                  </pic:spPr>
                </pic:pic>
              </a:graphicData>
            </a:graphic>
          </wp:inline>
        </w:drawing>
      </w:r>
      <w:r>
        <w:rPr>
          <w:color w:val="auto"/>
        </w:rPr>
        <w:drawing>
          <wp:inline distT="0" distB="0" distL="0" distR="0">
            <wp:extent cx="3241675" cy="1433830"/>
            <wp:effectExtent l="0" t="0" r="0" b="0"/>
            <wp:docPr id="2028985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85408" name="图片 1"/>
                    <pic:cNvPicPr>
                      <a:picLocks noChangeAspect="1"/>
                    </pic:cNvPicPr>
                  </pic:nvPicPr>
                  <pic:blipFill>
                    <a:blip r:embed="rId23"/>
                    <a:stretch>
                      <a:fillRect/>
                    </a:stretch>
                  </pic:blipFill>
                  <pic:spPr>
                    <a:xfrm>
                      <a:off x="0" y="0"/>
                      <a:ext cx="3275033" cy="1448669"/>
                    </a:xfrm>
                    <a:prstGeom prst="rect">
                      <a:avLst/>
                    </a:prstGeom>
                  </pic:spPr>
                </pic:pic>
              </a:graphicData>
            </a:graphic>
          </wp:inline>
        </w:drawing>
      </w:r>
    </w:p>
    <w:p>
      <w:pPr>
        <w:widowControl/>
        <w:jc w:val="center"/>
        <w:rPr>
          <w:rFonts w:ascii="宋体" w:hAnsi="宋体" w:cs="宋体"/>
          <w:color w:val="auto"/>
          <w:kern w:val="0"/>
        </w:rPr>
      </w:pPr>
      <w:r>
        <w:rPr>
          <w:rFonts w:hint="eastAsia" w:ascii="宋体" w:hAnsi="宋体" w:cs="宋体"/>
          <w:color w:val="auto"/>
          <w:kern w:val="0"/>
        </w:rPr>
        <w:t>图2</w:t>
      </w:r>
      <w:r>
        <w:rPr>
          <w:rFonts w:ascii="宋体" w:hAnsi="宋体" w:cs="宋体"/>
          <w:color w:val="auto"/>
          <w:kern w:val="0"/>
        </w:rPr>
        <w:t xml:space="preserve">-2 </w:t>
      </w:r>
      <w:r>
        <w:rPr>
          <w:rFonts w:hint="eastAsia" w:ascii="宋体" w:hAnsi="宋体" w:cs="宋体"/>
          <w:color w:val="auto"/>
          <w:kern w:val="0"/>
        </w:rPr>
        <w:t>上下游关系图</w:t>
      </w:r>
    </w:p>
    <w:p>
      <w:pPr>
        <w:pStyle w:val="49"/>
        <w:ind w:firstLine="562" w:firstLineChars="200"/>
        <w:jc w:val="both"/>
        <w:rPr>
          <w:b/>
          <w:bCs/>
          <w:color w:val="auto"/>
          <w:sz w:val="28"/>
          <w:szCs w:val="28"/>
        </w:rPr>
      </w:pPr>
      <w:r>
        <w:rPr>
          <w:b/>
          <w:bCs/>
          <w:color w:val="auto"/>
          <w:sz w:val="28"/>
          <w:szCs w:val="28"/>
        </w:rPr>
        <w:t>2</w:t>
      </w:r>
      <w:r>
        <w:rPr>
          <w:rFonts w:hint="eastAsia"/>
          <w:b/>
          <w:bCs/>
          <w:color w:val="auto"/>
          <w:sz w:val="28"/>
          <w:szCs w:val="28"/>
        </w:rPr>
        <w:t>、与现有、在建装置之间的关系</w:t>
      </w:r>
    </w:p>
    <w:p>
      <w:pPr>
        <w:pStyle w:val="49"/>
        <w:ind w:firstLine="560" w:firstLineChars="200"/>
        <w:jc w:val="both"/>
        <w:rPr>
          <w:color w:val="auto"/>
          <w:sz w:val="28"/>
          <w:szCs w:val="28"/>
        </w:rPr>
      </w:pPr>
      <w:r>
        <w:rPr>
          <w:rFonts w:hint="eastAsia"/>
          <w:color w:val="auto"/>
          <w:sz w:val="28"/>
          <w:szCs w:val="28"/>
        </w:rPr>
        <w:t>该项目为新建项目，各装置均为新增，无现有、在建装置。</w:t>
      </w:r>
    </w:p>
    <w:p>
      <w:pPr>
        <w:pStyle w:val="4"/>
        <w:rPr>
          <w:rFonts w:ascii="Times New Roman" w:hAnsi="Times New Roman" w:cs="Times New Roman"/>
          <w:bCs w:val="0"/>
          <w:color w:val="auto"/>
        </w:rPr>
      </w:pPr>
      <w:bookmarkStart w:id="27" w:name="_Toc144109143"/>
      <w:r>
        <w:rPr>
          <w:rFonts w:hint="eastAsia" w:ascii="Times New Roman" w:hAnsi="Times New Roman" w:cs="Times New Roman"/>
          <w:bCs w:val="0"/>
          <w:color w:val="auto"/>
        </w:rPr>
        <w:t>2.</w:t>
      </w:r>
      <w:r>
        <w:rPr>
          <w:rFonts w:ascii="Times New Roman" w:hAnsi="Times New Roman" w:cs="Times New Roman"/>
          <w:bCs w:val="0"/>
          <w:color w:val="auto"/>
        </w:rPr>
        <w:t>3</w:t>
      </w:r>
      <w:r>
        <w:rPr>
          <w:rFonts w:hint="eastAsia" w:ascii="Times New Roman" w:hAnsi="Times New Roman" w:cs="Times New Roman"/>
          <w:bCs w:val="0"/>
          <w:color w:val="auto"/>
        </w:rPr>
        <w:t xml:space="preserve"> 建设项目的产品和原辅材料</w:t>
      </w:r>
      <w:bookmarkEnd w:id="27"/>
    </w:p>
    <w:p>
      <w:pPr>
        <w:keepNext/>
        <w:keepLines/>
        <w:tabs>
          <w:tab w:val="left" w:pos="3165"/>
        </w:tabs>
        <w:spacing w:line="600" w:lineRule="exact"/>
        <w:jc w:val="left"/>
        <w:outlineLvl w:val="2"/>
        <w:rPr>
          <w:b/>
          <w:color w:val="auto"/>
          <w:sz w:val="28"/>
          <w:szCs w:val="32"/>
        </w:rPr>
      </w:pPr>
      <w:bookmarkStart w:id="28" w:name="_Toc144109144"/>
      <w:r>
        <w:rPr>
          <w:rFonts w:hint="eastAsia"/>
          <w:b/>
          <w:color w:val="auto"/>
          <w:sz w:val="28"/>
          <w:szCs w:val="32"/>
        </w:rPr>
        <w:t>2.</w:t>
      </w:r>
      <w:r>
        <w:rPr>
          <w:b/>
          <w:color w:val="auto"/>
          <w:sz w:val="28"/>
          <w:szCs w:val="32"/>
        </w:rPr>
        <w:t>3</w:t>
      </w:r>
      <w:r>
        <w:rPr>
          <w:rFonts w:hint="eastAsia"/>
          <w:b/>
          <w:color w:val="auto"/>
          <w:sz w:val="28"/>
          <w:szCs w:val="32"/>
        </w:rPr>
        <w:t>.</w:t>
      </w:r>
      <w:r>
        <w:rPr>
          <w:b/>
          <w:color w:val="auto"/>
          <w:sz w:val="28"/>
          <w:szCs w:val="32"/>
        </w:rPr>
        <w:t>1</w:t>
      </w:r>
      <w:r>
        <w:rPr>
          <w:rFonts w:hint="eastAsia"/>
          <w:b/>
          <w:color w:val="auto"/>
          <w:sz w:val="28"/>
          <w:szCs w:val="32"/>
        </w:rPr>
        <w:t xml:space="preserve"> 原辅材料</w:t>
      </w:r>
      <w:bookmarkEnd w:id="28"/>
    </w:p>
    <w:p>
      <w:pPr>
        <w:autoSpaceDE w:val="0"/>
        <w:autoSpaceDN w:val="0"/>
        <w:adjustRightInd w:val="0"/>
        <w:snapToGrid w:val="0"/>
        <w:ind w:firstLine="560" w:firstLineChars="200"/>
        <w:rPr>
          <w:rFonts w:ascii="宋体" w:hAnsi="宋体"/>
          <w:color w:val="auto"/>
          <w:sz w:val="28"/>
          <w:szCs w:val="28"/>
        </w:rPr>
      </w:pPr>
      <w:r>
        <w:rPr>
          <w:rFonts w:hint="eastAsia" w:ascii="宋体" w:hAnsi="宋体"/>
          <w:color w:val="auto"/>
          <w:sz w:val="28"/>
          <w:szCs w:val="28"/>
        </w:rPr>
        <w:t>本项目原辅料如下表。</w:t>
      </w:r>
    </w:p>
    <w:p>
      <w:pPr>
        <w:jc w:val="center"/>
        <w:rPr>
          <w:rFonts w:ascii="宋体" w:hAnsi="宋体"/>
          <w:color w:val="auto"/>
          <w:sz w:val="24"/>
          <w:szCs w:val="24"/>
        </w:rPr>
      </w:pPr>
      <w:r>
        <w:rPr>
          <w:rFonts w:hint="eastAsia" w:ascii="宋体" w:hAnsi="宋体"/>
          <w:color w:val="auto"/>
          <w:sz w:val="24"/>
          <w:szCs w:val="24"/>
        </w:rPr>
        <w:t>表2</w:t>
      </w:r>
      <w:r>
        <w:rPr>
          <w:rFonts w:ascii="宋体" w:hAnsi="宋体"/>
          <w:color w:val="auto"/>
          <w:sz w:val="24"/>
          <w:szCs w:val="24"/>
        </w:rPr>
        <w:t>.3</w:t>
      </w:r>
      <w:r>
        <w:rPr>
          <w:rFonts w:hint="eastAsia" w:ascii="宋体" w:hAnsi="宋体"/>
          <w:color w:val="auto"/>
          <w:sz w:val="24"/>
          <w:szCs w:val="24"/>
        </w:rPr>
        <w:t>-</w:t>
      </w:r>
      <w:r>
        <w:rPr>
          <w:rFonts w:ascii="宋体" w:hAnsi="宋体"/>
          <w:color w:val="auto"/>
          <w:sz w:val="24"/>
          <w:szCs w:val="24"/>
        </w:rPr>
        <w:t>1</w:t>
      </w:r>
      <w:r>
        <w:rPr>
          <w:rFonts w:hint="eastAsia" w:ascii="宋体" w:hAnsi="宋体"/>
          <w:color w:val="auto"/>
          <w:sz w:val="24"/>
          <w:szCs w:val="24"/>
        </w:rPr>
        <w:t xml:space="preserve"> 项目原辅料清单</w:t>
      </w:r>
    </w:p>
    <w:tbl>
      <w:tblPr>
        <w:tblStyle w:val="31"/>
        <w:tblW w:w="79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84"/>
        <w:gridCol w:w="650"/>
        <w:gridCol w:w="1278"/>
        <w:gridCol w:w="640"/>
        <w:gridCol w:w="1100"/>
        <w:gridCol w:w="1418"/>
        <w:gridCol w:w="709"/>
        <w:gridCol w:w="708"/>
        <w:gridCol w:w="85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4" w:space="0"/>
              <w:left w:val="single" w:color="auto" w:sz="4" w:space="0"/>
              <w:bottom w:val="single" w:color="auto" w:sz="6" w:space="0"/>
              <w:right w:val="single" w:color="auto" w:sz="6" w:space="0"/>
            </w:tcBorders>
            <w:vAlign w:val="center"/>
          </w:tcPr>
          <w:p>
            <w:pPr>
              <w:pStyle w:val="12"/>
              <w:spacing w:after="0" w:line="284" w:lineRule="exact"/>
              <w:ind w:left="0" w:leftChars="0"/>
              <w:jc w:val="center"/>
              <w:rPr>
                <w:b/>
                <w:color w:val="auto"/>
              </w:rPr>
            </w:pPr>
            <w:r>
              <w:rPr>
                <w:rFonts w:ascii="宋体" w:hAnsi="宋体"/>
                <w:b/>
                <w:color w:val="auto"/>
              </w:rPr>
              <w:t>序号</w:t>
            </w:r>
          </w:p>
        </w:tc>
        <w:tc>
          <w:tcPr>
            <w:tcW w:w="1928" w:type="dxa"/>
            <w:gridSpan w:val="2"/>
            <w:tcBorders>
              <w:top w:val="single" w:color="auto" w:sz="4" w:space="0"/>
              <w:left w:val="single" w:color="auto" w:sz="6" w:space="0"/>
              <w:bottom w:val="single" w:color="auto" w:sz="6" w:space="0"/>
              <w:right w:val="single" w:color="auto" w:sz="6" w:space="0"/>
            </w:tcBorders>
            <w:vAlign w:val="center"/>
          </w:tcPr>
          <w:p>
            <w:pPr>
              <w:pStyle w:val="12"/>
              <w:spacing w:after="0" w:line="284" w:lineRule="exact"/>
              <w:ind w:left="0" w:leftChars="0"/>
              <w:jc w:val="center"/>
              <w:rPr>
                <w:b/>
                <w:color w:val="auto"/>
              </w:rPr>
            </w:pPr>
            <w:r>
              <w:rPr>
                <w:rFonts w:ascii="宋体" w:hAnsi="宋体"/>
                <w:b/>
                <w:color w:val="auto"/>
              </w:rPr>
              <w:t>原料、辅料名称</w:t>
            </w:r>
          </w:p>
        </w:tc>
        <w:tc>
          <w:tcPr>
            <w:tcW w:w="640" w:type="dxa"/>
            <w:tcBorders>
              <w:top w:val="single" w:color="auto" w:sz="4" w:space="0"/>
              <w:left w:val="single" w:color="auto" w:sz="6" w:space="0"/>
              <w:bottom w:val="single" w:color="auto" w:sz="6" w:space="0"/>
              <w:right w:val="single" w:color="auto" w:sz="6" w:space="0"/>
            </w:tcBorders>
            <w:vAlign w:val="center"/>
          </w:tcPr>
          <w:p>
            <w:pPr>
              <w:pStyle w:val="12"/>
              <w:spacing w:after="0" w:line="284" w:lineRule="exact"/>
              <w:ind w:left="0" w:leftChars="0"/>
              <w:jc w:val="center"/>
              <w:rPr>
                <w:b/>
                <w:color w:val="auto"/>
              </w:rPr>
            </w:pPr>
            <w:r>
              <w:rPr>
                <w:rFonts w:ascii="宋体" w:hAnsi="宋体"/>
                <w:b/>
                <w:color w:val="auto"/>
              </w:rPr>
              <w:t>形态</w:t>
            </w:r>
          </w:p>
        </w:tc>
        <w:tc>
          <w:tcPr>
            <w:tcW w:w="1100" w:type="dxa"/>
            <w:tcBorders>
              <w:top w:val="single" w:color="auto" w:sz="4" w:space="0"/>
              <w:left w:val="single" w:color="auto" w:sz="6" w:space="0"/>
              <w:bottom w:val="single" w:color="auto" w:sz="6" w:space="0"/>
              <w:right w:val="single" w:color="auto" w:sz="6" w:space="0"/>
            </w:tcBorders>
            <w:vAlign w:val="center"/>
          </w:tcPr>
          <w:p>
            <w:pPr>
              <w:pStyle w:val="12"/>
              <w:spacing w:before="156" w:beforeLines="50" w:after="0" w:line="284" w:lineRule="exact"/>
              <w:ind w:left="0" w:leftChars="0"/>
              <w:jc w:val="center"/>
              <w:rPr>
                <w:b/>
                <w:color w:val="auto"/>
              </w:rPr>
            </w:pPr>
            <w:r>
              <w:rPr>
                <w:rFonts w:ascii="宋体" w:hAnsi="宋体"/>
                <w:b/>
                <w:color w:val="auto"/>
              </w:rPr>
              <w:t>规格</w:t>
            </w:r>
          </w:p>
        </w:tc>
        <w:tc>
          <w:tcPr>
            <w:tcW w:w="1418" w:type="dxa"/>
            <w:tcBorders>
              <w:top w:val="single" w:color="auto" w:sz="4" w:space="0"/>
              <w:left w:val="single" w:color="auto" w:sz="6" w:space="0"/>
              <w:bottom w:val="single" w:color="auto" w:sz="6" w:space="0"/>
              <w:right w:val="single" w:color="auto" w:sz="6" w:space="0"/>
            </w:tcBorders>
            <w:vAlign w:val="center"/>
          </w:tcPr>
          <w:p>
            <w:pPr>
              <w:pStyle w:val="12"/>
              <w:spacing w:after="0" w:line="284" w:lineRule="exact"/>
              <w:ind w:left="0" w:leftChars="0"/>
              <w:jc w:val="center"/>
              <w:rPr>
                <w:b/>
                <w:color w:val="auto"/>
              </w:rPr>
            </w:pPr>
            <w:r>
              <w:rPr>
                <w:rFonts w:ascii="宋体" w:hAnsi="宋体"/>
                <w:b/>
                <w:color w:val="auto"/>
              </w:rPr>
              <w:t>年消耗量</w:t>
            </w:r>
            <w:r>
              <w:rPr>
                <w:rFonts w:hint="eastAsia"/>
                <w:b/>
                <w:color w:val="auto"/>
              </w:rPr>
              <w:t>/</w:t>
            </w:r>
            <w:r>
              <w:rPr>
                <w:b/>
                <w:color w:val="auto"/>
              </w:rPr>
              <w:t>t</w:t>
            </w:r>
          </w:p>
        </w:tc>
        <w:tc>
          <w:tcPr>
            <w:tcW w:w="709" w:type="dxa"/>
            <w:tcBorders>
              <w:top w:val="single" w:color="auto" w:sz="4" w:space="0"/>
              <w:left w:val="single" w:color="auto" w:sz="6" w:space="0"/>
              <w:bottom w:val="single" w:color="auto" w:sz="6" w:space="0"/>
              <w:right w:val="single" w:color="auto" w:sz="6" w:space="0"/>
            </w:tcBorders>
          </w:tcPr>
          <w:p>
            <w:pPr>
              <w:pStyle w:val="12"/>
              <w:spacing w:after="0" w:line="284" w:lineRule="exact"/>
              <w:ind w:left="0" w:leftChars="0"/>
              <w:jc w:val="center"/>
              <w:rPr>
                <w:rFonts w:hAnsi="宋体"/>
                <w:b/>
                <w:color w:val="auto"/>
              </w:rPr>
            </w:pPr>
            <w:r>
              <w:rPr>
                <w:rFonts w:hint="eastAsia" w:ascii="宋体" w:hAnsi="宋体"/>
                <w:b/>
                <w:color w:val="auto"/>
              </w:rPr>
              <w:t>来源</w:t>
            </w:r>
          </w:p>
        </w:tc>
        <w:tc>
          <w:tcPr>
            <w:tcW w:w="708" w:type="dxa"/>
            <w:tcBorders>
              <w:top w:val="single" w:color="auto" w:sz="4" w:space="0"/>
              <w:left w:val="single" w:color="auto" w:sz="6" w:space="0"/>
              <w:bottom w:val="single" w:color="auto" w:sz="6" w:space="0"/>
              <w:right w:val="single" w:color="auto" w:sz="6" w:space="0"/>
            </w:tcBorders>
          </w:tcPr>
          <w:p>
            <w:pPr>
              <w:pStyle w:val="12"/>
              <w:spacing w:after="0" w:line="284" w:lineRule="exact"/>
              <w:ind w:left="0" w:leftChars="0"/>
              <w:jc w:val="center"/>
              <w:rPr>
                <w:rFonts w:hAnsi="宋体"/>
                <w:b/>
                <w:color w:val="auto"/>
              </w:rPr>
            </w:pPr>
            <w:r>
              <w:rPr>
                <w:rFonts w:hint="eastAsia" w:ascii="宋体" w:hAnsi="宋体"/>
                <w:b/>
                <w:color w:val="auto"/>
              </w:rPr>
              <w:t>运输方式</w:t>
            </w:r>
          </w:p>
        </w:tc>
        <w:tc>
          <w:tcPr>
            <w:tcW w:w="851" w:type="dxa"/>
            <w:tcBorders>
              <w:top w:val="single" w:color="auto" w:sz="4" w:space="0"/>
              <w:left w:val="single" w:color="auto" w:sz="6" w:space="0"/>
              <w:bottom w:val="single" w:color="auto" w:sz="6" w:space="0"/>
              <w:right w:val="single" w:color="auto" w:sz="4" w:space="0"/>
            </w:tcBorders>
          </w:tcPr>
          <w:p>
            <w:pPr>
              <w:pStyle w:val="12"/>
              <w:spacing w:after="0" w:line="284" w:lineRule="exact"/>
              <w:ind w:left="0" w:leftChars="0"/>
              <w:jc w:val="center"/>
              <w:rPr>
                <w:rFonts w:hAnsi="宋体"/>
                <w:b/>
                <w:color w:val="auto"/>
              </w:rPr>
            </w:pPr>
            <w:r>
              <w:rPr>
                <w:rFonts w:hint="eastAsia" w:ascii="宋体" w:hAnsi="宋体"/>
                <w:b/>
                <w:color w:val="auto"/>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938" w:type="dxa"/>
            <w:gridSpan w:val="9"/>
            <w:tcBorders>
              <w:top w:val="single" w:color="auto" w:sz="6" w:space="0"/>
              <w:left w:val="single" w:color="auto" w:sz="4" w:space="0"/>
              <w:bottom w:val="single" w:color="auto" w:sz="6" w:space="0"/>
              <w:right w:val="single" w:color="auto" w:sz="4" w:space="0"/>
            </w:tcBorders>
            <w:vAlign w:val="center"/>
          </w:tcPr>
          <w:p>
            <w:pPr>
              <w:spacing w:line="284" w:lineRule="exact"/>
              <w:jc w:val="center"/>
              <w:rPr>
                <w:rFonts w:ascii="宋体" w:hAnsi="宋体"/>
                <w:color w:val="auto"/>
              </w:rPr>
            </w:pPr>
            <w:r>
              <w:rPr>
                <w:b/>
                <w:color w:val="auto"/>
              </w:rPr>
              <w:t>24-</w:t>
            </w:r>
            <w:r>
              <w:rPr>
                <w:rFonts w:hint="eastAsia"/>
                <w:b/>
                <w:color w:val="auto"/>
              </w:rPr>
              <w:t>表芸苔素内酯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麦角甾醇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固</w:t>
            </w:r>
            <w:r>
              <w:rPr>
                <w:rFonts w:ascii="宋体" w:hAnsi="宋体"/>
                <w:color w:val="auto"/>
              </w:rPr>
              <w:t>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3%</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4.9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四氢呋喃</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2.78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三乙胺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1.29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甲基磺酰氯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液</w:t>
            </w:r>
            <w:r>
              <w:rPr>
                <w:rFonts w:ascii="宋体" w:hAnsi="宋体"/>
                <w:color w:val="auto"/>
              </w:rPr>
              <w:t>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color w:val="auto"/>
              </w:rPr>
              <w:t>1.43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丙酮</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1.29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碳酸氢钾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1.71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Theme="minorEastAsia" w:hAnsiTheme="minorEastAsia" w:eastAsiaTheme="minorEastAsia"/>
                <w:color w:val="auto"/>
              </w:rPr>
              <w:t>NaCl</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工业级</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22.05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次氯酸钠水溶液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color w:val="auto"/>
              </w:rPr>
              <w:t>11%</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8.33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cs="Calibri"/>
                <w:color w:val="auto"/>
              </w:rPr>
              <w:t>TEMPO</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8%</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0.49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甲苯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1.19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甲醇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0.035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硫酸</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2</w:t>
            </w:r>
            <w:r>
              <w:rPr>
                <w:color w:val="auto"/>
              </w:rPr>
              <w:t>0%</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2.41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金属锂</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0.196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乙酸乙酯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3.086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液氨</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9.8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氯化铵水溶液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color w:val="auto"/>
              </w:rPr>
              <w:t>20%</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6.125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cs="Calibri"/>
                <w:color w:val="auto"/>
              </w:rPr>
              <w:t>DMF</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1.35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溴化钠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0.245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对甲苯磺酸</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0.294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叔丁醇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3.19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铁氰化钾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7.35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碳酸钾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2.842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锇酸钾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0.088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甲基磺酰胺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2.94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硅胶</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color w:val="auto"/>
              </w:rPr>
              <w:t>-</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6.615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亚硫酸氢钠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ascii="宋体" w:hAnsi="宋体"/>
                <w:color w:val="auto"/>
              </w:rPr>
              <w:t>99.5%</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7.35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奎尼丁</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9</w:t>
            </w:r>
            <w:r>
              <w:rPr>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0.073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三氟乙酸酐</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0.878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二氯甲烷</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color w:val="auto"/>
              </w:rPr>
              <w:t>99.9%</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4.115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碳酸钾</w:t>
            </w:r>
            <w:r>
              <w:rPr>
                <w:rFonts w:hint="eastAsia" w:ascii="宋体" w:hAnsi="宋体" w:cs="宋体"/>
                <w:color w:val="auto"/>
              </w:rPr>
              <w:t>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color w:val="auto"/>
              </w:rPr>
              <w:t>10%</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7.35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cs="Calibri"/>
                <w:color w:val="auto"/>
              </w:rPr>
              <w:t>50%</w:t>
            </w:r>
            <w:r>
              <w:rPr>
                <w:rFonts w:hint="eastAsia" w:ascii="宋体" w:hAnsi="宋体"/>
                <w:color w:val="auto"/>
              </w:rPr>
              <w:t>双氧水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5</w:t>
            </w:r>
            <w:r>
              <w:rPr>
                <w:color w:val="auto"/>
              </w:rPr>
              <w:t>0%</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3.92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亚硫酸氢钠水溶液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1</w:t>
            </w:r>
            <w:r>
              <w:rPr>
                <w:color w:val="auto"/>
              </w:rPr>
              <w:t>0%</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9.8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s="宋体"/>
                <w:color w:val="auto"/>
              </w:rPr>
              <w:t>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color w:val="auto"/>
              </w:rPr>
              <w:t>-</w:t>
            </w:r>
          </w:p>
        </w:tc>
        <w:tc>
          <w:tcPr>
            <w:tcW w:w="141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color w:val="auto"/>
              </w:rPr>
              <w:t>303.37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938" w:type="dxa"/>
            <w:gridSpan w:val="9"/>
            <w:tcBorders>
              <w:top w:val="single" w:color="auto" w:sz="6" w:space="0"/>
              <w:left w:val="single" w:color="auto" w:sz="4" w:space="0"/>
              <w:bottom w:val="single" w:color="auto" w:sz="6" w:space="0"/>
              <w:right w:val="single" w:color="auto" w:sz="4" w:space="0"/>
            </w:tcBorders>
            <w:vAlign w:val="center"/>
          </w:tcPr>
          <w:p>
            <w:pPr>
              <w:spacing w:line="284" w:lineRule="exact"/>
              <w:jc w:val="center"/>
              <w:rPr>
                <w:b/>
                <w:color w:val="auto"/>
              </w:rPr>
            </w:pPr>
            <w:r>
              <w:rPr>
                <w:b/>
                <w:color w:val="auto"/>
              </w:rPr>
              <w:t>28-</w:t>
            </w:r>
            <w:r>
              <w:rPr>
                <w:rFonts w:hint="eastAsia"/>
                <w:b/>
                <w:color w:val="auto"/>
              </w:rPr>
              <w:t>高芸苔素内酯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豆甾醇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5.2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甲基磺酰氯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4.13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丁酮</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3.23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三乙胺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5.65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NaCl</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工业级</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12.48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碳酸氢钾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5.2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次氯酸钠水溶液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11%</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15.6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ascii="宋体" w:hAnsi="宋体"/>
                <w:color w:val="auto"/>
              </w:rPr>
              <w:t>TEMPO</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0.05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碳酸氢钠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4.16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溴化钠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0.42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二甲基甲酰胺（</w:t>
            </w:r>
            <w:r>
              <w:rPr>
                <w:rFonts w:ascii="宋体" w:hAnsi="宋体"/>
                <w:color w:val="auto"/>
              </w:rPr>
              <w:t>DMF</w:t>
            </w:r>
            <w:r>
              <w:rPr>
                <w:color w:val="auto"/>
              </w:rPr>
              <w:t>）</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1.29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溴化氢</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40%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0.36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乙酸乙酯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2.98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碳酸钾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7.8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铁氰化钾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19.76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叔丁醇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2.72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奎尼丁</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0.06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甲磺酰胺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1.04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ascii="宋体" w:hAnsi="宋体"/>
                <w:color w:val="auto"/>
              </w:rPr>
              <w:t>30%</w:t>
            </w:r>
            <w:r>
              <w:rPr>
                <w:color w:val="auto"/>
              </w:rPr>
              <w:t>双氧水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30%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4.42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二氯甲烷</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2.39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三氟乙酸酐</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石油醚</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rPr>
              <w:t>2.34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硅胶</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2</w:t>
            </w:r>
            <w:r>
              <w:rPr>
                <w:rFonts w:ascii="宋体" w:hAnsi="宋体"/>
                <w:color w:val="auto"/>
              </w:rPr>
              <w:t>00</w:t>
            </w:r>
            <w:r>
              <w:rPr>
                <w:rFonts w:hint="eastAsia" w:ascii="宋体" w:hAnsi="宋体"/>
                <w:color w:val="auto"/>
              </w:rPr>
              <w:t>目</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14.04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亚硫酸氢钠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ascii="宋体" w:hAnsi="宋体"/>
                <w:color w:val="auto"/>
              </w:rPr>
              <w:t>99.5%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9.36</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color w:val="auto"/>
              </w:rPr>
              <w:t>267.8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938" w:type="dxa"/>
            <w:gridSpan w:val="9"/>
            <w:tcBorders>
              <w:top w:val="single" w:color="auto" w:sz="6" w:space="0"/>
              <w:left w:val="single" w:color="auto" w:sz="4" w:space="0"/>
              <w:bottom w:val="single" w:color="auto" w:sz="6" w:space="0"/>
              <w:right w:val="single" w:color="auto" w:sz="4" w:space="0"/>
            </w:tcBorders>
            <w:vAlign w:val="center"/>
          </w:tcPr>
          <w:p>
            <w:pPr>
              <w:spacing w:line="284" w:lineRule="exact"/>
              <w:jc w:val="center"/>
              <w:rPr>
                <w:b/>
                <w:color w:val="auto"/>
              </w:rPr>
            </w:pPr>
            <w:r>
              <w:rPr>
                <w:rFonts w:hint="eastAsia"/>
                <w:b/>
                <w:color w:val="auto"/>
              </w:rPr>
              <w:t>丙酰芸苔素内酯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豆甾醇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6.5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三乙胺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8.31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甲基磺酰氯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5.17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丁酮</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4.04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NaCl</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工业级</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s="Calibri"/>
                <w:color w:val="auto"/>
              </w:rPr>
              <w:t>1</w:t>
            </w:r>
            <w:r>
              <w:rPr>
                <w:rFonts w:cs="Calibri"/>
                <w:color w:val="auto"/>
              </w:rPr>
              <w:t>5.6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碳酸氢钾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6.5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次氯酸钠水溶液</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11%</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19.5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TEMPO</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0.07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碳酸氢钠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5.2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溴化钠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0.52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二甲基甲酰胺</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1.61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溴化氢</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40%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s="Calibri"/>
                <w:color w:val="auto"/>
              </w:rPr>
              <w:t>0</w:t>
            </w:r>
            <w:r>
              <w:rPr>
                <w:rFonts w:cs="Calibri"/>
                <w:color w:val="auto"/>
              </w:rPr>
              <w:t>.45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乙酸乙酯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4.29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碳酸钾</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 xml:space="preserve">固体 </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4.55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N</w:t>
            </w:r>
            <w:r>
              <w:rPr>
                <w:rFonts w:ascii="宋体" w:hAnsi="宋体"/>
                <w:color w:val="auto"/>
              </w:rPr>
              <w:t>-</w:t>
            </w:r>
            <w:r>
              <w:rPr>
                <w:rFonts w:hint="eastAsia" w:ascii="宋体" w:hAnsi="宋体"/>
                <w:color w:val="auto"/>
              </w:rPr>
              <w:t>甲基氧化吗啉</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2.36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叔丁醇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1.73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四氢呋喃</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1.96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亚硫酸钠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99.5%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s="Calibri"/>
                <w:color w:val="auto"/>
              </w:rPr>
              <w:t>4</w:t>
            </w:r>
            <w:r>
              <w:rPr>
                <w:rFonts w:cs="Calibri"/>
                <w:color w:val="auto"/>
              </w:rPr>
              <w:t>.55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丙酸酐</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二氯甲烷</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9</w:t>
            </w:r>
            <w:r>
              <w:rPr>
                <w:rFonts w:ascii="宋体" w:hAnsi="宋体"/>
                <w:color w:val="auto"/>
              </w:rPr>
              <w:t xml:space="preserve">9.9% </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5.25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间氯过氧苯甲酸</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85%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5.35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石油醚</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color w:val="auto"/>
              </w:rPr>
              <w:t>9</w:t>
            </w:r>
            <w:r>
              <w:rPr>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2.92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硅胶</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hint="eastAsia" w:ascii="宋体" w:hAnsi="宋体"/>
                <w:color w:val="auto"/>
              </w:rPr>
              <w:t>2</w:t>
            </w:r>
            <w:r>
              <w:rPr>
                <w:rFonts w:ascii="宋体" w:hAnsi="宋体"/>
                <w:color w:val="auto"/>
              </w:rPr>
              <w:t>00</w:t>
            </w:r>
            <w:r>
              <w:rPr>
                <w:rFonts w:hint="eastAsia" w:ascii="宋体" w:hAnsi="宋体"/>
                <w:color w:val="auto"/>
              </w:rPr>
              <w:t>目</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17.55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亚硫酸氢钠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tcPr>
          <w:p>
            <w:pPr>
              <w:spacing w:line="284" w:lineRule="exact"/>
              <w:jc w:val="center"/>
              <w:rPr>
                <w:color w:val="auto"/>
              </w:rPr>
            </w:pPr>
            <w:r>
              <w:rPr>
                <w:rFonts w:ascii="宋体" w:hAnsi="宋体"/>
                <w:color w:val="auto"/>
              </w:rPr>
              <w:t>99.5%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4.55</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1928" w:type="dxa"/>
            <w:gridSpan w:val="2"/>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cs="Calibri"/>
                <w:color w:val="auto"/>
              </w:rPr>
              <w:t>336.05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938" w:type="dxa"/>
            <w:gridSpan w:val="9"/>
            <w:tcBorders>
              <w:top w:val="single" w:color="auto" w:sz="6" w:space="0"/>
              <w:left w:val="single" w:color="auto" w:sz="4" w:space="0"/>
              <w:bottom w:val="single" w:color="auto" w:sz="6" w:space="0"/>
              <w:right w:val="single" w:color="auto" w:sz="4" w:space="0"/>
            </w:tcBorders>
            <w:vAlign w:val="center"/>
          </w:tcPr>
          <w:p>
            <w:pPr>
              <w:spacing w:line="284" w:lineRule="exact"/>
              <w:jc w:val="center"/>
              <w:rPr>
                <w:b/>
                <w:color w:val="auto"/>
              </w:rPr>
            </w:pPr>
            <w:r>
              <w:rPr>
                <w:rFonts w:hint="eastAsia"/>
                <w:b/>
                <w:color w:val="auto"/>
              </w:rPr>
              <w:t>芸苔素制剂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rFonts w:ascii="宋体" w:hAnsi="宋体"/>
                <w:color w:val="auto"/>
              </w:rPr>
            </w:pPr>
            <w:r>
              <w:rPr>
                <w:color w:val="auto"/>
              </w:rPr>
              <w:t>0.01%24-表芸苔素内酯</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24-表芸苔素内酯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0%&amp;93%&amp;95%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0.105</w:t>
            </w:r>
            <w:r>
              <w:rPr>
                <w:color w:val="auto"/>
                <w:sz w:val="22"/>
                <w:szCs w:val="22"/>
              </w:rPr>
              <w:t>2</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50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60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消泡剂</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887.902</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0.003%丙酰芸苔素内酯</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0.0033</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异丙醇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76.997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0.01%28-高*丙酰芸苔素内酯</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0.026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0.0263</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异丙醇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75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384.975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0.1%丙酰芸*S-诱抗素</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0.0161</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S-诱抗素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0.538</w:t>
            </w:r>
            <w:r>
              <w:rPr>
                <w:color w:val="auto"/>
                <w:sz w:val="22"/>
                <w:szCs w:val="22"/>
              </w:rPr>
              <w:t>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异丙醇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消泡剂</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409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4.5%28-高芸*赤霉酸</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0.011</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赤霉酸A3</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9.98</w:t>
            </w:r>
            <w:r>
              <w:rPr>
                <w:color w:val="auto"/>
                <w:sz w:val="22"/>
                <w:szCs w:val="22"/>
              </w:rPr>
              <w:t>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异丙醇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30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111.01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5%28-高芸*烯效唑</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0.021</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烯效唑</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10.18</w:t>
            </w:r>
            <w:r>
              <w:rPr>
                <w:color w:val="auto"/>
                <w:sz w:val="22"/>
                <w:szCs w:val="22"/>
              </w:rPr>
              <w:t>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黄原胶</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苯甲酸钠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乙二醇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8</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白炭黑</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SC001</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162.2</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color w:val="auto"/>
              </w:rPr>
              <w:t>2%28-高芸*苄氨基嘌呤</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0.0105</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苄氨基嘌呤</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4.0303</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DMF</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9%</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80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40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76</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color w:val="auto"/>
              </w:rPr>
              <w:t>0.1%丙酰芸*三十烷醇</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0.016</w:t>
            </w:r>
            <w:r>
              <w:rPr>
                <w:color w:val="auto"/>
                <w:sz w:val="22"/>
                <w:szCs w:val="22"/>
              </w:rPr>
              <w:t>7</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三十烷醇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0.538</w:t>
            </w:r>
            <w:r>
              <w:rPr>
                <w:color w:val="auto"/>
                <w:sz w:val="22"/>
                <w:szCs w:val="22"/>
              </w:rPr>
              <w:t>9</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50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SC001</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40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黄原胶</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苯甲酸钠</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消泡剂</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397</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color w:val="auto"/>
              </w:rPr>
              <w:t>0.5%28-高芸*氯吡脲</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0.021</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氯吡脲</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30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159</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rFonts w:hint="eastAsia"/>
                <w:color w:val="auto"/>
              </w:rPr>
              <w:t>0.16%28-高芸*噻苯隆</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28-高芸苔素内酯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0.021</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噻苯隆</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5%</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0.31</w:t>
            </w:r>
            <w:r>
              <w:rPr>
                <w:color w:val="auto"/>
                <w:sz w:val="22"/>
                <w:szCs w:val="22"/>
              </w:rPr>
              <w:t>6</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30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环己酮</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20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139.68</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color w:val="auto"/>
              </w:rPr>
              <w:t>0.1%丙酰芸*氨基寡糖素</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0.001578947</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氨基寡糖素</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5%</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10.52</w:t>
            </w:r>
            <w:r>
              <w:rPr>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朗钛LT-569</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三聚磷酸钠</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70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肥料载体</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9900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288" w:lineRule="exact"/>
              <w:jc w:val="center"/>
              <w:textAlignment w:val="auto"/>
              <w:rPr>
                <w:color w:val="auto"/>
              </w:rPr>
            </w:pPr>
            <w:r>
              <w:rPr>
                <w:color w:val="auto"/>
              </w:rPr>
              <w:t>0.1%丙酰芸*吲哚丁酸</w:t>
            </w: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0.0026</w:t>
            </w:r>
          </w:p>
        </w:tc>
        <w:tc>
          <w:tcPr>
            <w:tcW w:w="709"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吲哚丁酸</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ascii="宋体" w:hAnsi="宋体"/>
                <w:color w:val="auto"/>
              </w:rPr>
              <w:t>98%</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5.099</w:t>
            </w:r>
            <w:r>
              <w:rPr>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朗钛LT-569</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三聚磷酸钠</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35</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keepNext w:val="0"/>
              <w:keepLines w:val="0"/>
              <w:pageBreakBefore w:val="0"/>
              <w:numPr>
                <w:ilvl w:val="0"/>
                <w:numId w:val="2"/>
              </w:numPr>
              <w:kinsoku/>
              <w:wordWrap/>
              <w:overflowPunct/>
              <w:topLinePunct w:val="0"/>
              <w:autoSpaceDE/>
              <w:autoSpaceDN/>
              <w:bidi w:val="0"/>
              <w:adjustRightInd/>
              <w:snapToGrid/>
              <w:spacing w:line="288" w:lineRule="exact"/>
              <w:jc w:val="center"/>
              <w:textAlignment w:val="auto"/>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新宋体" w:hAnsi="新宋体" w:eastAsia="新宋体"/>
                <w:color w:val="auto"/>
                <w:sz w:val="20"/>
                <w:szCs w:val="20"/>
              </w:rPr>
              <w:t>肥料载体</w:t>
            </w:r>
          </w:p>
        </w:tc>
        <w:tc>
          <w:tcPr>
            <w:tcW w:w="64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color w:val="auto"/>
                <w:sz w:val="22"/>
                <w:szCs w:val="22"/>
              </w:rPr>
              <w:t>4950</w:t>
            </w:r>
          </w:p>
        </w:tc>
        <w:tc>
          <w:tcPr>
            <w:tcW w:w="709"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keepNext w:val="0"/>
              <w:keepLines w:val="0"/>
              <w:pageBreakBefore w:val="0"/>
              <w:kinsoku/>
              <w:wordWrap/>
              <w:overflowPunct/>
              <w:topLinePunct w:val="0"/>
              <w:autoSpaceDE/>
              <w:autoSpaceDN/>
              <w:bidi w:val="0"/>
              <w:adjustRightInd/>
              <w:snapToGrid/>
              <w:spacing w:line="288" w:lineRule="exact"/>
              <w:jc w:val="center"/>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2%丙酰芸*赤霉酸A4</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0.0044</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赤霉素A4</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4.44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异丙醇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116</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50%丙酰芸*氯化胆碱</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丙酰芸苔素内酯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3%</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0.0044</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氯化胆碱</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102.03</w:t>
            </w:r>
            <w:r>
              <w:rPr>
                <w:color w:val="auto"/>
                <w:sz w:val="22"/>
                <w:szCs w:val="22"/>
              </w:rPr>
              <w:t>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93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0.006%S-诱抗素</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S-诱抗素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0.0333</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459.97</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1%24-表芸*氨基寡糖素</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24-表芸苔素内酯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0%&amp;93%&amp;95%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0.0026</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氨基寡糖素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5.2605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25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自来水</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455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管道</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restart"/>
            <w:tcBorders>
              <w:top w:val="single" w:color="auto" w:sz="6" w:space="0"/>
              <w:left w:val="single" w:color="auto" w:sz="6" w:space="0"/>
              <w:right w:val="single" w:color="auto" w:sz="6" w:space="0"/>
            </w:tcBorders>
            <w:vAlign w:val="center"/>
          </w:tcPr>
          <w:p>
            <w:pPr>
              <w:widowControl/>
              <w:spacing w:line="284" w:lineRule="exact"/>
              <w:jc w:val="center"/>
              <w:rPr>
                <w:color w:val="auto"/>
              </w:rPr>
            </w:pPr>
            <w:r>
              <w:rPr>
                <w:color w:val="auto"/>
              </w:rPr>
              <w:t>0.1%24-表芸*胺鲜酯</w:t>
            </w: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24-表芸苔素内酯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0%&amp;93%&amp;95%</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0.00526</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自供</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vAlign w:val="center"/>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胺鲜酯</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9</w:t>
            </w:r>
            <w:r>
              <w:rPr>
                <w:rFonts w:ascii="宋体" w:hAnsi="宋体"/>
                <w:color w:val="auto"/>
              </w:rPr>
              <w:t>8%</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10.19</w:t>
            </w:r>
            <w:r>
              <w:rPr>
                <w:color w:val="auto"/>
                <w:sz w:val="22"/>
                <w:szCs w:val="22"/>
              </w:rPr>
              <w:t>9</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无水乙醇</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液体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10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NP-10</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朗钛LT-569</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5</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三聚磷酸钠</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70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84" w:type="dxa"/>
            <w:tcBorders>
              <w:top w:val="single" w:color="auto" w:sz="6" w:space="0"/>
              <w:left w:val="single" w:color="auto" w:sz="4" w:space="0"/>
              <w:bottom w:val="single" w:color="auto" w:sz="6" w:space="0"/>
              <w:right w:val="single" w:color="auto" w:sz="6" w:space="0"/>
            </w:tcBorders>
            <w:vAlign w:val="center"/>
          </w:tcPr>
          <w:p>
            <w:pPr>
              <w:numPr>
                <w:ilvl w:val="0"/>
                <w:numId w:val="2"/>
              </w:numPr>
              <w:spacing w:line="284" w:lineRule="exact"/>
              <w:jc w:val="center"/>
              <w:rPr>
                <w:rFonts w:ascii="宋体" w:hAnsi="宋体"/>
                <w:color w:val="auto"/>
              </w:rPr>
            </w:pPr>
          </w:p>
        </w:tc>
        <w:tc>
          <w:tcPr>
            <w:tcW w:w="650" w:type="dxa"/>
            <w:vMerge w:val="continue"/>
            <w:tcBorders>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p>
        </w:tc>
        <w:tc>
          <w:tcPr>
            <w:tcW w:w="127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新宋体" w:hAnsi="新宋体" w:eastAsia="新宋体"/>
                <w:color w:val="auto"/>
                <w:sz w:val="20"/>
                <w:szCs w:val="20"/>
              </w:rPr>
              <w:t>肥料载体</w:t>
            </w:r>
          </w:p>
        </w:tc>
        <w:tc>
          <w:tcPr>
            <w:tcW w:w="64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固体</w:t>
            </w:r>
          </w:p>
        </w:tc>
        <w:tc>
          <w:tcPr>
            <w:tcW w:w="1100"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ascii="宋体" w:hAnsi="宋体"/>
                <w:color w:val="auto"/>
              </w:rPr>
              <w:t>1</w:t>
            </w:r>
            <w:r>
              <w:rPr>
                <w:rFonts w:ascii="宋体" w:hAnsi="宋体"/>
                <w:color w:val="auto"/>
              </w:rPr>
              <w:t>00%</w:t>
            </w:r>
          </w:p>
        </w:tc>
        <w:tc>
          <w:tcPr>
            <w:tcW w:w="1418" w:type="dxa"/>
            <w:tcBorders>
              <w:top w:val="single" w:color="auto" w:sz="6" w:space="0"/>
              <w:left w:val="single" w:color="auto" w:sz="6" w:space="0"/>
              <w:bottom w:val="single" w:color="auto" w:sz="6" w:space="0"/>
              <w:right w:val="single" w:color="auto" w:sz="6" w:space="0"/>
            </w:tcBorders>
            <w:vAlign w:val="center"/>
          </w:tcPr>
          <w:p>
            <w:pPr>
              <w:spacing w:line="284" w:lineRule="exact"/>
              <w:jc w:val="center"/>
              <w:rPr>
                <w:rFonts w:ascii="宋体" w:hAnsi="宋体"/>
                <w:color w:val="auto"/>
              </w:rPr>
            </w:pPr>
            <w:r>
              <w:rPr>
                <w:rFonts w:hint="eastAsia"/>
                <w:color w:val="auto"/>
                <w:sz w:val="22"/>
                <w:szCs w:val="22"/>
              </w:rPr>
              <w:t>9900</w:t>
            </w:r>
          </w:p>
        </w:tc>
        <w:tc>
          <w:tcPr>
            <w:tcW w:w="709"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外购</w:t>
            </w:r>
          </w:p>
        </w:tc>
        <w:tc>
          <w:tcPr>
            <w:tcW w:w="708" w:type="dxa"/>
            <w:tcBorders>
              <w:top w:val="single" w:color="auto" w:sz="6" w:space="0"/>
              <w:left w:val="single" w:color="auto" w:sz="6" w:space="0"/>
              <w:bottom w:val="single" w:color="auto" w:sz="6" w:space="0"/>
              <w:right w:val="single" w:color="auto" w:sz="6" w:space="0"/>
            </w:tcBorders>
          </w:tcPr>
          <w:p>
            <w:pPr>
              <w:spacing w:line="284" w:lineRule="exact"/>
              <w:jc w:val="center"/>
              <w:rPr>
                <w:rFonts w:ascii="宋体" w:hAnsi="宋体"/>
                <w:color w:val="auto"/>
              </w:rPr>
            </w:pPr>
            <w:r>
              <w:rPr>
                <w:rFonts w:hint="eastAsia" w:ascii="宋体" w:hAnsi="宋体"/>
                <w:color w:val="auto"/>
              </w:rPr>
              <w:t>汽车</w:t>
            </w:r>
          </w:p>
        </w:tc>
        <w:tc>
          <w:tcPr>
            <w:tcW w:w="851" w:type="dxa"/>
            <w:tcBorders>
              <w:top w:val="single" w:color="auto" w:sz="6" w:space="0"/>
              <w:left w:val="single" w:color="auto" w:sz="6" w:space="0"/>
              <w:bottom w:val="single" w:color="auto" w:sz="6" w:space="0"/>
              <w:right w:val="single" w:color="auto" w:sz="4" w:space="0"/>
            </w:tcBorders>
          </w:tcPr>
          <w:p>
            <w:pPr>
              <w:spacing w:line="284" w:lineRule="exact"/>
              <w:jc w:val="center"/>
              <w:rPr>
                <w:rFonts w:ascii="宋体" w:hAnsi="宋体"/>
                <w:color w:val="auto"/>
              </w:rPr>
            </w:pPr>
          </w:p>
        </w:tc>
      </w:tr>
    </w:tbl>
    <w:p>
      <w:pPr>
        <w:jc w:val="center"/>
        <w:rPr>
          <w:rFonts w:ascii="宋体" w:hAnsi="宋体"/>
          <w:color w:val="auto"/>
          <w:sz w:val="24"/>
          <w:szCs w:val="24"/>
        </w:rPr>
      </w:pPr>
    </w:p>
    <w:p>
      <w:pPr>
        <w:keepNext/>
        <w:keepLines/>
        <w:tabs>
          <w:tab w:val="left" w:pos="3165"/>
        </w:tabs>
        <w:spacing w:line="600" w:lineRule="exact"/>
        <w:jc w:val="left"/>
        <w:outlineLvl w:val="2"/>
        <w:rPr>
          <w:b/>
          <w:color w:val="auto"/>
          <w:sz w:val="28"/>
          <w:szCs w:val="32"/>
        </w:rPr>
      </w:pPr>
      <w:bookmarkStart w:id="29" w:name="_Toc144109145"/>
      <w:r>
        <w:rPr>
          <w:rFonts w:hint="eastAsia"/>
          <w:b/>
          <w:color w:val="auto"/>
          <w:sz w:val="28"/>
          <w:szCs w:val="32"/>
        </w:rPr>
        <w:t>2.</w:t>
      </w:r>
      <w:r>
        <w:rPr>
          <w:b/>
          <w:color w:val="auto"/>
          <w:sz w:val="28"/>
          <w:szCs w:val="32"/>
        </w:rPr>
        <w:t>3</w:t>
      </w:r>
      <w:r>
        <w:rPr>
          <w:rFonts w:hint="eastAsia"/>
          <w:b/>
          <w:color w:val="auto"/>
          <w:sz w:val="28"/>
          <w:szCs w:val="32"/>
        </w:rPr>
        <w:t>.</w:t>
      </w:r>
      <w:r>
        <w:rPr>
          <w:b/>
          <w:color w:val="auto"/>
          <w:sz w:val="28"/>
          <w:szCs w:val="32"/>
        </w:rPr>
        <w:t>2</w:t>
      </w:r>
      <w:r>
        <w:rPr>
          <w:rFonts w:hint="eastAsia"/>
          <w:b/>
          <w:color w:val="auto"/>
          <w:sz w:val="28"/>
          <w:szCs w:val="32"/>
        </w:rPr>
        <w:t xml:space="preserve"> 产品性状与质量指标</w:t>
      </w:r>
      <w:bookmarkEnd w:id="29"/>
    </w:p>
    <w:p>
      <w:pPr>
        <w:pStyle w:val="49"/>
        <w:spacing w:line="360" w:lineRule="auto"/>
        <w:ind w:firstLine="560" w:firstLineChars="200"/>
        <w:jc w:val="both"/>
        <w:rPr>
          <w:color w:val="auto"/>
          <w:sz w:val="28"/>
          <w:szCs w:val="28"/>
        </w:rPr>
      </w:pPr>
      <w:r>
        <w:rPr>
          <w:rFonts w:hint="eastAsia"/>
          <w:color w:val="auto"/>
          <w:sz w:val="28"/>
          <w:szCs w:val="28"/>
        </w:rPr>
        <w:t>该项目主要产品的规格及质量要求具体见表2</w:t>
      </w:r>
      <w:r>
        <w:rPr>
          <w:color w:val="auto"/>
          <w:sz w:val="28"/>
          <w:szCs w:val="28"/>
        </w:rPr>
        <w:t>.3-2</w:t>
      </w:r>
      <w:r>
        <w:rPr>
          <w:rFonts w:hint="eastAsia"/>
          <w:color w:val="auto"/>
          <w:sz w:val="28"/>
          <w:szCs w:val="28"/>
        </w:rPr>
        <w:t>。</w:t>
      </w:r>
    </w:p>
    <w:p>
      <w:pPr>
        <w:jc w:val="center"/>
        <w:rPr>
          <w:rFonts w:ascii="宋体" w:hAnsi="宋体"/>
          <w:color w:val="auto"/>
        </w:rPr>
      </w:pPr>
      <w:r>
        <w:rPr>
          <w:rFonts w:hint="eastAsia" w:ascii="宋体" w:hAnsi="宋体"/>
          <w:color w:val="auto"/>
        </w:rPr>
        <w:t>表</w:t>
      </w:r>
      <w:r>
        <w:rPr>
          <w:rFonts w:ascii="宋体" w:hAnsi="宋体"/>
          <w:color w:val="auto"/>
        </w:rPr>
        <w:t>2.3</w:t>
      </w:r>
      <w:r>
        <w:rPr>
          <w:rFonts w:hint="eastAsia" w:ascii="宋体" w:hAnsi="宋体"/>
          <w:color w:val="auto"/>
        </w:rPr>
        <w:t>-</w:t>
      </w:r>
      <w:r>
        <w:rPr>
          <w:rFonts w:ascii="宋体" w:hAnsi="宋体"/>
          <w:color w:val="auto"/>
        </w:rPr>
        <w:t>2</w:t>
      </w:r>
      <w:r>
        <w:rPr>
          <w:rFonts w:hint="eastAsia" w:ascii="宋体" w:hAnsi="宋体"/>
          <w:color w:val="auto"/>
        </w:rPr>
        <w:t xml:space="preserve">  产品质量指标表</w:t>
      </w:r>
    </w:p>
    <w:tbl>
      <w:tblPr>
        <w:tblStyle w:val="32"/>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3261"/>
        <w:gridCol w:w="2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8" w:type="dxa"/>
            <w:gridSpan w:val="3"/>
          </w:tcPr>
          <w:p>
            <w:pPr>
              <w:pStyle w:val="49"/>
              <w:jc w:val="center"/>
              <w:rPr>
                <w:b/>
                <w:bCs/>
                <w:color w:val="auto"/>
              </w:rPr>
            </w:pPr>
            <w:r>
              <w:rPr>
                <w:rFonts w:hint="eastAsia"/>
                <w:b/>
                <w:bCs/>
                <w:color w:val="auto"/>
              </w:rPr>
              <w:t>项目</w:t>
            </w:r>
          </w:p>
        </w:tc>
        <w:tc>
          <w:tcPr>
            <w:tcW w:w="2409" w:type="dxa"/>
            <w:vAlign w:val="center"/>
          </w:tcPr>
          <w:p>
            <w:pPr>
              <w:pStyle w:val="49"/>
              <w:jc w:val="center"/>
              <w:rPr>
                <w:b/>
                <w:bCs/>
                <w:color w:val="auto"/>
              </w:rPr>
            </w:pPr>
            <w:r>
              <w:rPr>
                <w:rFonts w:hint="eastAsia"/>
                <w:b/>
                <w:bCs/>
                <w:color w:val="auto"/>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b/>
                <w:bCs/>
                <w:color w:val="auto"/>
              </w:rPr>
              <w:t>2</w:t>
            </w:r>
            <w:r>
              <w:rPr>
                <w:b/>
                <w:bCs/>
                <w:color w:val="auto"/>
              </w:rPr>
              <w:t>4-</w:t>
            </w:r>
            <w:r>
              <w:rPr>
                <w:rFonts w:hint="eastAsia"/>
                <w:b/>
                <w:bCs/>
                <w:color w:val="auto"/>
              </w:rPr>
              <w:t>表芸苔素内酯</w:t>
            </w:r>
          </w:p>
        </w:tc>
        <w:tc>
          <w:tcPr>
            <w:tcW w:w="5245" w:type="dxa"/>
            <w:gridSpan w:val="2"/>
          </w:tcPr>
          <w:p>
            <w:pPr>
              <w:pStyle w:val="49"/>
              <w:rPr>
                <w:color w:val="auto"/>
              </w:rPr>
            </w:pPr>
            <w:r>
              <w:rPr>
                <w:rFonts w:hint="eastAsia" w:hAnsi="宋体"/>
                <w:color w:val="auto"/>
              </w:rPr>
              <w:t>24-表芸苔素内酯的质量分数，%  ≥</w:t>
            </w:r>
          </w:p>
        </w:tc>
        <w:tc>
          <w:tcPr>
            <w:tcW w:w="2409" w:type="dxa"/>
          </w:tcPr>
          <w:p>
            <w:pPr>
              <w:pStyle w:val="49"/>
              <w:rPr>
                <w:color w:val="auto"/>
              </w:rPr>
            </w:pPr>
            <w:r>
              <w:rPr>
                <w:rFonts w:hint="eastAsia" w:hAnsi="宋体"/>
                <w:color w:val="auto"/>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color w:val="auto"/>
              </w:rPr>
            </w:pPr>
            <w:r>
              <w:rPr>
                <w:rFonts w:hint="eastAsia" w:hAnsi="宋体"/>
                <w:color w:val="auto"/>
              </w:rPr>
              <w:t>水分含量，%                  ≤</w:t>
            </w:r>
          </w:p>
        </w:tc>
        <w:tc>
          <w:tcPr>
            <w:tcW w:w="2409" w:type="dxa"/>
          </w:tcPr>
          <w:p>
            <w:pPr>
              <w:pStyle w:val="49"/>
              <w:rPr>
                <w:color w:val="auto"/>
              </w:rPr>
            </w:pPr>
            <w:r>
              <w:rPr>
                <w:rFonts w:hint="eastAsia" w:hAnsi="宋体"/>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color w:val="auto"/>
              </w:rPr>
            </w:pPr>
            <w:r>
              <w:rPr>
                <w:rFonts w:hint="eastAsia" w:hAnsi="宋体"/>
                <w:color w:val="auto"/>
              </w:rPr>
              <w:t>pH值范围</w:t>
            </w:r>
          </w:p>
        </w:tc>
        <w:tc>
          <w:tcPr>
            <w:tcW w:w="2409" w:type="dxa"/>
          </w:tcPr>
          <w:p>
            <w:pPr>
              <w:pStyle w:val="49"/>
              <w:rPr>
                <w:color w:val="auto"/>
              </w:rPr>
            </w:pPr>
            <w:r>
              <w:rPr>
                <w:rFonts w:hint="eastAsia" w:hAnsi="宋体"/>
                <w:color w:val="auto"/>
              </w:rPr>
              <w:t>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color w:val="auto"/>
              </w:rPr>
            </w:pPr>
            <w:r>
              <w:rPr>
                <w:rFonts w:hint="eastAsia" w:hAnsi="宋体"/>
                <w:color w:val="auto"/>
              </w:rPr>
              <w:t>N，N-二甲基甲酰胺不溶物质量分数，%     ≤</w:t>
            </w:r>
          </w:p>
        </w:tc>
        <w:tc>
          <w:tcPr>
            <w:tcW w:w="2409" w:type="dxa"/>
          </w:tcPr>
          <w:p>
            <w:pPr>
              <w:pStyle w:val="49"/>
              <w:rPr>
                <w:color w:val="auto"/>
              </w:rPr>
            </w:pPr>
            <w:r>
              <w:rPr>
                <w:rFonts w:hint="eastAsia" w:hAnsi="宋体"/>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b/>
                <w:bCs/>
                <w:color w:val="auto"/>
              </w:rPr>
              <w:t>2</w:t>
            </w:r>
            <w:r>
              <w:rPr>
                <w:b/>
                <w:bCs/>
                <w:color w:val="auto"/>
              </w:rPr>
              <w:t>8-</w:t>
            </w:r>
            <w:r>
              <w:rPr>
                <w:rFonts w:hint="eastAsia"/>
                <w:b/>
                <w:bCs/>
                <w:color w:val="auto"/>
              </w:rPr>
              <w:t>高芸苔素内酯</w:t>
            </w:r>
          </w:p>
        </w:tc>
        <w:tc>
          <w:tcPr>
            <w:tcW w:w="5245" w:type="dxa"/>
            <w:gridSpan w:val="2"/>
          </w:tcPr>
          <w:p>
            <w:pPr>
              <w:pStyle w:val="49"/>
              <w:rPr>
                <w:rFonts w:hAnsi="宋体"/>
                <w:color w:val="auto"/>
              </w:rPr>
            </w:pPr>
            <w:r>
              <w:rPr>
                <w:rFonts w:hint="eastAsia" w:hAnsi="宋体"/>
                <w:color w:val="auto"/>
              </w:rPr>
              <w:t>28-高芸苔素内酯的质量分数，%  ≥</w:t>
            </w:r>
          </w:p>
        </w:tc>
        <w:tc>
          <w:tcPr>
            <w:tcW w:w="2409" w:type="dxa"/>
          </w:tcPr>
          <w:p>
            <w:pPr>
              <w:pStyle w:val="49"/>
              <w:rPr>
                <w:rFonts w:hAnsi="宋体"/>
                <w:color w:val="auto"/>
              </w:rPr>
            </w:pPr>
            <w:r>
              <w:rPr>
                <w:rFonts w:hint="eastAsia" w:hAnsi="宋体"/>
                <w:color w:val="auto"/>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hAnsi="宋体"/>
                <w:color w:val="auto"/>
              </w:rPr>
            </w:pPr>
            <w:r>
              <w:rPr>
                <w:rFonts w:hint="eastAsia" w:hAnsi="宋体"/>
                <w:color w:val="auto"/>
              </w:rPr>
              <w:t>干燥减量，%                  ≤</w:t>
            </w:r>
          </w:p>
        </w:tc>
        <w:tc>
          <w:tcPr>
            <w:tcW w:w="2409" w:type="dxa"/>
          </w:tcPr>
          <w:p>
            <w:pPr>
              <w:pStyle w:val="49"/>
              <w:rPr>
                <w:rFonts w:hAnsi="宋体"/>
                <w:color w:val="auto"/>
              </w:rPr>
            </w:pPr>
            <w:r>
              <w:rPr>
                <w:rFonts w:hint="eastAsia" w:hAnsi="宋体"/>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hAnsi="宋体"/>
                <w:color w:val="auto"/>
              </w:rPr>
            </w:pPr>
            <w:r>
              <w:rPr>
                <w:rFonts w:hint="eastAsia" w:hAnsi="宋体"/>
                <w:color w:val="auto"/>
              </w:rPr>
              <w:t>pH值范围</w:t>
            </w:r>
          </w:p>
        </w:tc>
        <w:tc>
          <w:tcPr>
            <w:tcW w:w="2409" w:type="dxa"/>
          </w:tcPr>
          <w:p>
            <w:pPr>
              <w:pStyle w:val="49"/>
              <w:rPr>
                <w:rFonts w:hAnsi="宋体"/>
                <w:color w:val="auto"/>
              </w:rPr>
            </w:pPr>
            <w:r>
              <w:rPr>
                <w:rFonts w:hint="eastAsia" w:hAnsi="宋体"/>
                <w:color w:val="auto"/>
              </w:rPr>
              <w:t>5.0～8.0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hAnsi="宋体"/>
                <w:color w:val="auto"/>
              </w:rPr>
            </w:pPr>
            <w:r>
              <w:rPr>
                <w:rFonts w:hint="eastAsia" w:hAnsi="宋体"/>
                <w:color w:val="auto"/>
              </w:rPr>
              <w:t>甲醇不溶物质量分数，%     ≤</w:t>
            </w:r>
          </w:p>
        </w:tc>
        <w:tc>
          <w:tcPr>
            <w:tcW w:w="2409" w:type="dxa"/>
          </w:tcPr>
          <w:p>
            <w:pPr>
              <w:pStyle w:val="49"/>
              <w:rPr>
                <w:rFonts w:hAnsi="宋体"/>
                <w:color w:val="auto"/>
              </w:rPr>
            </w:pPr>
            <w:r>
              <w:rPr>
                <w:rFonts w:hint="eastAsia" w:hAnsi="宋体"/>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b/>
                <w:bCs/>
                <w:color w:val="auto"/>
              </w:rPr>
              <w:t>丙酰芸苔素内酯</w:t>
            </w:r>
          </w:p>
        </w:tc>
        <w:tc>
          <w:tcPr>
            <w:tcW w:w="5245" w:type="dxa"/>
            <w:gridSpan w:val="2"/>
          </w:tcPr>
          <w:p>
            <w:pPr>
              <w:pStyle w:val="49"/>
              <w:spacing w:line="316" w:lineRule="exact"/>
              <w:rPr>
                <w:rFonts w:hAnsi="宋体"/>
                <w:color w:val="auto"/>
              </w:rPr>
            </w:pPr>
            <w:r>
              <w:rPr>
                <w:rFonts w:hint="eastAsia" w:hAnsi="宋体"/>
                <w:color w:val="auto"/>
              </w:rPr>
              <w:t>24-表芸苔素内酯的质量分数，%  ≥</w:t>
            </w:r>
          </w:p>
        </w:tc>
        <w:tc>
          <w:tcPr>
            <w:tcW w:w="2409" w:type="dxa"/>
          </w:tcPr>
          <w:p>
            <w:pPr>
              <w:pStyle w:val="49"/>
              <w:spacing w:line="316" w:lineRule="exact"/>
              <w:rPr>
                <w:rFonts w:hAnsi="宋体"/>
                <w:color w:val="auto"/>
              </w:rPr>
            </w:pPr>
            <w:r>
              <w:rPr>
                <w:rFonts w:hint="eastAsia" w:hAnsi="宋体"/>
                <w:color w:val="auto"/>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tcPr>
          <w:p>
            <w:pPr>
              <w:pStyle w:val="49"/>
              <w:spacing w:line="316" w:lineRule="exact"/>
              <w:rPr>
                <w:rFonts w:hAnsi="宋体"/>
                <w:color w:val="auto"/>
              </w:rPr>
            </w:pPr>
            <w:r>
              <w:rPr>
                <w:rFonts w:hint="eastAsia" w:hAnsi="宋体"/>
                <w:color w:val="auto"/>
              </w:rPr>
              <w:t>水分含量，%                  ≤</w:t>
            </w:r>
          </w:p>
        </w:tc>
        <w:tc>
          <w:tcPr>
            <w:tcW w:w="2409" w:type="dxa"/>
          </w:tcPr>
          <w:p>
            <w:pPr>
              <w:pStyle w:val="49"/>
              <w:spacing w:line="316" w:lineRule="exact"/>
              <w:rPr>
                <w:rFonts w:hAnsi="宋体"/>
                <w:color w:val="auto"/>
              </w:rPr>
            </w:pPr>
            <w:r>
              <w:rPr>
                <w:rFonts w:hint="eastAsia" w:hAnsi="宋体"/>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tcPr>
          <w:p>
            <w:pPr>
              <w:pStyle w:val="49"/>
              <w:spacing w:line="316" w:lineRule="exact"/>
              <w:rPr>
                <w:rFonts w:hAnsi="宋体"/>
                <w:color w:val="auto"/>
              </w:rPr>
            </w:pPr>
            <w:r>
              <w:rPr>
                <w:rFonts w:hint="eastAsia" w:hAnsi="宋体"/>
                <w:color w:val="auto"/>
              </w:rPr>
              <w:t>pH值范围</w:t>
            </w:r>
          </w:p>
        </w:tc>
        <w:tc>
          <w:tcPr>
            <w:tcW w:w="2409" w:type="dxa"/>
          </w:tcPr>
          <w:p>
            <w:pPr>
              <w:pStyle w:val="49"/>
              <w:spacing w:line="316" w:lineRule="exact"/>
              <w:rPr>
                <w:rFonts w:hAnsi="宋体"/>
                <w:color w:val="auto"/>
              </w:rPr>
            </w:pPr>
            <w:r>
              <w:rPr>
                <w:rFonts w:hint="eastAsia" w:hAnsi="宋体"/>
                <w:color w:val="auto"/>
              </w:rPr>
              <w:t>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tcPr>
          <w:p>
            <w:pPr>
              <w:pStyle w:val="49"/>
              <w:spacing w:line="316" w:lineRule="exact"/>
              <w:rPr>
                <w:rFonts w:hAnsi="宋体"/>
                <w:color w:val="auto"/>
              </w:rPr>
            </w:pPr>
            <w:r>
              <w:rPr>
                <w:rFonts w:hint="eastAsia" w:hAnsi="宋体"/>
                <w:color w:val="auto"/>
              </w:rPr>
              <w:t>N，N-二甲基甲酰胺不溶物质量分数，%     ≤</w:t>
            </w:r>
          </w:p>
        </w:tc>
        <w:tc>
          <w:tcPr>
            <w:tcW w:w="2409" w:type="dxa"/>
          </w:tcPr>
          <w:p>
            <w:pPr>
              <w:pStyle w:val="49"/>
              <w:spacing w:line="316" w:lineRule="exact"/>
              <w:rPr>
                <w:rFonts w:hAnsi="宋体"/>
                <w:color w:val="auto"/>
              </w:rPr>
            </w:pPr>
            <w:r>
              <w:rPr>
                <w:rFonts w:hint="eastAsia" w:hAnsi="宋体"/>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hAnsi="宋体"/>
                <w:b/>
                <w:bCs/>
                <w:color w:val="auto"/>
              </w:rPr>
              <w:t>0</w:t>
            </w:r>
            <w:r>
              <w:rPr>
                <w:rFonts w:hAnsi="宋体"/>
                <w:b/>
                <w:bCs/>
                <w:color w:val="auto"/>
              </w:rPr>
              <w:t>.003%</w:t>
            </w:r>
            <w:r>
              <w:rPr>
                <w:rFonts w:hint="eastAsia" w:hAnsi="宋体"/>
                <w:b/>
                <w:bCs/>
                <w:color w:val="auto"/>
              </w:rPr>
              <w:t>丙酰芸苔素内酯</w:t>
            </w:r>
          </w:p>
        </w:tc>
        <w:tc>
          <w:tcPr>
            <w:tcW w:w="5245" w:type="dxa"/>
            <w:gridSpan w:val="2"/>
            <w:vAlign w:val="center"/>
          </w:tcPr>
          <w:p>
            <w:pPr>
              <w:pStyle w:val="49"/>
              <w:spacing w:line="316" w:lineRule="exact"/>
              <w:rPr>
                <w:rFonts w:hAnsi="宋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spacing w:line="316" w:lineRule="exact"/>
              <w:rPr>
                <w:rFonts w:hAnsi="宋体"/>
                <w:color w:val="auto"/>
              </w:rPr>
            </w:pPr>
            <w:r>
              <w:rPr>
                <w:rFonts w:hint="eastAsia"/>
                <w:color w:val="auto"/>
              </w:rPr>
              <w:t>0.003</w:t>
            </w:r>
            <w:r>
              <w:rPr>
                <w:rFonts w:hint="eastAsia" w:ascii="楷体" w:hAnsi="楷体"/>
                <w:color w:val="auto"/>
              </w:rPr>
              <w:t>±</w:t>
            </w:r>
            <w:r>
              <w:rPr>
                <w:rFonts w:hint="eastAsia"/>
                <w:color w:val="auto"/>
              </w:rPr>
              <w:t>0.00045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color w:val="auto"/>
              </w:rPr>
              <w:t>pH</w:t>
            </w:r>
            <w:r>
              <w:rPr>
                <w:rFonts w:hint="eastAsia" w:ascii="楷体" w:hAnsi="楷体"/>
                <w:color w:val="auto"/>
              </w:rPr>
              <w:t>值范围</w:t>
            </w:r>
          </w:p>
        </w:tc>
        <w:tc>
          <w:tcPr>
            <w:tcW w:w="2409" w:type="dxa"/>
            <w:vAlign w:val="center"/>
          </w:tcPr>
          <w:p>
            <w:pPr>
              <w:pStyle w:val="49"/>
              <w:spacing w:line="316" w:lineRule="exact"/>
              <w:rPr>
                <w:rFonts w:hAnsi="宋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spacing w:line="316" w:lineRule="exact"/>
              <w:rPr>
                <w:rFonts w:hAnsi="宋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hAnsi="宋体"/>
                <w:b/>
                <w:bCs/>
                <w:color w:val="auto"/>
              </w:rPr>
              <w:t>0</w:t>
            </w:r>
            <w:r>
              <w:rPr>
                <w:rFonts w:hAnsi="宋体"/>
                <w:b/>
                <w:bCs/>
                <w:color w:val="auto"/>
              </w:rPr>
              <w:t>.1%</w:t>
            </w:r>
            <w:r>
              <w:rPr>
                <w:rFonts w:hint="eastAsia" w:hAnsi="宋体"/>
                <w:b/>
                <w:bCs/>
                <w:color w:val="auto"/>
              </w:rPr>
              <w:t>丙酰芸*S</w:t>
            </w:r>
            <w:r>
              <w:rPr>
                <w:rFonts w:hAnsi="宋体"/>
                <w:b/>
                <w:bCs/>
                <w:color w:val="auto"/>
              </w:rPr>
              <w:t>-</w:t>
            </w:r>
            <w:r>
              <w:rPr>
                <w:rFonts w:hint="eastAsia" w:hAnsi="宋体"/>
                <w:b/>
                <w:bCs/>
                <w:color w:val="auto"/>
              </w:rPr>
              <w:t>诱抗素</w:t>
            </w:r>
          </w:p>
        </w:tc>
        <w:tc>
          <w:tcPr>
            <w:tcW w:w="5245" w:type="dxa"/>
            <w:gridSpan w:val="2"/>
            <w:vAlign w:val="center"/>
          </w:tcPr>
          <w:p>
            <w:pPr>
              <w:pStyle w:val="49"/>
              <w:spacing w:line="316" w:lineRule="exact"/>
              <w:rPr>
                <w:rFonts w:hAnsi="宋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spacing w:line="316" w:lineRule="exact"/>
              <w:rPr>
                <w:rFonts w:hAnsi="宋体"/>
                <w:color w:val="auto"/>
              </w:rPr>
            </w:pPr>
            <w:r>
              <w:rPr>
                <w:rFonts w:hint="eastAsia"/>
                <w:color w:val="auto"/>
              </w:rPr>
              <w:t>0.003</w:t>
            </w:r>
            <w:r>
              <w:rPr>
                <w:rFonts w:hint="eastAsia" w:ascii="楷体" w:hAnsi="楷体"/>
                <w:color w:val="auto"/>
              </w:rPr>
              <w:t>±</w:t>
            </w:r>
            <w:r>
              <w:rPr>
                <w:rFonts w:hint="eastAsia"/>
                <w:color w:val="auto"/>
              </w:rPr>
              <w:t>0.00045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color w:val="auto"/>
              </w:rPr>
              <w:t>S-</w:t>
            </w:r>
            <w:r>
              <w:rPr>
                <w:rFonts w:ascii="楷体" w:hAnsi="楷体"/>
                <w:color w:val="auto"/>
              </w:rPr>
              <w:t>诱抗素</w:t>
            </w:r>
            <w:r>
              <w:rPr>
                <w:rFonts w:hint="eastAsia" w:ascii="楷体" w:hAnsi="楷体"/>
                <w:color w:val="auto"/>
              </w:rPr>
              <w:t>质量分数，</w:t>
            </w:r>
            <w:r>
              <w:rPr>
                <w:rFonts w:hint="eastAsia"/>
                <w:color w:val="auto"/>
              </w:rPr>
              <w:t>%</w:t>
            </w:r>
          </w:p>
        </w:tc>
        <w:tc>
          <w:tcPr>
            <w:tcW w:w="2409" w:type="dxa"/>
            <w:vAlign w:val="center"/>
          </w:tcPr>
          <w:p>
            <w:pPr>
              <w:pStyle w:val="49"/>
              <w:spacing w:line="316" w:lineRule="exact"/>
              <w:rPr>
                <w:rFonts w:hAnsi="宋体"/>
                <w:color w:val="auto"/>
              </w:rPr>
            </w:pPr>
            <w:r>
              <w:rPr>
                <w:rFonts w:hint="eastAsia"/>
                <w:color w:val="auto"/>
              </w:rPr>
              <w:t>0.097</w:t>
            </w:r>
            <w:r>
              <w:rPr>
                <w:rFonts w:hint="eastAsia" w:ascii="楷体" w:hAnsi="楷体"/>
                <w:color w:val="auto"/>
              </w:rPr>
              <w:t>±</w:t>
            </w:r>
            <w:r>
              <w:rPr>
                <w:rFonts w:hint="eastAsia"/>
                <w:color w:val="auto"/>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ascii="楷体" w:hAnsi="楷体"/>
                <w:color w:val="auto"/>
              </w:rPr>
              <w:t>诱抗素</w:t>
            </w:r>
            <w:r>
              <w:rPr>
                <w:color w:val="auto"/>
              </w:rPr>
              <w:t>S</w:t>
            </w:r>
            <w:r>
              <w:rPr>
                <w:rFonts w:hint="eastAsia" w:ascii="楷体" w:hAnsi="楷体"/>
                <w:color w:val="auto"/>
              </w:rPr>
              <w:t>体所占比值</w:t>
            </w:r>
            <w:r>
              <w:rPr>
                <w:rFonts w:hint="eastAsia"/>
                <w:color w:val="auto"/>
              </w:rPr>
              <w:t>K</w:t>
            </w:r>
            <w:r>
              <w:rPr>
                <w:rFonts w:hint="eastAsia" w:ascii="楷体" w:hAnsi="楷体"/>
                <w:color w:val="auto"/>
              </w:rPr>
              <w:t>≥</w:t>
            </w:r>
          </w:p>
        </w:tc>
        <w:tc>
          <w:tcPr>
            <w:tcW w:w="2409" w:type="dxa"/>
            <w:vAlign w:val="center"/>
          </w:tcPr>
          <w:p>
            <w:pPr>
              <w:pStyle w:val="49"/>
              <w:spacing w:line="316" w:lineRule="exact"/>
              <w:rPr>
                <w:rFonts w:hAnsi="宋体"/>
                <w:color w:val="auto"/>
              </w:rPr>
            </w:pPr>
            <w:r>
              <w:rPr>
                <w:rFonts w:hint="eastAsia"/>
                <w:color w:val="auto"/>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color w:val="auto"/>
              </w:rPr>
              <w:t>pH</w:t>
            </w:r>
            <w:r>
              <w:rPr>
                <w:rFonts w:hint="eastAsia" w:ascii="楷体" w:hAnsi="楷体"/>
                <w:color w:val="auto"/>
              </w:rPr>
              <w:t>值范围</w:t>
            </w:r>
          </w:p>
        </w:tc>
        <w:tc>
          <w:tcPr>
            <w:tcW w:w="2409" w:type="dxa"/>
            <w:vAlign w:val="center"/>
          </w:tcPr>
          <w:p>
            <w:pPr>
              <w:pStyle w:val="49"/>
              <w:spacing w:line="316" w:lineRule="exact"/>
              <w:rPr>
                <w:rFonts w:hAnsi="宋体"/>
                <w:color w:val="auto"/>
              </w:rPr>
            </w:pPr>
            <w:r>
              <w:rPr>
                <w:rFonts w:hint="eastAsia"/>
                <w:color w:val="auto"/>
              </w:rPr>
              <w:t>4.0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spacing w:line="316" w:lineRule="exact"/>
              <w:rPr>
                <w:rFonts w:hAnsi="宋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hAnsi="宋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spacing w:line="316" w:lineRule="exact"/>
              <w:rPr>
                <w:rFonts w:hAnsi="宋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hAnsi="宋体"/>
                <w:b/>
                <w:bCs/>
                <w:color w:val="auto"/>
              </w:rPr>
              <w:t>2</w:t>
            </w:r>
            <w:r>
              <w:rPr>
                <w:rFonts w:hAnsi="宋体"/>
                <w:b/>
                <w:bCs/>
                <w:color w:val="auto"/>
              </w:rPr>
              <w:t>%</w:t>
            </w:r>
            <w:r>
              <w:rPr>
                <w:rFonts w:hint="eastAsia" w:hAnsi="宋体"/>
                <w:b/>
                <w:bCs/>
                <w:color w:val="auto"/>
              </w:rPr>
              <w:t>丙酰芸*赤霉酸</w:t>
            </w: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0.002</w:t>
            </w:r>
            <w:r>
              <w:rPr>
                <w:rFonts w:hint="eastAsia" w:ascii="楷体" w:hAnsi="楷体"/>
                <w:color w:val="auto"/>
              </w:rPr>
              <w:t>±</w:t>
            </w:r>
            <w:r>
              <w:rPr>
                <w:rFonts w:hint="eastAsia"/>
                <w:color w:val="auto"/>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ascii="楷体" w:hAnsi="楷体"/>
                <w:color w:val="auto"/>
              </w:rPr>
              <w:t>赤霉酸</w:t>
            </w:r>
            <w:r>
              <w:rPr>
                <w:rFonts w:hint="eastAsia"/>
                <w:color w:val="auto"/>
              </w:rPr>
              <w:t>A4</w:t>
            </w:r>
            <w:r>
              <w:rPr>
                <w:rFonts w:hint="eastAsia" w:ascii="楷体" w:hAnsi="楷体"/>
                <w:color w:val="auto"/>
              </w:rPr>
              <w:t>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1.998</w:t>
            </w:r>
            <w:r>
              <w:rPr>
                <w:rFonts w:hint="eastAsia" w:ascii="楷体" w:hAnsi="楷体"/>
                <w:color w:val="auto"/>
              </w:rPr>
              <w:t>±</w:t>
            </w:r>
            <w:r>
              <w:rPr>
                <w:rFonts w:hint="eastAsia"/>
                <w:color w:val="auto"/>
              </w:rPr>
              <w:t>0.299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color w:val="auto"/>
              </w:rPr>
              <w:t>GA4/GA7</w:t>
            </w:r>
            <w:r>
              <w:rPr>
                <w:rFonts w:hint="eastAsia" w:ascii="楷体" w:hAnsi="楷体"/>
                <w:color w:val="auto"/>
              </w:rPr>
              <w:t>≥</w:t>
            </w:r>
          </w:p>
        </w:tc>
        <w:tc>
          <w:tcPr>
            <w:tcW w:w="2409" w:type="dxa"/>
            <w:vAlign w:val="center"/>
          </w:tcPr>
          <w:p>
            <w:pPr>
              <w:pStyle w:val="49"/>
              <w:spacing w:line="316" w:lineRule="exact"/>
              <w:rPr>
                <w:rFonts w:ascii="楷体" w:hAnsi="楷体"/>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spacing w:line="316" w:lineRule="exact"/>
              <w:rPr>
                <w:rFonts w:ascii="楷体" w:hAnsi="楷体"/>
                <w:color w:val="auto"/>
              </w:rPr>
            </w:pPr>
            <w:r>
              <w:rPr>
                <w:rFonts w:hint="eastAsia"/>
                <w:color w:val="auto"/>
              </w:rPr>
              <w:t>3.0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spacing w:line="316" w:lineRule="exact"/>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hAnsi="宋体"/>
                <w:b/>
                <w:bCs/>
                <w:color w:val="auto"/>
              </w:rPr>
              <w:t>5</w:t>
            </w:r>
            <w:r>
              <w:rPr>
                <w:rFonts w:hAnsi="宋体"/>
                <w:b/>
                <w:bCs/>
                <w:color w:val="auto"/>
              </w:rPr>
              <w:t>0%</w:t>
            </w:r>
            <w:r>
              <w:rPr>
                <w:rFonts w:hint="eastAsia" w:hAnsi="宋体"/>
                <w:b/>
                <w:bCs/>
                <w:color w:val="auto"/>
              </w:rPr>
              <w:t>丙酰芸*氯化胆碱</w:t>
            </w: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0.002</w:t>
            </w:r>
            <w:r>
              <w:rPr>
                <w:rFonts w:hint="eastAsia" w:ascii="楷体" w:hAnsi="楷体"/>
                <w:color w:val="auto"/>
              </w:rPr>
              <w:t>±</w:t>
            </w:r>
            <w:r>
              <w:rPr>
                <w:rFonts w:hint="eastAsia"/>
                <w:color w:val="auto"/>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ascii="楷体" w:hAnsi="楷体"/>
                <w:color w:val="auto"/>
              </w:rPr>
              <w:t>氯化胆碱</w:t>
            </w:r>
            <w:r>
              <w:rPr>
                <w:rFonts w:hint="eastAsia" w:ascii="楷体" w:hAnsi="楷体"/>
                <w:color w:val="auto"/>
              </w:rPr>
              <w:t>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49.998</w:t>
            </w:r>
            <w:r>
              <w:rPr>
                <w:rFonts w:hint="eastAsia" w:ascii="楷体" w:hAnsi="楷体"/>
                <w:color w:val="auto"/>
              </w:rPr>
              <w:t>±</w:t>
            </w:r>
            <w:r>
              <w:rPr>
                <w:rFonts w:hint="eastAsia"/>
                <w:color w:val="auto"/>
              </w:rPr>
              <w:t>2.499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ascii="楷体" w:hAnsi="楷体"/>
                <w:color w:val="auto"/>
              </w:rPr>
              <w:t>胆碱</w:t>
            </w:r>
            <w:r>
              <w:rPr>
                <w:rFonts w:hint="eastAsia" w:ascii="楷体" w:hAnsi="楷体"/>
                <w:color w:val="auto"/>
              </w:rPr>
              <w:t>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37.295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氯离子质量分数≥，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spacing w:line="316" w:lineRule="exact"/>
              <w:rPr>
                <w:rFonts w:ascii="楷体" w:hAnsi="楷体"/>
                <w:color w:val="auto"/>
              </w:rPr>
            </w:pPr>
            <w:r>
              <w:rPr>
                <w:rFonts w:hint="eastAsia"/>
                <w:color w:val="auto"/>
              </w:rPr>
              <w:t>6.5</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spacing w:line="316" w:lineRule="exact"/>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spacing w:line="316" w:lineRule="exact"/>
              <w:jc w:val="both"/>
              <w:rPr>
                <w:rFonts w:hAnsi="宋体"/>
                <w:b/>
                <w:bCs/>
                <w:color w:val="auto"/>
              </w:rPr>
            </w:pPr>
            <w:r>
              <w:rPr>
                <w:rFonts w:hint="eastAsia" w:hAnsi="宋体"/>
                <w:b/>
                <w:bCs/>
                <w:color w:val="auto"/>
              </w:rPr>
              <w:t>0</w:t>
            </w:r>
            <w:r>
              <w:rPr>
                <w:rFonts w:hAnsi="宋体"/>
                <w:b/>
                <w:bCs/>
                <w:color w:val="auto"/>
              </w:rPr>
              <w:t>.01%28-</w:t>
            </w:r>
            <w:r>
              <w:rPr>
                <w:rFonts w:hint="eastAsia" w:hAnsi="宋体"/>
                <w:b/>
                <w:bCs/>
                <w:color w:val="auto"/>
              </w:rPr>
              <w:t>高*丙酰芸苔素内酯</w:t>
            </w:r>
          </w:p>
        </w:tc>
        <w:tc>
          <w:tcPr>
            <w:tcW w:w="5245" w:type="dxa"/>
            <w:gridSpan w:val="2"/>
            <w:vAlign w:val="center"/>
          </w:tcPr>
          <w:p>
            <w:pPr>
              <w:pStyle w:val="49"/>
              <w:spacing w:line="316" w:lineRule="exact"/>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0.005</w:t>
            </w:r>
            <w:r>
              <w:rPr>
                <w:rFonts w:hint="eastAsia" w:ascii="楷体" w:hAnsi="楷体"/>
                <w:color w:val="auto"/>
              </w:rPr>
              <w:t>±</w:t>
            </w:r>
            <w:r>
              <w:rPr>
                <w:rFonts w:hint="eastAsia"/>
                <w:color w:val="auto"/>
              </w:rPr>
              <w:t>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spacing w:line="316" w:lineRule="exact"/>
              <w:rPr>
                <w:rFonts w:ascii="楷体" w:hAnsi="楷体"/>
                <w:color w:val="auto"/>
              </w:rPr>
            </w:pPr>
            <w:r>
              <w:rPr>
                <w:rFonts w:hint="eastAsia"/>
                <w:color w:val="auto"/>
              </w:rPr>
              <w:t>0.005</w:t>
            </w:r>
            <w:r>
              <w:rPr>
                <w:rFonts w:hint="eastAsia" w:ascii="楷体" w:hAnsi="楷体"/>
                <w:color w:val="auto"/>
              </w:rPr>
              <w:t>±</w:t>
            </w:r>
            <w:r>
              <w:rPr>
                <w:rFonts w:hint="eastAsia"/>
                <w:color w:val="auto"/>
              </w:rPr>
              <w:t>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spacing w:line="316" w:lineRule="exact"/>
              <w:rPr>
                <w:rFonts w:ascii="楷体" w:hAnsi="楷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spacing w:line="316" w:lineRule="exact"/>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spacing w:line="316" w:lineRule="exact"/>
              <w:jc w:val="both"/>
              <w:rPr>
                <w:rFonts w:hAnsi="宋体"/>
                <w:b/>
                <w:bCs/>
                <w:color w:val="auto"/>
              </w:rPr>
            </w:pPr>
          </w:p>
        </w:tc>
        <w:tc>
          <w:tcPr>
            <w:tcW w:w="5245" w:type="dxa"/>
            <w:gridSpan w:val="2"/>
            <w:vAlign w:val="center"/>
          </w:tcPr>
          <w:p>
            <w:pPr>
              <w:pStyle w:val="49"/>
              <w:spacing w:line="316" w:lineRule="exact"/>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spacing w:line="316" w:lineRule="exact"/>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.16%28-</w:t>
            </w:r>
            <w:r>
              <w:rPr>
                <w:rFonts w:hint="eastAsia" w:hAnsi="宋体"/>
                <w:b/>
                <w:bCs/>
                <w:color w:val="auto"/>
              </w:rPr>
              <w:t>高芸*噻苯隆</w:t>
            </w:r>
          </w:p>
        </w:tc>
        <w:tc>
          <w:tcPr>
            <w:tcW w:w="5245" w:type="dxa"/>
            <w:gridSpan w:val="2"/>
            <w:vAlign w:val="center"/>
          </w:tcPr>
          <w:p>
            <w:pPr>
              <w:pStyle w:val="49"/>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0.0100</w:t>
            </w:r>
            <w:r>
              <w:rPr>
                <w:rFonts w:hint="eastAsia" w:ascii="楷体" w:hAnsi="楷体"/>
                <w:color w:val="auto"/>
              </w:rPr>
              <w:t>±</w:t>
            </w:r>
            <w:r>
              <w:rPr>
                <w:rFonts w:hint="eastAsia"/>
                <w:color w:val="auto"/>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噻苯隆</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0.15</w:t>
            </w:r>
            <w:r>
              <w:rPr>
                <w:rFonts w:hint="eastAsia" w:ascii="楷体" w:hAnsi="楷体"/>
                <w:color w:val="auto"/>
              </w:rPr>
              <w:t>±</w:t>
            </w:r>
            <w:r>
              <w:rPr>
                <w:rFonts w:hint="eastAsia"/>
                <w:color w:val="auto"/>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.5%28-</w:t>
            </w:r>
            <w:r>
              <w:rPr>
                <w:rFonts w:hint="eastAsia" w:hAnsi="宋体"/>
                <w:b/>
                <w:bCs/>
                <w:color w:val="auto"/>
              </w:rPr>
              <w:t>高芸*氯吡脲</w:t>
            </w:r>
          </w:p>
        </w:tc>
        <w:tc>
          <w:tcPr>
            <w:tcW w:w="5245" w:type="dxa"/>
            <w:gridSpan w:val="2"/>
            <w:vAlign w:val="center"/>
          </w:tcPr>
          <w:p>
            <w:pPr>
              <w:pStyle w:val="49"/>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0.0100</w:t>
            </w:r>
            <w:r>
              <w:rPr>
                <w:rFonts w:hint="eastAsia" w:ascii="楷体" w:hAnsi="楷体"/>
                <w:color w:val="auto"/>
              </w:rPr>
              <w:t>±</w:t>
            </w:r>
            <w:r>
              <w:rPr>
                <w:rFonts w:hint="eastAsia"/>
                <w:color w:val="auto"/>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氯吡脲</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0.49</w:t>
            </w:r>
            <w:r>
              <w:rPr>
                <w:rFonts w:hint="eastAsia" w:ascii="楷体" w:hAnsi="楷体"/>
                <w:color w:val="auto"/>
              </w:rPr>
              <w:t>±</w:t>
            </w:r>
            <w:r>
              <w:rPr>
                <w:rFonts w:hint="eastAsia"/>
                <w:color w:val="auto"/>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2</w:t>
            </w:r>
            <w:r>
              <w:rPr>
                <w:rFonts w:hAnsi="宋体"/>
                <w:b/>
                <w:bCs/>
                <w:color w:val="auto"/>
              </w:rPr>
              <w:t>%28-</w:t>
            </w:r>
            <w:r>
              <w:rPr>
                <w:rFonts w:hint="eastAsia" w:hAnsi="宋体"/>
                <w:b/>
                <w:bCs/>
                <w:color w:val="auto"/>
              </w:rPr>
              <w:t>高芸*苄氨基嘌呤</w:t>
            </w:r>
          </w:p>
        </w:tc>
        <w:tc>
          <w:tcPr>
            <w:tcW w:w="5245" w:type="dxa"/>
            <w:gridSpan w:val="2"/>
            <w:vAlign w:val="center"/>
          </w:tcPr>
          <w:p>
            <w:pPr>
              <w:pStyle w:val="49"/>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0.0050</w:t>
            </w:r>
            <w:r>
              <w:rPr>
                <w:rFonts w:hint="eastAsia" w:ascii="楷体" w:hAnsi="楷体"/>
                <w:color w:val="auto"/>
              </w:rPr>
              <w:t>±</w:t>
            </w:r>
            <w:r>
              <w:rPr>
                <w:rFonts w:hint="eastAsia"/>
                <w:color w:val="auto"/>
              </w:rPr>
              <w:t>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氯吡脲</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1.995</w:t>
            </w:r>
            <w:r>
              <w:rPr>
                <w:rFonts w:hint="eastAsia" w:ascii="楷体" w:hAnsi="楷体"/>
                <w:color w:val="auto"/>
              </w:rPr>
              <w:t>±</w:t>
            </w:r>
            <w:r>
              <w:rPr>
                <w:rFonts w:hint="eastAsia"/>
                <w:color w:val="auto"/>
              </w:rPr>
              <w:t>0.299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4.0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4</w:t>
            </w:r>
            <w:r>
              <w:rPr>
                <w:rFonts w:hAnsi="宋体"/>
                <w:b/>
                <w:bCs/>
                <w:color w:val="auto"/>
              </w:rPr>
              <w:t>.5%28-</w:t>
            </w:r>
            <w:r>
              <w:rPr>
                <w:rFonts w:hint="eastAsia" w:hAnsi="宋体"/>
                <w:b/>
                <w:bCs/>
                <w:color w:val="auto"/>
              </w:rPr>
              <w:t>高芸*赤霉酸</w:t>
            </w:r>
          </w:p>
        </w:tc>
        <w:tc>
          <w:tcPr>
            <w:tcW w:w="5245" w:type="dxa"/>
            <w:gridSpan w:val="2"/>
            <w:vAlign w:val="center"/>
          </w:tcPr>
          <w:p>
            <w:pPr>
              <w:pStyle w:val="49"/>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0.00500</w:t>
            </w:r>
            <w:r>
              <w:rPr>
                <w:rFonts w:hint="eastAsia" w:ascii="楷体" w:hAnsi="楷体"/>
                <w:color w:val="auto"/>
              </w:rPr>
              <w:t>±</w:t>
            </w:r>
            <w:r>
              <w:rPr>
                <w:rFonts w:hint="eastAsia"/>
                <w:color w:val="auto"/>
              </w:rPr>
              <w:t>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赤霉酸</w:t>
            </w:r>
            <w:r>
              <w:rPr>
                <w:rFonts w:hint="eastAsia"/>
                <w:color w:val="auto"/>
              </w:rPr>
              <w:t>A3</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4.495</w:t>
            </w:r>
            <w:r>
              <w:rPr>
                <w:rFonts w:hint="eastAsia" w:ascii="楷体" w:hAnsi="楷体"/>
                <w:color w:val="auto"/>
              </w:rPr>
              <w:t>±</w:t>
            </w:r>
            <w:r>
              <w:rPr>
                <w:rFonts w:hint="eastAsia"/>
                <w:color w:val="auto"/>
              </w:rPr>
              <w:t>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水分≤，</w:t>
            </w:r>
            <w:r>
              <w:rPr>
                <w:rFonts w:hint="eastAsia"/>
                <w:color w:val="auto"/>
              </w:rPr>
              <w:t>%</w:t>
            </w:r>
          </w:p>
        </w:tc>
        <w:tc>
          <w:tcPr>
            <w:tcW w:w="2409" w:type="dxa"/>
            <w:vAlign w:val="center"/>
          </w:tcPr>
          <w:p>
            <w:pPr>
              <w:pStyle w:val="49"/>
              <w:rPr>
                <w:rFonts w:ascii="楷体" w:hAnsi="楷体"/>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4.0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1</w:t>
            </w:r>
            <w:r>
              <w:rPr>
                <w:rFonts w:hAnsi="宋体"/>
                <w:b/>
                <w:bCs/>
                <w:color w:val="auto"/>
              </w:rPr>
              <w:t>%24-</w:t>
            </w:r>
            <w:r>
              <w:rPr>
                <w:rFonts w:hint="eastAsia" w:hAnsi="宋体"/>
                <w:b/>
                <w:bCs/>
                <w:color w:val="auto"/>
              </w:rPr>
              <w:t>表芸*氨基寡糖素</w:t>
            </w:r>
          </w:p>
        </w:tc>
        <w:tc>
          <w:tcPr>
            <w:tcW w:w="5245" w:type="dxa"/>
            <w:gridSpan w:val="2"/>
            <w:vAlign w:val="center"/>
          </w:tcPr>
          <w:p>
            <w:pPr>
              <w:pStyle w:val="49"/>
              <w:rPr>
                <w:rFonts w:ascii="楷体" w:hAnsi="楷体"/>
                <w:color w:val="auto"/>
              </w:rPr>
            </w:pPr>
            <w:r>
              <w:rPr>
                <w:rFonts w:hint="eastAsia"/>
                <w:color w:val="auto"/>
              </w:rPr>
              <w:t>24-</w:t>
            </w:r>
            <w:r>
              <w:rPr>
                <w:rFonts w:hint="eastAsia" w:ascii="楷体" w:hAnsi="楷体"/>
                <w:color w:val="auto"/>
              </w:rPr>
              <w:t>表芸苔素内酯质量分数，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0.0005</w:t>
            </w:r>
            <w:r>
              <w:rPr>
                <w:rFonts w:hint="eastAsia" w:ascii="楷体" w:hAnsi="楷体"/>
                <w:color w:val="auto"/>
              </w:rPr>
              <w:t>±</w:t>
            </w:r>
            <w:r>
              <w:rPr>
                <w:rFonts w:hint="eastAsia"/>
                <w:color w:val="auto"/>
              </w:rPr>
              <w:t>0.000075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氨基寡糖素</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0.9995</w:t>
            </w:r>
            <w:r>
              <w:rPr>
                <w:rFonts w:hint="eastAsia" w:ascii="楷体" w:hAnsi="楷体"/>
                <w:color w:val="auto"/>
              </w:rPr>
              <w:t>±</w:t>
            </w:r>
            <w:r>
              <w:rPr>
                <w:rFonts w:hint="eastAsia"/>
                <w:color w:val="auto"/>
              </w:rPr>
              <w:t>0.1499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氨基葡萄糖质量分数≤，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4.0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.01%24-</w:t>
            </w:r>
            <w:r>
              <w:rPr>
                <w:rFonts w:hint="eastAsia" w:hAnsi="宋体"/>
                <w:b/>
                <w:bCs/>
                <w:color w:val="auto"/>
              </w:rPr>
              <w:t>表芸苔素内酯</w:t>
            </w:r>
          </w:p>
        </w:tc>
        <w:tc>
          <w:tcPr>
            <w:tcW w:w="5245" w:type="dxa"/>
            <w:gridSpan w:val="2"/>
            <w:vAlign w:val="center"/>
          </w:tcPr>
          <w:p>
            <w:pPr>
              <w:pStyle w:val="49"/>
              <w:rPr>
                <w:rFonts w:ascii="楷体" w:hAnsi="楷体"/>
                <w:color w:val="auto"/>
              </w:rPr>
            </w:pPr>
            <w:r>
              <w:rPr>
                <w:rFonts w:hint="eastAsia" w:ascii="楷体" w:hAnsi="楷体"/>
                <w:color w:val="auto"/>
              </w:rPr>
              <w:t>芸苔素质量分数，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w:t>
            </w:r>
            <w:r>
              <w:rPr>
                <w:rFonts w:hint="eastAsia" w:ascii="楷体" w:hAnsi="楷体"/>
                <w:color w:val="auto"/>
              </w:rPr>
              <w:t>±</w:t>
            </w:r>
            <w:r>
              <w:rPr>
                <w:rFonts w:hint="eastAsia"/>
                <w:color w:val="auto"/>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水不溶物质量分数≤，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稀释稳定性（稀释</w:t>
            </w:r>
            <w:r>
              <w:rPr>
                <w:rFonts w:hint="eastAsia"/>
                <w:color w:val="auto"/>
              </w:rPr>
              <w:t>20</w:t>
            </w:r>
            <w:r>
              <w:rPr>
                <w:rFonts w:hint="eastAsia" w:ascii="楷体" w:hAnsi="楷体"/>
                <w:color w:val="auto"/>
              </w:rPr>
              <w:t>倍）</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vertAlign w:val="superscript"/>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vertAlign w:val="superscript"/>
              </w:rPr>
              <w:t>b</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.1%</w:t>
            </w:r>
            <w:r>
              <w:rPr>
                <w:rFonts w:hint="eastAsia" w:hAnsi="宋体"/>
                <w:b/>
                <w:bCs/>
                <w:color w:val="auto"/>
              </w:rPr>
              <w:t>丙酰芸*三十烷醇</w:t>
            </w:r>
          </w:p>
        </w:tc>
        <w:tc>
          <w:tcPr>
            <w:tcW w:w="5245" w:type="dxa"/>
            <w:gridSpan w:val="2"/>
            <w:vAlign w:val="center"/>
          </w:tcPr>
          <w:p>
            <w:pPr>
              <w:pStyle w:val="49"/>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0.003</w:t>
            </w:r>
            <w:r>
              <w:rPr>
                <w:rFonts w:hint="eastAsia" w:ascii="楷体" w:hAnsi="楷体"/>
                <w:color w:val="auto"/>
              </w:rPr>
              <w:t>±</w:t>
            </w:r>
            <w:r>
              <w:rPr>
                <w:rFonts w:hint="eastAsia"/>
                <w:color w:val="auto"/>
              </w:rPr>
              <w:t>0.00045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三十烷醇质量分数，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0.097</w:t>
            </w:r>
            <w:r>
              <w:rPr>
                <w:rFonts w:hint="eastAsia" w:ascii="楷体" w:hAnsi="楷体"/>
                <w:color w:val="auto"/>
              </w:rPr>
              <w:t>±</w:t>
            </w:r>
            <w:r>
              <w:rPr>
                <w:rFonts w:hint="eastAsia"/>
                <w:color w:val="auto"/>
              </w:rPr>
              <w:t>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6.0</w:t>
            </w:r>
            <w:r>
              <w:rPr>
                <w:rFonts w:hint="eastAsia" w:ascii="楷体" w:hAnsi="楷体"/>
                <w:color w:val="auto"/>
              </w:rPr>
              <w:t>～</w:t>
            </w:r>
            <w:r>
              <w:rPr>
                <w:rFonts w:hint="eastAsia"/>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悬浮率≥，</w:t>
            </w:r>
            <w:r>
              <w:rPr>
                <w:rFonts w:hint="eastAsia"/>
                <w:color w:val="auto"/>
              </w:rPr>
              <w:t>%</w:t>
            </w:r>
          </w:p>
        </w:tc>
        <w:tc>
          <w:tcPr>
            <w:tcW w:w="2409" w:type="dxa"/>
            <w:vAlign w:val="center"/>
          </w:tcPr>
          <w:p>
            <w:pPr>
              <w:pStyle w:val="49"/>
              <w:rPr>
                <w:rFonts w:ascii="楷体" w:hAnsi="楷体"/>
                <w:color w:val="auto"/>
              </w:rPr>
            </w:pPr>
            <w:r>
              <w:rPr>
                <w:rFonts w:hint="eastAsia"/>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1984" w:type="dxa"/>
            <w:vMerge w:val="restart"/>
            <w:vAlign w:val="center"/>
          </w:tcPr>
          <w:p>
            <w:pPr>
              <w:pStyle w:val="49"/>
              <w:rPr>
                <w:rFonts w:ascii="楷体" w:hAnsi="楷体"/>
                <w:color w:val="auto"/>
              </w:rPr>
            </w:pPr>
            <w:r>
              <w:rPr>
                <w:rFonts w:hint="eastAsia" w:ascii="楷体" w:hAnsi="楷体"/>
                <w:color w:val="auto"/>
              </w:rPr>
              <w:t>倾倒性</w:t>
            </w:r>
          </w:p>
        </w:tc>
        <w:tc>
          <w:tcPr>
            <w:tcW w:w="3261" w:type="dxa"/>
            <w:vAlign w:val="center"/>
          </w:tcPr>
          <w:p>
            <w:pPr>
              <w:pStyle w:val="49"/>
              <w:rPr>
                <w:rFonts w:ascii="楷体" w:hAnsi="楷体"/>
                <w:color w:val="auto"/>
              </w:rPr>
            </w:pPr>
            <w:r>
              <w:rPr>
                <w:rFonts w:hint="eastAsia" w:ascii="楷体" w:hAnsi="楷体"/>
                <w:color w:val="auto"/>
              </w:rPr>
              <w:t>倾倒后残余物≤，</w:t>
            </w:r>
            <w:r>
              <w:rPr>
                <w:rFonts w:hint="eastAsia"/>
                <w:color w:val="auto"/>
              </w:rPr>
              <w:t>%</w:t>
            </w:r>
          </w:p>
        </w:tc>
        <w:tc>
          <w:tcPr>
            <w:tcW w:w="2409" w:type="dxa"/>
            <w:vAlign w:val="center"/>
          </w:tcPr>
          <w:p>
            <w:pPr>
              <w:pStyle w:val="49"/>
              <w:rPr>
                <w:color w:val="auto"/>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1984" w:type="dxa"/>
            <w:vMerge w:val="continue"/>
            <w:vAlign w:val="center"/>
          </w:tcPr>
          <w:p>
            <w:pPr>
              <w:pStyle w:val="49"/>
              <w:rPr>
                <w:rFonts w:ascii="楷体" w:hAnsi="楷体"/>
                <w:color w:val="auto"/>
              </w:rPr>
            </w:pPr>
          </w:p>
        </w:tc>
        <w:tc>
          <w:tcPr>
            <w:tcW w:w="3261" w:type="dxa"/>
            <w:vAlign w:val="center"/>
          </w:tcPr>
          <w:p>
            <w:pPr>
              <w:pStyle w:val="49"/>
              <w:rPr>
                <w:rFonts w:ascii="楷体" w:hAnsi="楷体"/>
                <w:color w:val="auto"/>
              </w:rPr>
            </w:pPr>
            <w:r>
              <w:rPr>
                <w:rFonts w:hint="eastAsia" w:ascii="楷体" w:hAnsi="楷体"/>
                <w:color w:val="auto"/>
              </w:rPr>
              <w:t>洗涤后残余物≤，</w:t>
            </w:r>
            <w:r>
              <w:rPr>
                <w:rFonts w:hint="eastAsia"/>
                <w:color w:val="auto"/>
              </w:rPr>
              <w:t>%</w:t>
            </w:r>
          </w:p>
        </w:tc>
        <w:tc>
          <w:tcPr>
            <w:tcW w:w="2409" w:type="dxa"/>
            <w:vAlign w:val="center"/>
          </w:tcPr>
          <w:p>
            <w:pPr>
              <w:pStyle w:val="49"/>
              <w:rPr>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筛析（通过</w:t>
            </w:r>
            <w:r>
              <w:rPr>
                <w:rFonts w:hint="eastAsia"/>
                <w:color w:val="auto"/>
              </w:rPr>
              <w:t>75</w:t>
            </w:r>
            <w:r>
              <w:rPr>
                <w:rFonts w:hint="eastAsia" w:ascii="楷体" w:hAnsi="楷体"/>
                <w:color w:val="auto"/>
              </w:rPr>
              <w:t>μ</w:t>
            </w:r>
            <w:r>
              <w:rPr>
                <w:rFonts w:hint="eastAsia"/>
                <w:color w:val="auto"/>
              </w:rPr>
              <w:t>m</w:t>
            </w:r>
            <w:r>
              <w:rPr>
                <w:rFonts w:hint="eastAsia" w:ascii="楷体" w:hAnsi="楷体"/>
                <w:color w:val="auto"/>
              </w:rPr>
              <w:t>）≥，</w:t>
            </w:r>
            <w:r>
              <w:rPr>
                <w:rFonts w:hint="eastAsia"/>
                <w:color w:val="auto"/>
              </w:rPr>
              <w:t>%</w:t>
            </w:r>
          </w:p>
        </w:tc>
        <w:tc>
          <w:tcPr>
            <w:tcW w:w="2409" w:type="dxa"/>
            <w:vAlign w:val="center"/>
          </w:tcPr>
          <w:p>
            <w:pPr>
              <w:pStyle w:val="49"/>
              <w:rPr>
                <w:color w:val="auto"/>
              </w:rPr>
            </w:pPr>
            <w:r>
              <w:rPr>
                <w:rFonts w:hint="eastAsia"/>
                <w:color w:val="auto"/>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color w:val="auto"/>
              </w:rPr>
            </w:pPr>
            <w:r>
              <w:rPr>
                <w:rFonts w:hint="eastAsia"/>
                <w:color w:val="auto"/>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rPr>
              <w:t>a</w:t>
            </w:r>
          </w:p>
        </w:tc>
        <w:tc>
          <w:tcPr>
            <w:tcW w:w="2409" w:type="dxa"/>
            <w:vAlign w:val="center"/>
          </w:tcPr>
          <w:p>
            <w:pPr>
              <w:pStyle w:val="49"/>
              <w:rPr>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vAlign w:val="center"/>
          </w:tcPr>
          <w:p>
            <w:pPr>
              <w:pStyle w:val="49"/>
              <w:rPr>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5</w:t>
            </w:r>
            <w:r>
              <w:rPr>
                <w:rFonts w:hAnsi="宋体"/>
                <w:b/>
                <w:bCs/>
                <w:color w:val="auto"/>
              </w:rPr>
              <w:t>%28-</w:t>
            </w:r>
            <w:r>
              <w:rPr>
                <w:rFonts w:hint="eastAsia" w:hAnsi="宋体"/>
                <w:b/>
                <w:bCs/>
                <w:color w:val="auto"/>
              </w:rPr>
              <w:t>高芸*烯效唑</w:t>
            </w:r>
          </w:p>
        </w:tc>
        <w:tc>
          <w:tcPr>
            <w:tcW w:w="5245" w:type="dxa"/>
            <w:gridSpan w:val="2"/>
            <w:vAlign w:val="center"/>
          </w:tcPr>
          <w:p>
            <w:pPr>
              <w:pStyle w:val="49"/>
              <w:rPr>
                <w:rFonts w:ascii="楷体" w:hAnsi="楷体"/>
                <w:color w:val="auto"/>
              </w:rPr>
            </w:pPr>
            <w:r>
              <w:rPr>
                <w:rFonts w:hint="eastAsia"/>
                <w:color w:val="auto"/>
              </w:rPr>
              <w:t>28-</w:t>
            </w:r>
            <w:r>
              <w:rPr>
                <w:rFonts w:hint="eastAsia" w:ascii="楷体" w:hAnsi="楷体"/>
                <w:color w:val="auto"/>
              </w:rPr>
              <w:t>高芸苔素内酯质量分数，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w:t>
            </w:r>
            <w:r>
              <w:rPr>
                <w:rFonts w:hint="eastAsia" w:ascii="楷体" w:hAnsi="楷体"/>
                <w:color w:val="auto"/>
              </w:rPr>
              <w:t>±</w:t>
            </w:r>
            <w:r>
              <w:rPr>
                <w:rFonts w:hint="eastAsia"/>
                <w:color w:val="auto"/>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烯效唑</w:t>
            </w:r>
            <w:r>
              <w:rPr>
                <w:rFonts w:hint="eastAsia" w:ascii="楷体" w:hAnsi="楷体"/>
                <w:color w:val="auto"/>
              </w:rPr>
              <w:t>（</w:t>
            </w:r>
            <w:r>
              <w:rPr>
                <w:rFonts w:hint="eastAsia"/>
                <w:color w:val="auto"/>
              </w:rPr>
              <w:t>E</w:t>
            </w:r>
            <w:r>
              <w:rPr>
                <w:rFonts w:hint="eastAsia" w:ascii="楷体" w:hAnsi="楷体"/>
                <w:color w:val="auto"/>
              </w:rPr>
              <w:t>体）质量分数，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4.99</w:t>
            </w:r>
            <w:r>
              <w:rPr>
                <w:rFonts w:hint="eastAsia" w:ascii="楷体" w:hAnsi="楷体"/>
                <w:color w:val="auto"/>
              </w:rPr>
              <w:t>±</w:t>
            </w: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5.0</w:t>
            </w:r>
            <w:r>
              <w:rPr>
                <w:rFonts w:hint="eastAsia" w:ascii="楷体" w:hAnsi="楷体"/>
                <w:color w:val="auto"/>
              </w:rPr>
              <w:t>～</w:t>
            </w: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1984" w:type="dxa"/>
            <w:vMerge w:val="restart"/>
            <w:vAlign w:val="center"/>
          </w:tcPr>
          <w:p>
            <w:pPr>
              <w:pStyle w:val="49"/>
              <w:rPr>
                <w:rFonts w:ascii="楷体" w:hAnsi="楷体"/>
                <w:color w:val="auto"/>
              </w:rPr>
            </w:pPr>
            <w:r>
              <w:rPr>
                <w:rFonts w:hint="eastAsia" w:ascii="楷体" w:hAnsi="楷体"/>
                <w:color w:val="auto"/>
              </w:rPr>
              <w:t>倾倒性</w:t>
            </w:r>
          </w:p>
        </w:tc>
        <w:tc>
          <w:tcPr>
            <w:tcW w:w="3261" w:type="dxa"/>
            <w:vAlign w:val="center"/>
          </w:tcPr>
          <w:p>
            <w:pPr>
              <w:pStyle w:val="49"/>
              <w:rPr>
                <w:rFonts w:ascii="楷体" w:hAnsi="楷体"/>
                <w:color w:val="auto"/>
              </w:rPr>
            </w:pPr>
            <w:r>
              <w:rPr>
                <w:rFonts w:hint="eastAsia" w:ascii="楷体" w:hAnsi="楷体"/>
                <w:color w:val="auto"/>
              </w:rPr>
              <w:t>倾倒后残余物≤，</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1984" w:type="dxa"/>
            <w:vMerge w:val="continue"/>
            <w:vAlign w:val="center"/>
          </w:tcPr>
          <w:p>
            <w:pPr>
              <w:pStyle w:val="49"/>
              <w:rPr>
                <w:rFonts w:ascii="楷体" w:hAnsi="楷体"/>
                <w:color w:val="auto"/>
              </w:rPr>
            </w:pPr>
          </w:p>
        </w:tc>
        <w:tc>
          <w:tcPr>
            <w:tcW w:w="3261" w:type="dxa"/>
            <w:vAlign w:val="center"/>
          </w:tcPr>
          <w:p>
            <w:pPr>
              <w:pStyle w:val="49"/>
              <w:rPr>
                <w:rFonts w:ascii="楷体" w:hAnsi="楷体"/>
                <w:color w:val="auto"/>
              </w:rPr>
            </w:pPr>
            <w:r>
              <w:rPr>
                <w:rFonts w:hint="eastAsia" w:ascii="楷体" w:hAnsi="楷体"/>
                <w:color w:val="auto"/>
              </w:rPr>
              <w:t>洗涤后残余物≤，</w:t>
            </w:r>
            <w:r>
              <w:rPr>
                <w:rFonts w:hint="eastAsia"/>
                <w:color w:val="auto"/>
              </w:rPr>
              <w:t>%</w:t>
            </w:r>
          </w:p>
        </w:tc>
        <w:tc>
          <w:tcPr>
            <w:tcW w:w="2409" w:type="dxa"/>
            <w:vAlign w:val="center"/>
          </w:tcPr>
          <w:p>
            <w:pPr>
              <w:pStyle w:val="49"/>
              <w:rPr>
                <w:rFonts w:ascii="楷体" w:hAnsi="楷体"/>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悬浮率（</w:t>
            </w:r>
            <w:r>
              <w:rPr>
                <w:rFonts w:hint="eastAsia"/>
                <w:color w:val="auto"/>
              </w:rPr>
              <w:t>28-</w:t>
            </w:r>
            <w:r>
              <w:rPr>
                <w:rFonts w:hint="eastAsia" w:ascii="楷体" w:hAnsi="楷体"/>
                <w:color w:val="auto"/>
              </w:rPr>
              <w:t>高芸苔素内酯和</w:t>
            </w:r>
            <w:r>
              <w:rPr>
                <w:rFonts w:ascii="楷体" w:hAnsi="楷体"/>
                <w:color w:val="auto"/>
              </w:rPr>
              <w:t>烯效唑</w:t>
            </w:r>
            <w:r>
              <w:rPr>
                <w:rFonts w:hint="eastAsia" w:ascii="楷体" w:hAnsi="楷体"/>
                <w:color w:val="auto"/>
              </w:rPr>
              <w:t>（</w:t>
            </w:r>
            <w:r>
              <w:rPr>
                <w:rFonts w:hint="eastAsia"/>
                <w:color w:val="auto"/>
              </w:rPr>
              <w:t>E</w:t>
            </w:r>
            <w:r>
              <w:rPr>
                <w:rFonts w:hint="eastAsia" w:ascii="楷体" w:hAnsi="楷体"/>
                <w:color w:val="auto"/>
              </w:rPr>
              <w:t>体））≥，</w:t>
            </w:r>
            <w:r>
              <w:rPr>
                <w:rFonts w:hint="eastAsia"/>
                <w:color w:val="auto"/>
              </w:rPr>
              <w:t>%</w:t>
            </w:r>
          </w:p>
        </w:tc>
        <w:tc>
          <w:tcPr>
            <w:tcW w:w="2409" w:type="dxa"/>
            <w:vAlign w:val="center"/>
          </w:tcPr>
          <w:p>
            <w:pPr>
              <w:pStyle w:val="49"/>
              <w:rPr>
                <w:rFonts w:ascii="楷体" w:hAnsi="楷体"/>
                <w:color w:val="auto"/>
              </w:rPr>
            </w:pPr>
            <w:r>
              <w:rPr>
                <w:rFonts w:hint="eastAsia"/>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湿筛试验（通过</w:t>
            </w:r>
            <w:r>
              <w:rPr>
                <w:rFonts w:hint="eastAsia"/>
                <w:color w:val="auto"/>
              </w:rPr>
              <w:t>75</w:t>
            </w:r>
            <w:r>
              <w:rPr>
                <w:rFonts w:hint="eastAsia" w:ascii="楷体" w:hAnsi="楷体"/>
                <w:color w:val="auto"/>
              </w:rPr>
              <w:t>μ</w:t>
            </w:r>
            <w:r>
              <w:rPr>
                <w:rFonts w:hint="eastAsia"/>
                <w:color w:val="auto"/>
              </w:rPr>
              <w:t>m</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vAlign w:val="center"/>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低温稳定性</w:t>
            </w:r>
            <w:r>
              <w:rPr>
                <w:rFonts w:hint="eastAsia"/>
                <w:color w:val="auto"/>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.006%</w:t>
            </w:r>
            <w:r>
              <w:rPr>
                <w:rFonts w:hint="eastAsia" w:hAnsi="宋体"/>
                <w:b/>
                <w:bCs/>
                <w:color w:val="auto"/>
              </w:rPr>
              <w:t>S</w:t>
            </w:r>
            <w:r>
              <w:rPr>
                <w:rFonts w:hAnsi="宋体"/>
                <w:b/>
                <w:bCs/>
                <w:color w:val="auto"/>
              </w:rPr>
              <w:t>-</w:t>
            </w:r>
            <w:r>
              <w:rPr>
                <w:rFonts w:hint="eastAsia" w:hAnsi="宋体"/>
                <w:b/>
                <w:bCs/>
                <w:color w:val="auto"/>
              </w:rPr>
              <w:t>诱抗素</w:t>
            </w:r>
          </w:p>
        </w:tc>
        <w:tc>
          <w:tcPr>
            <w:tcW w:w="5245" w:type="dxa"/>
            <w:gridSpan w:val="2"/>
          </w:tcPr>
          <w:p>
            <w:pPr>
              <w:pStyle w:val="49"/>
              <w:rPr>
                <w:rFonts w:ascii="楷体" w:hAnsi="楷体"/>
                <w:color w:val="auto"/>
              </w:rPr>
            </w:pPr>
            <w:r>
              <w:rPr>
                <w:rFonts w:hint="eastAsia"/>
                <w:color w:val="auto"/>
              </w:rPr>
              <w:t>S-</w:t>
            </w:r>
            <w:r>
              <w:rPr>
                <w:rFonts w:hint="eastAsia" w:ascii="楷体" w:hAnsi="楷体"/>
                <w:color w:val="auto"/>
              </w:rPr>
              <w:t>诱抗素质量分数，</w:t>
            </w:r>
            <w:r>
              <w:rPr>
                <w:rFonts w:hint="eastAsia"/>
                <w:color w:val="auto"/>
              </w:rPr>
              <w:t>%</w:t>
            </w:r>
          </w:p>
        </w:tc>
        <w:tc>
          <w:tcPr>
            <w:tcW w:w="2409" w:type="dxa"/>
          </w:tcPr>
          <w:p>
            <w:pPr>
              <w:pStyle w:val="49"/>
              <w:rPr>
                <w:rFonts w:ascii="楷体" w:hAnsi="楷体"/>
                <w:color w:val="auto"/>
              </w:rPr>
            </w:pPr>
            <w:r>
              <w:rPr>
                <w:rFonts w:hint="eastAsia"/>
                <w:color w:val="auto"/>
              </w:rPr>
              <w:t>0.006</w:t>
            </w:r>
            <w:r>
              <w:rPr>
                <w:rFonts w:hint="eastAsia" w:ascii="楷体" w:hAnsi="楷体"/>
                <w:color w:val="auto"/>
              </w:rPr>
              <w:t>±</w:t>
            </w:r>
            <w:r>
              <w:rPr>
                <w:rFonts w:hint="eastAsia"/>
                <w:color w:val="auto"/>
              </w:rPr>
              <w:t>0.0009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诱抗素</w:t>
            </w:r>
            <w:r>
              <w:rPr>
                <w:rFonts w:hint="eastAsia"/>
                <w:color w:val="auto"/>
              </w:rPr>
              <w:t>S</w:t>
            </w:r>
            <w:r>
              <w:rPr>
                <w:rFonts w:hint="eastAsia" w:ascii="楷体" w:hAnsi="楷体"/>
                <w:color w:val="auto"/>
              </w:rPr>
              <w:t>体所占比值</w:t>
            </w:r>
            <w:r>
              <w:rPr>
                <w:rFonts w:hint="eastAsia"/>
                <w:color w:val="auto"/>
              </w:rPr>
              <w:t>K</w:t>
            </w:r>
            <w:r>
              <w:rPr>
                <w:rFonts w:hint="eastAsia" w:ascii="楷体" w:hAnsi="楷体"/>
                <w:color w:val="auto"/>
              </w:rPr>
              <w:t>，≧</w:t>
            </w:r>
          </w:p>
        </w:tc>
        <w:tc>
          <w:tcPr>
            <w:tcW w:w="2409" w:type="dxa"/>
            <w:vAlign w:val="center"/>
          </w:tcPr>
          <w:p>
            <w:pPr>
              <w:pStyle w:val="49"/>
              <w:rPr>
                <w:rFonts w:ascii="楷体" w:hAnsi="楷体"/>
                <w:color w:val="auto"/>
              </w:rPr>
            </w:pPr>
            <w:r>
              <w:rPr>
                <w:rFonts w:hint="eastAsia"/>
                <w:color w:val="auto"/>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tcPr>
          <w:p>
            <w:pPr>
              <w:pStyle w:val="49"/>
              <w:rPr>
                <w:rFonts w:ascii="楷体" w:hAnsi="楷体"/>
                <w:color w:val="auto"/>
              </w:rPr>
            </w:pPr>
            <w:r>
              <w:rPr>
                <w:rFonts w:hint="eastAsia"/>
                <w:color w:val="auto"/>
              </w:rPr>
              <w:t>4.0</w:t>
            </w:r>
            <w:r>
              <w:rPr>
                <w:rFonts w:hint="eastAsia" w:ascii="楷体" w:hAnsi="楷体"/>
                <w:color w:val="auto"/>
              </w:rPr>
              <w:t>～</w:t>
            </w: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hint="eastAsia" w:ascii="楷体" w:hAnsi="楷体"/>
                <w:color w:val="auto"/>
              </w:rPr>
              <w:t>透明温度范围（℃）</w:t>
            </w:r>
          </w:p>
        </w:tc>
        <w:tc>
          <w:tcPr>
            <w:tcW w:w="2409" w:type="dxa"/>
          </w:tcPr>
          <w:p>
            <w:pPr>
              <w:pStyle w:val="49"/>
              <w:rPr>
                <w:rFonts w:ascii="楷体" w:hAnsi="楷体"/>
                <w:color w:val="auto"/>
              </w:rPr>
            </w:pPr>
            <w:r>
              <w:rPr>
                <w:color w:val="auto"/>
              </w:rPr>
              <w:t>-5</w:t>
            </w:r>
            <w:r>
              <w:rPr>
                <w:rFonts w:ascii="楷体" w:hAnsi="楷体"/>
                <w:color w:val="auto"/>
              </w:rPr>
              <w:t>～</w:t>
            </w:r>
            <w:r>
              <w:rPr>
                <w:color w:val="auto"/>
              </w:rPr>
              <w:t>5</w:t>
            </w: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hint="eastAsia" w:ascii="楷体" w:hAnsi="楷体"/>
                <w:color w:val="auto"/>
              </w:rPr>
              <w:t>持久起泡性（</w:t>
            </w:r>
            <w:r>
              <w:rPr>
                <w:rFonts w:hint="eastAsia"/>
                <w:color w:val="auto"/>
              </w:rPr>
              <w:t>1min</w:t>
            </w:r>
            <w:r>
              <w:rPr>
                <w:rFonts w:hint="eastAsia" w:ascii="楷体" w:hAnsi="楷体"/>
                <w:color w:val="auto"/>
              </w:rPr>
              <w:t>）后≤，</w:t>
            </w:r>
            <w:r>
              <w:rPr>
                <w:rFonts w:hint="eastAsia"/>
                <w:color w:val="auto"/>
              </w:rPr>
              <w:t>mL</w:t>
            </w:r>
          </w:p>
        </w:tc>
        <w:tc>
          <w:tcPr>
            <w:tcW w:w="2409" w:type="dxa"/>
          </w:tcPr>
          <w:p>
            <w:pPr>
              <w:pStyle w:val="49"/>
              <w:rPr>
                <w:rFonts w:ascii="楷体" w:hAnsi="楷体"/>
                <w:color w:val="auto"/>
              </w:rPr>
            </w:pPr>
            <w:r>
              <w:rPr>
                <w:rFonts w:hint="eastAsia"/>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ascii="楷体" w:hAnsi="楷体"/>
                <w:color w:val="auto"/>
              </w:rPr>
              <w:t>乳液稳定性（稀释</w:t>
            </w:r>
            <w:r>
              <w:rPr>
                <w:color w:val="auto"/>
              </w:rPr>
              <w:t>200</w:t>
            </w:r>
            <w:r>
              <w:rPr>
                <w:rFonts w:ascii="楷体" w:hAnsi="楷体"/>
                <w:color w:val="auto"/>
              </w:rPr>
              <w:t>倍）</w:t>
            </w:r>
          </w:p>
        </w:tc>
        <w:tc>
          <w:tcPr>
            <w:tcW w:w="2409" w:type="dxa"/>
          </w:tcPr>
          <w:p>
            <w:pPr>
              <w:pStyle w:val="49"/>
              <w:rPr>
                <w:rFonts w:ascii="楷体" w:hAnsi="楷体"/>
                <w:color w:val="auto"/>
              </w:rPr>
            </w:pPr>
            <w:r>
              <w:rPr>
                <w:rFonts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hint="eastAsia" w:ascii="楷体" w:hAnsi="楷体"/>
                <w:color w:val="auto"/>
              </w:rPr>
              <w:t>低温稳定性</w:t>
            </w:r>
            <w:r>
              <w:rPr>
                <w:rFonts w:hint="eastAsia"/>
                <w:color w:val="auto"/>
              </w:rPr>
              <w:t>a</w:t>
            </w:r>
          </w:p>
        </w:tc>
        <w:tc>
          <w:tcPr>
            <w:tcW w:w="2409" w:type="dxa"/>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.1%</w:t>
            </w:r>
            <w:r>
              <w:rPr>
                <w:rFonts w:hint="eastAsia" w:hAnsi="宋体"/>
                <w:b/>
                <w:bCs/>
                <w:color w:val="auto"/>
              </w:rPr>
              <w:t>丙酰芸*氨基寡糖素</w:t>
            </w:r>
          </w:p>
        </w:tc>
        <w:tc>
          <w:tcPr>
            <w:tcW w:w="5245" w:type="dxa"/>
            <w:gridSpan w:val="2"/>
            <w:vAlign w:val="center"/>
          </w:tcPr>
          <w:p>
            <w:pPr>
              <w:pStyle w:val="49"/>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0.000015</w:t>
            </w:r>
            <w:r>
              <w:rPr>
                <w:rFonts w:hint="eastAsia" w:ascii="楷体" w:hAnsi="楷体"/>
                <w:color w:val="auto"/>
              </w:rPr>
              <w:t>±</w:t>
            </w:r>
            <w:r>
              <w:rPr>
                <w:rFonts w:hint="eastAsia"/>
                <w:color w:val="auto"/>
              </w:rPr>
              <w:t>0.000002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ascii="楷体" w:hAnsi="楷体"/>
                <w:color w:val="auto"/>
              </w:rPr>
              <w:t>氨基寡糖素</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0.099985</w:t>
            </w:r>
            <w:r>
              <w:rPr>
                <w:rFonts w:hint="eastAsia" w:ascii="楷体" w:hAnsi="楷体"/>
                <w:color w:val="auto"/>
              </w:rPr>
              <w:t>±</w:t>
            </w:r>
            <w:r>
              <w:rPr>
                <w:rFonts w:hint="eastAsia"/>
                <w:color w:val="auto"/>
              </w:rPr>
              <w:t>0.014997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氨基葡萄糖质量分数≤，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水分≤，</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松密度≤，</w:t>
            </w:r>
            <w:r>
              <w:rPr>
                <w:rFonts w:hint="eastAsia"/>
                <w:color w:val="auto"/>
              </w:rPr>
              <w:t>g/mL</w:t>
            </w:r>
          </w:p>
        </w:tc>
        <w:tc>
          <w:tcPr>
            <w:tcW w:w="2409" w:type="dxa"/>
            <w:vAlign w:val="center"/>
          </w:tcPr>
          <w:p>
            <w:pPr>
              <w:pStyle w:val="49"/>
              <w:rPr>
                <w:rFonts w:ascii="楷体" w:hAnsi="楷体"/>
                <w:color w:val="auto"/>
              </w:rPr>
            </w:pPr>
            <w:r>
              <w:rPr>
                <w:rFonts w:hint="eastAsia"/>
                <w:color w:val="auto"/>
              </w:rPr>
              <w:t>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堆密度≤，</w:t>
            </w:r>
            <w:r>
              <w:rPr>
                <w:rFonts w:hint="eastAsia"/>
                <w:color w:val="auto"/>
              </w:rPr>
              <w:t>g/mL</w:t>
            </w:r>
          </w:p>
        </w:tc>
        <w:tc>
          <w:tcPr>
            <w:tcW w:w="2409" w:type="dxa"/>
            <w:vAlign w:val="center"/>
          </w:tcPr>
          <w:p>
            <w:pPr>
              <w:pStyle w:val="49"/>
              <w:rPr>
                <w:rFonts w:ascii="楷体" w:hAnsi="楷体"/>
                <w:color w:val="auto"/>
              </w:rPr>
            </w:pPr>
            <w:r>
              <w:rPr>
                <w:rFonts w:hint="eastAsia"/>
                <w:color w:val="auto"/>
              </w:rPr>
              <w:t>0.8~1.4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粉尘</w:t>
            </w:r>
          </w:p>
        </w:tc>
        <w:tc>
          <w:tcPr>
            <w:tcW w:w="2409" w:type="dxa"/>
            <w:vAlign w:val="center"/>
          </w:tcPr>
          <w:p>
            <w:pPr>
              <w:pStyle w:val="49"/>
              <w:rPr>
                <w:rFonts w:ascii="楷体" w:hAnsi="楷体"/>
                <w:color w:val="auto"/>
              </w:rPr>
            </w:pPr>
            <w:r>
              <w:rPr>
                <w:rFonts w:hint="eastAsia" w:ascii="楷体" w:hAnsi="楷体"/>
                <w:color w:val="auto"/>
              </w:rPr>
              <w:t>基本无粉尘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脱落率≤，</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总养份（</w:t>
            </w:r>
            <w:r>
              <w:rPr>
                <w:rFonts w:hint="eastAsia"/>
                <w:color w:val="auto"/>
              </w:rPr>
              <w:t>N+P</w:t>
            </w:r>
            <w:r>
              <w:rPr>
                <w:rFonts w:hint="eastAsia"/>
                <w:color w:val="auto"/>
                <w:vertAlign w:val="subscript"/>
              </w:rPr>
              <w:t>2</w:t>
            </w:r>
            <w:r>
              <w:rPr>
                <w:rFonts w:hint="eastAsia"/>
                <w:color w:val="auto"/>
              </w:rPr>
              <w:t>O</w:t>
            </w:r>
            <w:r>
              <w:rPr>
                <w:rFonts w:hint="eastAsia"/>
                <w:color w:val="auto"/>
                <w:vertAlign w:val="subscript"/>
              </w:rPr>
              <w:t>5</w:t>
            </w:r>
            <w:r>
              <w:rPr>
                <w:rFonts w:hint="eastAsia"/>
                <w:color w:val="auto"/>
              </w:rPr>
              <w:t>+K</w:t>
            </w:r>
            <w:r>
              <w:rPr>
                <w:rFonts w:hint="eastAsia"/>
                <w:color w:val="auto"/>
                <w:vertAlign w:val="subscript"/>
              </w:rPr>
              <w:t>20</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粒度（</w:t>
            </w:r>
            <w:r>
              <w:rPr>
                <w:rFonts w:hint="eastAsia"/>
                <w:color w:val="auto"/>
              </w:rPr>
              <w:t>1.00mm~4.75mm</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氯离子质量分数≤，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水溶性磷占有效磷百分率≥，</w:t>
            </w:r>
            <w:r>
              <w:rPr>
                <w:rFonts w:hint="eastAsia"/>
                <w:color w:val="auto"/>
              </w:rPr>
              <w:t>%</w:t>
            </w:r>
          </w:p>
        </w:tc>
        <w:tc>
          <w:tcPr>
            <w:tcW w:w="2409" w:type="dxa"/>
            <w:vAlign w:val="center"/>
          </w:tcPr>
          <w:p>
            <w:pPr>
              <w:pStyle w:val="49"/>
              <w:rPr>
                <w:rFonts w:ascii="楷体" w:hAnsi="楷体"/>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.1%</w:t>
            </w:r>
            <w:r>
              <w:rPr>
                <w:rFonts w:hint="eastAsia" w:hAnsi="宋体"/>
                <w:b/>
                <w:bCs/>
                <w:color w:val="auto"/>
              </w:rPr>
              <w:t>丙酰芸*吲哚丁酸</w:t>
            </w:r>
          </w:p>
        </w:tc>
        <w:tc>
          <w:tcPr>
            <w:tcW w:w="5245" w:type="dxa"/>
            <w:gridSpan w:val="2"/>
            <w:vAlign w:val="center"/>
          </w:tcPr>
          <w:p>
            <w:pPr>
              <w:pStyle w:val="49"/>
              <w:rPr>
                <w:rFonts w:ascii="楷体" w:hAnsi="楷体"/>
                <w:color w:val="auto"/>
              </w:rPr>
            </w:pPr>
            <w:r>
              <w:rPr>
                <w:rFonts w:hint="eastAsia" w:ascii="楷体" w:hAnsi="楷体"/>
                <w:color w:val="auto"/>
              </w:rPr>
              <w:t>丙酰芸苔素内酯质量分数，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0.00005</w:t>
            </w:r>
            <w:r>
              <w:rPr>
                <w:rFonts w:hint="eastAsia" w:ascii="楷体" w:hAnsi="楷体"/>
                <w:color w:val="auto"/>
              </w:rPr>
              <w:t>±</w:t>
            </w:r>
            <w:r>
              <w:rPr>
                <w:rFonts w:hint="eastAsia"/>
                <w:color w:val="auto"/>
              </w:rPr>
              <w:t>0.0000075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吲哚丁酸质量分数，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0.09995</w:t>
            </w:r>
            <w:r>
              <w:rPr>
                <w:rFonts w:hint="eastAsia" w:ascii="楷体" w:hAnsi="楷体"/>
                <w:color w:val="auto"/>
              </w:rPr>
              <w:t>±</w:t>
            </w:r>
            <w:r>
              <w:rPr>
                <w:rFonts w:hint="eastAsia"/>
                <w:color w:val="auto"/>
              </w:rPr>
              <w:t>0.01499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水分≤，</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松密度≤，</w:t>
            </w:r>
            <w:r>
              <w:rPr>
                <w:rFonts w:hint="eastAsia"/>
                <w:color w:val="auto"/>
              </w:rPr>
              <w:t>g/mL</w:t>
            </w:r>
          </w:p>
        </w:tc>
        <w:tc>
          <w:tcPr>
            <w:tcW w:w="2409" w:type="dxa"/>
            <w:vAlign w:val="center"/>
          </w:tcPr>
          <w:p>
            <w:pPr>
              <w:pStyle w:val="49"/>
              <w:rPr>
                <w:rFonts w:ascii="楷体" w:hAnsi="楷体"/>
                <w:color w:val="auto"/>
              </w:rPr>
            </w:pPr>
            <w:r>
              <w:rPr>
                <w:rFonts w:hint="eastAsia"/>
                <w:color w:val="auto"/>
              </w:rPr>
              <w:t>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堆密度≤，</w:t>
            </w:r>
            <w:r>
              <w:rPr>
                <w:rFonts w:hint="eastAsia"/>
                <w:color w:val="auto"/>
              </w:rPr>
              <w:t>g/mL</w:t>
            </w:r>
          </w:p>
        </w:tc>
        <w:tc>
          <w:tcPr>
            <w:tcW w:w="2409" w:type="dxa"/>
            <w:vAlign w:val="center"/>
          </w:tcPr>
          <w:p>
            <w:pPr>
              <w:pStyle w:val="49"/>
              <w:rPr>
                <w:rFonts w:ascii="楷体" w:hAnsi="楷体"/>
                <w:color w:val="auto"/>
              </w:rPr>
            </w:pPr>
            <w:r>
              <w:rPr>
                <w:rFonts w:hint="eastAsia"/>
                <w:color w:val="auto"/>
              </w:rPr>
              <w:t>0.8~1.4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粉尘</w:t>
            </w:r>
          </w:p>
        </w:tc>
        <w:tc>
          <w:tcPr>
            <w:tcW w:w="2409" w:type="dxa"/>
            <w:vAlign w:val="center"/>
          </w:tcPr>
          <w:p>
            <w:pPr>
              <w:pStyle w:val="49"/>
              <w:rPr>
                <w:rFonts w:ascii="楷体" w:hAnsi="楷体"/>
                <w:color w:val="auto"/>
              </w:rPr>
            </w:pPr>
            <w:r>
              <w:rPr>
                <w:rFonts w:hint="eastAsia" w:ascii="楷体" w:hAnsi="楷体"/>
                <w:color w:val="auto"/>
              </w:rPr>
              <w:t>基本无粉尘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脱落率≤，</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总养份（</w:t>
            </w:r>
            <w:r>
              <w:rPr>
                <w:rFonts w:hint="eastAsia"/>
                <w:color w:val="auto"/>
              </w:rPr>
              <w:t>N+P</w:t>
            </w:r>
            <w:r>
              <w:rPr>
                <w:rFonts w:hint="eastAsia"/>
                <w:color w:val="auto"/>
                <w:vertAlign w:val="subscript"/>
              </w:rPr>
              <w:t>2</w:t>
            </w:r>
            <w:r>
              <w:rPr>
                <w:rFonts w:hint="eastAsia"/>
                <w:color w:val="auto"/>
              </w:rPr>
              <w:t>O</w:t>
            </w:r>
            <w:r>
              <w:rPr>
                <w:rFonts w:hint="eastAsia"/>
                <w:color w:val="auto"/>
                <w:vertAlign w:val="subscript"/>
              </w:rPr>
              <w:t>5</w:t>
            </w:r>
            <w:r>
              <w:rPr>
                <w:rFonts w:hint="eastAsia"/>
                <w:color w:val="auto"/>
              </w:rPr>
              <w:t>+K</w:t>
            </w:r>
            <w:r>
              <w:rPr>
                <w:rFonts w:hint="eastAsia"/>
                <w:color w:val="auto"/>
                <w:vertAlign w:val="subscript"/>
              </w:rPr>
              <w:t>20</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粒度（</w:t>
            </w:r>
            <w:r>
              <w:rPr>
                <w:rFonts w:hint="eastAsia"/>
                <w:color w:val="auto"/>
              </w:rPr>
              <w:t>1.00mm~4.75mm</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氯离子质量分数≤，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水溶性磷占有效磷百分率≥，</w:t>
            </w:r>
            <w:r>
              <w:rPr>
                <w:rFonts w:hint="eastAsia"/>
                <w:color w:val="auto"/>
              </w:rPr>
              <w:t>%</w:t>
            </w:r>
          </w:p>
        </w:tc>
        <w:tc>
          <w:tcPr>
            <w:tcW w:w="2409" w:type="dxa"/>
            <w:vAlign w:val="center"/>
          </w:tcPr>
          <w:p>
            <w:pPr>
              <w:pStyle w:val="49"/>
              <w:rPr>
                <w:rFonts w:ascii="楷体" w:hAnsi="楷体"/>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vAlign w:val="center"/>
          </w:tcPr>
          <w:p>
            <w:pPr>
              <w:pStyle w:val="49"/>
              <w:jc w:val="both"/>
              <w:rPr>
                <w:rFonts w:hAnsi="宋体"/>
                <w:b/>
                <w:bCs/>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restart"/>
            <w:vAlign w:val="center"/>
          </w:tcPr>
          <w:p>
            <w:pPr>
              <w:pStyle w:val="49"/>
              <w:jc w:val="both"/>
              <w:rPr>
                <w:rFonts w:hAnsi="宋体"/>
                <w:b/>
                <w:bCs/>
                <w:color w:val="auto"/>
              </w:rPr>
            </w:pPr>
            <w:r>
              <w:rPr>
                <w:rFonts w:hint="eastAsia" w:hAnsi="宋体"/>
                <w:b/>
                <w:bCs/>
                <w:color w:val="auto"/>
              </w:rPr>
              <w:t>0</w:t>
            </w:r>
            <w:r>
              <w:rPr>
                <w:rFonts w:hAnsi="宋体"/>
                <w:b/>
                <w:bCs/>
                <w:color w:val="auto"/>
              </w:rPr>
              <w:t>.1%24-</w:t>
            </w:r>
            <w:r>
              <w:rPr>
                <w:rFonts w:hint="eastAsia" w:hAnsi="宋体"/>
                <w:b/>
                <w:bCs/>
                <w:color w:val="auto"/>
              </w:rPr>
              <w:t>表芸*胺鲜酯</w:t>
            </w:r>
          </w:p>
        </w:tc>
        <w:tc>
          <w:tcPr>
            <w:tcW w:w="5245" w:type="dxa"/>
            <w:gridSpan w:val="2"/>
            <w:vAlign w:val="center"/>
          </w:tcPr>
          <w:p>
            <w:pPr>
              <w:pStyle w:val="49"/>
              <w:rPr>
                <w:rFonts w:ascii="楷体" w:hAnsi="楷体"/>
                <w:color w:val="auto"/>
              </w:rPr>
            </w:pPr>
            <w:r>
              <w:rPr>
                <w:rFonts w:hint="eastAsia"/>
                <w:color w:val="auto"/>
              </w:rPr>
              <w:t>24-</w:t>
            </w:r>
            <w:r>
              <w:rPr>
                <w:rFonts w:hint="eastAsia" w:ascii="楷体" w:hAnsi="楷体"/>
                <w:color w:val="auto"/>
              </w:rPr>
              <w:t>表芸苔素内酯质量分数，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0.00005</w:t>
            </w:r>
            <w:r>
              <w:rPr>
                <w:rFonts w:hint="eastAsia" w:ascii="楷体" w:hAnsi="楷体"/>
                <w:color w:val="auto"/>
              </w:rPr>
              <w:t>±</w:t>
            </w:r>
            <w:r>
              <w:rPr>
                <w:rFonts w:hint="eastAsia"/>
                <w:color w:val="auto"/>
              </w:rPr>
              <w:t>0.0000075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ascii="楷体" w:hAnsi="楷体"/>
                <w:color w:val="auto"/>
              </w:rPr>
              <w:t>胺鲜酯</w:t>
            </w:r>
            <w:r>
              <w:rPr>
                <w:rFonts w:hint="eastAsia" w:ascii="楷体" w:hAnsi="楷体"/>
                <w:color w:val="auto"/>
              </w:rPr>
              <w:t>柠檬酸盐质量分数，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0.09995</w:t>
            </w:r>
            <w:r>
              <w:rPr>
                <w:rFonts w:hint="eastAsia" w:ascii="楷体" w:hAnsi="楷体"/>
                <w:color w:val="auto"/>
              </w:rPr>
              <w:t>±</w:t>
            </w:r>
            <w:r>
              <w:rPr>
                <w:rFonts w:hint="eastAsia"/>
                <w:color w:val="auto"/>
              </w:rPr>
              <w:t>0.01499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ascii="楷体" w:hAnsi="楷体"/>
                <w:color w:val="auto"/>
              </w:rPr>
              <w:t>胺鲜酯</w:t>
            </w:r>
            <w:r>
              <w:rPr>
                <w:rFonts w:hint="eastAsia" w:ascii="楷体" w:hAnsi="楷体"/>
                <w:color w:val="auto"/>
              </w:rPr>
              <w:t>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0.05282</w:t>
            </w:r>
            <w:r>
              <w:rPr>
                <w:rFonts w:hint="eastAsia" w:ascii="楷体" w:hAnsi="楷体"/>
                <w:color w:val="auto"/>
              </w:rPr>
              <w:t>±</w:t>
            </w:r>
            <w:r>
              <w:rPr>
                <w:rFonts w:hint="eastAsia"/>
                <w:color w:val="auto"/>
              </w:rPr>
              <w:t>0.0132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柠檬酸盐质量分数≥，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0.0466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水分≤，</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color w:val="auto"/>
              </w:rPr>
              <w:t>pH</w:t>
            </w:r>
            <w:r>
              <w:rPr>
                <w:rFonts w:hint="eastAsia" w:ascii="楷体" w:hAnsi="楷体"/>
                <w:color w:val="auto"/>
              </w:rPr>
              <w:t>值范围</w:t>
            </w:r>
          </w:p>
        </w:tc>
        <w:tc>
          <w:tcPr>
            <w:tcW w:w="2409" w:type="dxa"/>
            <w:vAlign w:val="center"/>
          </w:tcPr>
          <w:p>
            <w:pPr>
              <w:pStyle w:val="49"/>
              <w:rPr>
                <w:rFonts w:ascii="楷体" w:hAnsi="楷体"/>
                <w:color w:val="auto"/>
              </w:rPr>
            </w:pPr>
            <w:r>
              <w:rPr>
                <w:rFonts w:hint="eastAsia"/>
                <w:color w:val="auto"/>
              </w:rPr>
              <w:t>3.0~7.0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松密度≤，</w:t>
            </w:r>
            <w:r>
              <w:rPr>
                <w:rFonts w:hint="eastAsia"/>
                <w:color w:val="auto"/>
              </w:rPr>
              <w:t>g/mL</w:t>
            </w:r>
          </w:p>
        </w:tc>
        <w:tc>
          <w:tcPr>
            <w:tcW w:w="2409" w:type="dxa"/>
            <w:vAlign w:val="center"/>
          </w:tcPr>
          <w:p>
            <w:pPr>
              <w:pStyle w:val="49"/>
              <w:rPr>
                <w:rFonts w:ascii="楷体" w:hAnsi="楷体"/>
                <w:color w:val="auto"/>
              </w:rPr>
            </w:pPr>
            <w:r>
              <w:rPr>
                <w:rFonts w:hint="eastAsia"/>
                <w:color w:val="auto"/>
              </w:rPr>
              <w:t>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堆密度≤，</w:t>
            </w:r>
            <w:r>
              <w:rPr>
                <w:rFonts w:hint="eastAsia"/>
                <w:color w:val="auto"/>
              </w:rPr>
              <w:t>g/mL</w:t>
            </w:r>
          </w:p>
        </w:tc>
        <w:tc>
          <w:tcPr>
            <w:tcW w:w="2409" w:type="dxa"/>
            <w:vAlign w:val="center"/>
          </w:tcPr>
          <w:p>
            <w:pPr>
              <w:pStyle w:val="49"/>
              <w:rPr>
                <w:rFonts w:ascii="楷体" w:hAnsi="楷体"/>
                <w:color w:val="auto"/>
              </w:rPr>
            </w:pPr>
            <w:r>
              <w:rPr>
                <w:rFonts w:hint="eastAsia"/>
                <w:color w:val="auto"/>
              </w:rPr>
              <w:t>0.8~1.4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粉尘</w:t>
            </w:r>
          </w:p>
        </w:tc>
        <w:tc>
          <w:tcPr>
            <w:tcW w:w="2409" w:type="dxa"/>
            <w:vAlign w:val="center"/>
          </w:tcPr>
          <w:p>
            <w:pPr>
              <w:pStyle w:val="49"/>
              <w:rPr>
                <w:rFonts w:ascii="楷体" w:hAnsi="楷体"/>
                <w:color w:val="auto"/>
              </w:rPr>
            </w:pPr>
            <w:r>
              <w:rPr>
                <w:rFonts w:hint="eastAsia" w:ascii="楷体" w:hAnsi="楷体"/>
                <w:color w:val="auto"/>
              </w:rPr>
              <w:t>基本无粉尘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脱落率≤，</w:t>
            </w:r>
            <w:r>
              <w:rPr>
                <w:rFonts w:hint="eastAsia"/>
                <w:color w:val="auto"/>
              </w:rPr>
              <w:t>%</w:t>
            </w:r>
          </w:p>
        </w:tc>
        <w:tc>
          <w:tcPr>
            <w:tcW w:w="2409" w:type="dxa"/>
            <w:vAlign w:val="center"/>
          </w:tcPr>
          <w:p>
            <w:pPr>
              <w:pStyle w:val="49"/>
              <w:rPr>
                <w:rFonts w:ascii="楷体" w:hAnsi="楷体"/>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总养份（</w:t>
            </w:r>
            <w:r>
              <w:rPr>
                <w:rFonts w:hint="eastAsia"/>
                <w:color w:val="auto"/>
              </w:rPr>
              <w:t>N+P</w:t>
            </w:r>
            <w:r>
              <w:rPr>
                <w:rFonts w:hint="eastAsia"/>
                <w:color w:val="auto"/>
                <w:vertAlign w:val="subscript"/>
              </w:rPr>
              <w:t>2</w:t>
            </w:r>
            <w:r>
              <w:rPr>
                <w:rFonts w:hint="eastAsia"/>
                <w:color w:val="auto"/>
              </w:rPr>
              <w:t>O</w:t>
            </w:r>
            <w:r>
              <w:rPr>
                <w:rFonts w:hint="eastAsia"/>
                <w:color w:val="auto"/>
                <w:vertAlign w:val="subscript"/>
              </w:rPr>
              <w:t>5</w:t>
            </w:r>
            <w:r>
              <w:rPr>
                <w:rFonts w:hint="eastAsia"/>
                <w:color w:val="auto"/>
              </w:rPr>
              <w:t>+K</w:t>
            </w:r>
            <w:r>
              <w:rPr>
                <w:rFonts w:hint="eastAsia"/>
                <w:color w:val="auto"/>
                <w:vertAlign w:val="subscript"/>
              </w:rPr>
              <w:t>20</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粒度（</w:t>
            </w:r>
            <w:r>
              <w:rPr>
                <w:rFonts w:hint="eastAsia"/>
                <w:color w:val="auto"/>
              </w:rPr>
              <w:t>1.00mm~4.75mm</w:t>
            </w:r>
            <w:r>
              <w:rPr>
                <w:rFonts w:hint="eastAsia" w:ascii="楷体" w:hAnsi="楷体"/>
                <w:color w:val="auto"/>
              </w:rPr>
              <w:t>）≥，</w:t>
            </w:r>
            <w:r>
              <w:rPr>
                <w:rFonts w:hint="eastAsia"/>
                <w:color w:val="auto"/>
              </w:rPr>
              <w:t>%</w:t>
            </w:r>
          </w:p>
        </w:tc>
        <w:tc>
          <w:tcPr>
            <w:tcW w:w="2409" w:type="dxa"/>
            <w:vAlign w:val="center"/>
          </w:tcPr>
          <w:p>
            <w:pPr>
              <w:pStyle w:val="49"/>
              <w:rPr>
                <w:rFonts w:ascii="楷体" w:hAnsi="楷体"/>
                <w:color w:val="auto"/>
              </w:rPr>
            </w:pPr>
            <w:r>
              <w:rPr>
                <w:rFonts w:hint="eastAsia"/>
                <w:color w:val="auto"/>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氯离子质量分数≤，</w:t>
            </w:r>
            <w:r>
              <w:rPr>
                <w:rFonts w:hint="eastAsia"/>
                <w:color w:val="auto"/>
              </w:rPr>
              <w:t>%</w:t>
            </w:r>
          </w:p>
        </w:tc>
        <w:tc>
          <w:tcPr>
            <w:tcW w:w="2409" w:type="dxa"/>
            <w:vAlign w:val="center"/>
          </w:tcPr>
          <w:p>
            <w:pPr>
              <w:pStyle w:val="49"/>
              <w:rPr>
                <w:rFonts w:ascii="楷体" w:hAnsi="楷体"/>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水溶性磷占有效磷百分率≥，</w:t>
            </w:r>
            <w:r>
              <w:rPr>
                <w:rFonts w:hint="eastAsia"/>
                <w:color w:val="auto"/>
              </w:rPr>
              <w:t>%</w:t>
            </w:r>
          </w:p>
        </w:tc>
        <w:tc>
          <w:tcPr>
            <w:tcW w:w="2409" w:type="dxa"/>
            <w:vAlign w:val="center"/>
          </w:tcPr>
          <w:p>
            <w:pPr>
              <w:pStyle w:val="49"/>
              <w:rPr>
                <w:rFonts w:ascii="楷体" w:hAnsi="楷体"/>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Merge w:val="continue"/>
          </w:tcPr>
          <w:p>
            <w:pPr>
              <w:pStyle w:val="49"/>
              <w:rPr>
                <w:rFonts w:hAnsi="宋体"/>
                <w:color w:val="auto"/>
              </w:rPr>
            </w:pPr>
          </w:p>
        </w:tc>
        <w:tc>
          <w:tcPr>
            <w:tcW w:w="5245" w:type="dxa"/>
            <w:gridSpan w:val="2"/>
            <w:vAlign w:val="center"/>
          </w:tcPr>
          <w:p>
            <w:pPr>
              <w:pStyle w:val="49"/>
              <w:rPr>
                <w:rFonts w:ascii="楷体" w:hAnsi="楷体"/>
                <w:color w:val="auto"/>
              </w:rPr>
            </w:pPr>
            <w:r>
              <w:rPr>
                <w:rFonts w:hint="eastAsia" w:ascii="楷体" w:hAnsi="楷体"/>
                <w:color w:val="auto"/>
              </w:rPr>
              <w:t>热贮稳定性</w:t>
            </w:r>
            <w:r>
              <w:rPr>
                <w:rFonts w:hint="eastAsia"/>
                <w:color w:val="auto"/>
              </w:rPr>
              <w:t>a</w:t>
            </w:r>
          </w:p>
        </w:tc>
        <w:tc>
          <w:tcPr>
            <w:tcW w:w="2409" w:type="dxa"/>
            <w:vAlign w:val="center"/>
          </w:tcPr>
          <w:p>
            <w:pPr>
              <w:pStyle w:val="49"/>
              <w:rPr>
                <w:rFonts w:ascii="楷体" w:hAnsi="楷体"/>
                <w:color w:val="auto"/>
              </w:rPr>
            </w:pPr>
            <w:r>
              <w:rPr>
                <w:rFonts w:hint="eastAsia" w:ascii="楷体" w:hAnsi="楷体"/>
                <w:color w:val="auto"/>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7" w:type="dxa"/>
            <w:gridSpan w:val="4"/>
          </w:tcPr>
          <w:p>
            <w:pPr>
              <w:pStyle w:val="103"/>
              <w:rPr>
                <w:color w:val="auto"/>
              </w:rPr>
            </w:pPr>
            <w:r>
              <w:rPr>
                <w:rFonts w:hint="eastAsia" w:ascii="宋体" w:hAnsi="宋体"/>
                <w:color w:val="auto"/>
              </w:rPr>
              <w:t>注：</w:t>
            </w:r>
            <w:r>
              <w:rPr>
                <w:rFonts w:hint="eastAsia"/>
                <w:color w:val="auto"/>
              </w:rPr>
              <w:t>a</w:t>
            </w:r>
            <w:r>
              <w:rPr>
                <w:rFonts w:hint="eastAsia" w:ascii="宋体" w:hAnsi="宋体"/>
                <w:color w:val="auto"/>
              </w:rPr>
              <w:t>低温稳定性和热贮稳定性试验，在正常生产时每</w:t>
            </w:r>
            <w:r>
              <w:rPr>
                <w:rFonts w:hint="eastAsia"/>
                <w:color w:val="auto"/>
              </w:rPr>
              <w:t>6</w:t>
            </w:r>
            <w:r>
              <w:rPr>
                <w:rFonts w:hint="eastAsia" w:ascii="宋体" w:hAnsi="宋体"/>
                <w:color w:val="auto"/>
              </w:rPr>
              <w:t>个月至少进行一次</w:t>
            </w:r>
          </w:p>
        </w:tc>
      </w:tr>
    </w:tbl>
    <w:p>
      <w:pPr>
        <w:keepNext/>
        <w:keepLines/>
        <w:tabs>
          <w:tab w:val="left" w:pos="3165"/>
        </w:tabs>
        <w:spacing w:line="600" w:lineRule="exact"/>
        <w:jc w:val="left"/>
        <w:outlineLvl w:val="2"/>
        <w:rPr>
          <w:b/>
          <w:color w:val="auto"/>
          <w:sz w:val="28"/>
          <w:szCs w:val="32"/>
        </w:rPr>
      </w:pPr>
      <w:bookmarkStart w:id="30" w:name="_Toc144109146"/>
      <w:r>
        <w:rPr>
          <w:rFonts w:hint="eastAsia"/>
          <w:b/>
          <w:color w:val="auto"/>
          <w:sz w:val="28"/>
          <w:szCs w:val="32"/>
        </w:rPr>
        <w:t>2.</w:t>
      </w:r>
      <w:r>
        <w:rPr>
          <w:b/>
          <w:color w:val="auto"/>
          <w:sz w:val="28"/>
          <w:szCs w:val="32"/>
        </w:rPr>
        <w:t>3</w:t>
      </w:r>
      <w:r>
        <w:rPr>
          <w:rFonts w:hint="eastAsia"/>
          <w:b/>
          <w:color w:val="auto"/>
          <w:sz w:val="28"/>
          <w:szCs w:val="32"/>
        </w:rPr>
        <w:t>.</w:t>
      </w:r>
      <w:r>
        <w:rPr>
          <w:b/>
          <w:color w:val="auto"/>
          <w:sz w:val="28"/>
          <w:szCs w:val="32"/>
        </w:rPr>
        <w:t>3</w:t>
      </w:r>
      <w:r>
        <w:rPr>
          <w:rFonts w:hint="eastAsia"/>
          <w:b/>
          <w:color w:val="auto"/>
          <w:sz w:val="28"/>
          <w:szCs w:val="32"/>
        </w:rPr>
        <w:t xml:space="preserve"> 储运</w:t>
      </w:r>
      <w:bookmarkEnd w:id="30"/>
    </w:p>
    <w:p>
      <w:pPr>
        <w:autoSpaceDE w:val="0"/>
        <w:autoSpaceDN w:val="0"/>
        <w:adjustRightInd w:val="0"/>
        <w:snapToGrid w:val="0"/>
        <w:spacing w:line="600" w:lineRule="exact"/>
        <w:ind w:firstLine="562" w:firstLineChars="200"/>
        <w:rPr>
          <w:rFonts w:ascii="宋体" w:hAnsi="宋体"/>
          <w:b/>
          <w:bCs/>
          <w:color w:val="auto"/>
          <w:sz w:val="28"/>
          <w:szCs w:val="28"/>
        </w:rPr>
      </w:pPr>
      <w:r>
        <w:rPr>
          <w:rFonts w:hint="eastAsia" w:ascii="宋体" w:hAnsi="宋体"/>
          <w:b/>
          <w:bCs/>
          <w:color w:val="auto"/>
          <w:sz w:val="28"/>
          <w:szCs w:val="28"/>
        </w:rPr>
        <w:t>1、运输</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项目原料、材料、产品通过货运汽车运输，并且委托具有危险化学品运输资质的单位进行运输。厂内物料流转则用叉车、手推车等物流工具。根据工厂周围的道路建设情况以及厂区管理要求，江西鑫立莱生化有限责任公司在厂区北侧设置一个人流出入口，在厂区东侧中部设置及南部分别设置一个物流出入口和一个消防应急出入口。</w:t>
      </w:r>
    </w:p>
    <w:p>
      <w:pPr>
        <w:autoSpaceDE w:val="0"/>
        <w:autoSpaceDN w:val="0"/>
        <w:adjustRightInd w:val="0"/>
        <w:snapToGrid w:val="0"/>
        <w:spacing w:line="600" w:lineRule="exact"/>
        <w:ind w:firstLine="562" w:firstLineChars="200"/>
        <w:rPr>
          <w:rFonts w:ascii="宋体" w:hAnsi="宋体"/>
          <w:b/>
          <w:bCs/>
          <w:color w:val="auto"/>
          <w:sz w:val="28"/>
          <w:szCs w:val="28"/>
        </w:rPr>
      </w:pPr>
      <w:r>
        <w:rPr>
          <w:rFonts w:hint="eastAsia" w:ascii="宋体" w:hAnsi="宋体"/>
          <w:b/>
          <w:bCs/>
          <w:color w:val="auto"/>
          <w:sz w:val="28"/>
          <w:szCs w:val="28"/>
        </w:rPr>
        <w:t>2、储存设施</w:t>
      </w:r>
    </w:p>
    <w:p>
      <w:pPr>
        <w:ind w:firstLine="560" w:firstLineChars="200"/>
        <w:rPr>
          <w:color w:val="auto"/>
        </w:rPr>
      </w:pPr>
      <w:r>
        <w:rPr>
          <w:rFonts w:hint="eastAsia" w:ascii="宋体" w:hAnsi="宋体"/>
          <w:color w:val="auto"/>
          <w:sz w:val="28"/>
          <w:szCs w:val="28"/>
        </w:rPr>
        <w:t>该项目物料储存方式为仓库储存，根据物料的火灾危险性及毒性，将原料和产品分别储存于厂区各原料和产品仓库。该项目分别设置2</w:t>
      </w:r>
      <w:r>
        <w:rPr>
          <w:rFonts w:ascii="宋体" w:hAnsi="宋体"/>
          <w:color w:val="auto"/>
          <w:sz w:val="28"/>
          <w:szCs w:val="28"/>
        </w:rPr>
        <w:t>01</w:t>
      </w:r>
      <w:r>
        <w:rPr>
          <w:rFonts w:hint="eastAsia" w:ascii="宋体" w:hAnsi="宋体"/>
          <w:color w:val="auto"/>
          <w:sz w:val="28"/>
          <w:szCs w:val="28"/>
        </w:rPr>
        <w:t>甲类仓库一、2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03</w:t>
      </w:r>
      <w:r>
        <w:rPr>
          <w:rFonts w:hint="eastAsia" w:ascii="宋体" w:hAnsi="宋体"/>
          <w:color w:val="auto"/>
          <w:sz w:val="28"/>
          <w:szCs w:val="28"/>
        </w:rPr>
        <w:t>丙类仓库一、2</w:t>
      </w:r>
      <w:r>
        <w:rPr>
          <w:rFonts w:ascii="宋体" w:hAnsi="宋体"/>
          <w:color w:val="auto"/>
          <w:sz w:val="28"/>
          <w:szCs w:val="28"/>
        </w:rPr>
        <w:t>05</w:t>
      </w:r>
      <w:r>
        <w:rPr>
          <w:rFonts w:hint="eastAsia" w:ascii="宋体" w:hAnsi="宋体"/>
          <w:color w:val="auto"/>
          <w:sz w:val="28"/>
          <w:szCs w:val="28"/>
        </w:rPr>
        <w:t>甲类仓库三。</w:t>
      </w:r>
      <w:r>
        <w:rPr>
          <w:rFonts w:hint="eastAsia" w:ascii="宋体" w:hAnsi="宋体"/>
          <w:color w:val="auto"/>
          <w:sz w:val="28"/>
          <w:szCs w:val="28"/>
          <w:lang w:val="en-US" w:eastAsia="zh-CN"/>
        </w:rPr>
        <w:t>危废、固废存储于202甲类仓库二中的危废间、固废间。</w:t>
      </w:r>
      <w:r>
        <w:rPr>
          <w:rFonts w:hint="eastAsia" w:ascii="宋体" w:hAnsi="宋体"/>
          <w:color w:val="auto"/>
          <w:sz w:val="28"/>
          <w:szCs w:val="28"/>
        </w:rPr>
        <w:t>不同物料及相互禁忌的物料分隔间储存，按规范的要求配备消火栓并装有排风机进行强制通风，仓库的人员严格按公司的有关规定进行管理及操作，无关人员不得入内。库区注意防潮、防火、防爆，保持库区的干燥及通风。仓库内相互禁忌介质拟分区存储，原料仓库储存周期不低于</w:t>
      </w:r>
      <w:r>
        <w:rPr>
          <w:rFonts w:hint="eastAsia" w:ascii="宋体" w:hAnsi="宋体"/>
          <w:color w:val="auto"/>
          <w:sz w:val="28"/>
          <w:szCs w:val="28"/>
          <w:lang w:val="en-US" w:eastAsia="zh-CN"/>
        </w:rPr>
        <w:t>7</w:t>
      </w:r>
      <w:r>
        <w:rPr>
          <w:rFonts w:hint="eastAsia" w:ascii="宋体" w:hAnsi="宋体"/>
          <w:color w:val="auto"/>
          <w:sz w:val="28"/>
          <w:szCs w:val="28"/>
        </w:rPr>
        <w:t>天，成品仓库储存周期不高于60天。</w:t>
      </w:r>
    </w:p>
    <w:p>
      <w:pPr>
        <w:autoSpaceDE w:val="0"/>
        <w:autoSpaceDN w:val="0"/>
        <w:adjustRightInd w:val="0"/>
        <w:snapToGrid w:val="0"/>
        <w:spacing w:line="600" w:lineRule="exact"/>
        <w:jc w:val="center"/>
        <w:rPr>
          <w:rFonts w:ascii="宋体" w:hAnsi="宋体"/>
          <w:color w:val="auto"/>
          <w:sz w:val="24"/>
          <w:szCs w:val="24"/>
        </w:rPr>
      </w:pPr>
      <w:r>
        <w:rPr>
          <w:rFonts w:hint="eastAsia" w:ascii="宋体" w:hAnsi="宋体"/>
          <w:color w:val="auto"/>
          <w:sz w:val="24"/>
          <w:szCs w:val="24"/>
        </w:rPr>
        <w:t>表2</w:t>
      </w:r>
      <w:r>
        <w:rPr>
          <w:rFonts w:ascii="宋体" w:hAnsi="宋体"/>
          <w:color w:val="auto"/>
          <w:sz w:val="24"/>
          <w:szCs w:val="24"/>
        </w:rPr>
        <w:t>.3-3</w:t>
      </w:r>
      <w:r>
        <w:rPr>
          <w:rFonts w:hint="eastAsia" w:ascii="宋体" w:hAnsi="宋体"/>
          <w:color w:val="auto"/>
          <w:sz w:val="24"/>
          <w:szCs w:val="24"/>
        </w:rPr>
        <w:t>项目仓库储存一览表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66"/>
        <w:gridCol w:w="695"/>
        <w:gridCol w:w="3876"/>
        <w:gridCol w:w="771"/>
        <w:gridCol w:w="977"/>
        <w:gridCol w:w="841"/>
        <w:gridCol w:w="166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251" w:type="pct"/>
            <w:tcBorders>
              <w:top w:val="single" w:color="auto" w:sz="4" w:space="0"/>
              <w:left w:val="single" w:color="auto" w:sz="4" w:space="0"/>
              <w:bottom w:val="single" w:color="auto" w:sz="6" w:space="0"/>
              <w:right w:val="single" w:color="auto" w:sz="6" w:space="0"/>
            </w:tcBorders>
            <w:vAlign w:val="center"/>
          </w:tcPr>
          <w:p>
            <w:pPr>
              <w:pStyle w:val="12"/>
              <w:spacing w:after="0"/>
              <w:ind w:left="0" w:leftChars="0"/>
              <w:rPr>
                <w:b/>
                <w:color w:val="auto"/>
              </w:rPr>
            </w:pPr>
            <w:r>
              <w:rPr>
                <w:b/>
                <w:color w:val="auto"/>
              </w:rPr>
              <w:t>序号</w:t>
            </w:r>
          </w:p>
        </w:tc>
        <w:tc>
          <w:tcPr>
            <w:tcW w:w="2461" w:type="pct"/>
            <w:gridSpan w:val="2"/>
            <w:tcBorders>
              <w:top w:val="single" w:color="auto" w:sz="4" w:space="0"/>
              <w:left w:val="single" w:color="auto" w:sz="6" w:space="0"/>
              <w:bottom w:val="single" w:color="auto" w:sz="6" w:space="0"/>
              <w:right w:val="single" w:color="auto" w:sz="6" w:space="0"/>
            </w:tcBorders>
          </w:tcPr>
          <w:p>
            <w:pPr>
              <w:pStyle w:val="12"/>
              <w:spacing w:after="0"/>
              <w:ind w:leftChars="0"/>
              <w:rPr>
                <w:b/>
                <w:color w:val="auto"/>
              </w:rPr>
            </w:pPr>
            <w:r>
              <w:rPr>
                <w:b/>
                <w:color w:val="auto"/>
              </w:rPr>
              <w:t>原料、辅料名称</w:t>
            </w:r>
          </w:p>
        </w:tc>
        <w:tc>
          <w:tcPr>
            <w:tcW w:w="415" w:type="pct"/>
            <w:tcBorders>
              <w:top w:val="single" w:color="auto" w:sz="4" w:space="0"/>
              <w:left w:val="single" w:color="auto" w:sz="6" w:space="0"/>
              <w:bottom w:val="single" w:color="auto" w:sz="6" w:space="0"/>
              <w:right w:val="single" w:color="auto" w:sz="6" w:space="0"/>
            </w:tcBorders>
            <w:vAlign w:val="center"/>
          </w:tcPr>
          <w:p>
            <w:pPr>
              <w:pStyle w:val="12"/>
              <w:spacing w:after="0"/>
              <w:ind w:left="0" w:leftChars="0"/>
              <w:rPr>
                <w:b/>
                <w:color w:val="auto"/>
              </w:rPr>
            </w:pPr>
            <w:r>
              <w:rPr>
                <w:b/>
                <w:color w:val="auto"/>
              </w:rPr>
              <w:t>形态</w:t>
            </w:r>
          </w:p>
        </w:tc>
        <w:tc>
          <w:tcPr>
            <w:tcW w:w="526" w:type="pct"/>
            <w:tcBorders>
              <w:top w:val="single" w:color="auto" w:sz="4" w:space="0"/>
              <w:left w:val="single" w:color="auto" w:sz="6" w:space="0"/>
              <w:bottom w:val="single" w:color="auto" w:sz="6" w:space="0"/>
              <w:right w:val="single" w:color="auto" w:sz="6" w:space="0"/>
            </w:tcBorders>
            <w:vAlign w:val="center"/>
          </w:tcPr>
          <w:p>
            <w:pPr>
              <w:pStyle w:val="12"/>
              <w:spacing w:after="0"/>
              <w:ind w:left="0" w:leftChars="0"/>
              <w:rPr>
                <w:b/>
                <w:color w:val="auto"/>
              </w:rPr>
            </w:pPr>
            <w:r>
              <w:rPr>
                <w:b/>
                <w:color w:val="auto"/>
              </w:rPr>
              <w:t>贮存方式</w:t>
            </w:r>
          </w:p>
        </w:tc>
        <w:tc>
          <w:tcPr>
            <w:tcW w:w="453" w:type="pct"/>
            <w:tcBorders>
              <w:top w:val="single" w:color="auto" w:sz="4" w:space="0"/>
              <w:left w:val="single" w:color="auto" w:sz="6" w:space="0"/>
              <w:bottom w:val="single" w:color="auto" w:sz="6" w:space="0"/>
              <w:right w:val="single" w:color="auto" w:sz="6" w:space="0"/>
            </w:tcBorders>
            <w:vAlign w:val="center"/>
          </w:tcPr>
          <w:p>
            <w:pPr>
              <w:pStyle w:val="12"/>
              <w:spacing w:after="0"/>
              <w:ind w:left="0" w:leftChars="0"/>
              <w:rPr>
                <w:b/>
                <w:color w:val="auto"/>
              </w:rPr>
            </w:pPr>
            <w:r>
              <w:rPr>
                <w:b/>
                <w:color w:val="auto"/>
              </w:rPr>
              <w:t>最大储存量</w:t>
            </w:r>
            <w:r>
              <w:rPr>
                <w:rFonts w:hint="eastAsia"/>
                <w:b/>
                <w:color w:val="auto"/>
              </w:rPr>
              <w:t>/</w:t>
            </w:r>
            <w:r>
              <w:rPr>
                <w:b/>
                <w:color w:val="auto"/>
              </w:rPr>
              <w:t>t</w:t>
            </w:r>
          </w:p>
        </w:tc>
        <w:tc>
          <w:tcPr>
            <w:tcW w:w="892" w:type="pct"/>
            <w:tcBorders>
              <w:top w:val="single" w:color="auto" w:sz="4" w:space="0"/>
              <w:left w:val="single" w:color="auto" w:sz="6" w:space="0"/>
              <w:bottom w:val="single" w:color="auto" w:sz="6" w:space="0"/>
              <w:right w:val="single" w:color="auto" w:sz="4" w:space="0"/>
            </w:tcBorders>
          </w:tcPr>
          <w:p>
            <w:pPr>
              <w:pStyle w:val="12"/>
              <w:spacing w:after="0"/>
              <w:ind w:left="0" w:leftChars="0" w:firstLine="422"/>
              <w:jc w:val="center"/>
              <w:rPr>
                <w:b/>
                <w:color w:val="auto"/>
              </w:rPr>
            </w:pPr>
            <w:r>
              <w:rPr>
                <w:rFonts w:hint="eastAsia"/>
                <w:b/>
                <w:color w:val="auto"/>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000" w:type="pct"/>
            <w:gridSpan w:val="7"/>
            <w:tcBorders>
              <w:top w:val="single" w:color="auto" w:sz="6" w:space="0"/>
              <w:left w:val="single" w:color="auto" w:sz="4" w:space="0"/>
              <w:bottom w:val="single" w:color="auto" w:sz="6" w:space="0"/>
              <w:right w:val="single" w:color="auto" w:sz="4" w:space="0"/>
            </w:tcBorders>
          </w:tcPr>
          <w:p>
            <w:pPr>
              <w:pStyle w:val="12"/>
              <w:spacing w:after="0"/>
              <w:ind w:left="0" w:leftChars="0"/>
              <w:jc w:val="center"/>
              <w:rPr>
                <w:b/>
                <w:color w:val="auto"/>
              </w:rPr>
            </w:pPr>
            <w:r>
              <w:rPr>
                <w:b/>
                <w:color w:val="auto"/>
                <w:kern w:val="0"/>
              </w:rPr>
              <w:t>201</w:t>
            </w:r>
            <w:r>
              <w:rPr>
                <w:rFonts w:hint="eastAsia"/>
                <w:b/>
                <w:color w:val="auto"/>
                <w:kern w:val="0"/>
              </w:rPr>
              <w:t>甲类仓库一</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restart"/>
            <w:tcBorders>
              <w:top w:val="single" w:color="auto" w:sz="6" w:space="0"/>
              <w:left w:val="single" w:color="auto" w:sz="6" w:space="0"/>
              <w:right w:val="single" w:color="auto" w:sz="6" w:space="0"/>
            </w:tcBorders>
          </w:tcPr>
          <w:p>
            <w:pPr>
              <w:spacing w:line="320" w:lineRule="exact"/>
              <w:jc w:val="center"/>
              <w:rPr>
                <w:rFonts w:ascii="宋体" w:hAnsi="宋体"/>
                <w:color w:val="auto"/>
              </w:rPr>
            </w:pPr>
            <w:r>
              <w:rPr>
                <w:rFonts w:hint="eastAsia" w:ascii="宋体" w:hAnsi="宋体"/>
                <w:color w:val="auto"/>
              </w:rPr>
              <w:t>分区一</w:t>
            </w: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麦角淄醇</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四氢呋喃</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三乙胺</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丙酮</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碳酸氢钾</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甲苯</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乙酸乙酯</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氯化铵</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溴化钠</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color w:val="auto"/>
              </w:rPr>
              <w:t>0</w:t>
            </w:r>
            <w:r>
              <w:rPr>
                <w:rFonts w:hint="eastAsia"/>
                <w:color w:val="auto"/>
              </w:rPr>
              <w:t>.</w:t>
            </w: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highlight w:val="yellow"/>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对甲苯磺酸</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叔丁醇</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highlight w:val="yellow"/>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铁氰化钾</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碳酸钾</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甲基磺酰胺</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袋装&amp;桶装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0.5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锇酸钾</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.0</w:t>
            </w:r>
            <w:r>
              <w:rPr>
                <w:rFonts w:hint="eastAsia"/>
                <w:color w:val="auto"/>
                <w:lang w:val="en-US" w:eastAsia="zh-CN"/>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奎尼丁</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0</w:t>
            </w:r>
            <w:r>
              <w:rPr>
                <w:color w:val="auto"/>
              </w:rPr>
              <w:t>.05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石油醚</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豆甾醇</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丁酮</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甲醇</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val="en-US" w:eastAsia="zh-CN"/>
              </w:rPr>
            </w:pPr>
            <w:r>
              <w:rPr>
                <w:rFonts w:hint="eastAsia"/>
                <w:color w:val="auto"/>
              </w:rPr>
              <w:t>0</w:t>
            </w:r>
            <w:r>
              <w:rPr>
                <w:color w:val="auto"/>
              </w:rPr>
              <w:t>.2</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二氯甲烷</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硅胶</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3</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color w:val="auto"/>
              </w:rPr>
              <w:t>环己酮</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bottom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工业盐</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restart"/>
            <w:tcBorders>
              <w:top w:val="single" w:color="auto" w:sz="6" w:space="0"/>
              <w:left w:val="single" w:color="auto" w:sz="6" w:space="0"/>
              <w:right w:val="single" w:color="auto" w:sz="6" w:space="0"/>
            </w:tcBorders>
          </w:tcPr>
          <w:p>
            <w:pPr>
              <w:spacing w:line="320" w:lineRule="exact"/>
              <w:jc w:val="center"/>
              <w:rPr>
                <w:rFonts w:ascii="宋体" w:hAnsi="宋体"/>
                <w:color w:val="auto"/>
              </w:rPr>
            </w:pPr>
            <w:r>
              <w:rPr>
                <w:rFonts w:hint="eastAsia" w:ascii="宋体" w:hAnsi="宋体"/>
                <w:color w:val="auto"/>
              </w:rPr>
              <w:t>分区二</w:t>
            </w: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次氯酸钠</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四甲基哌啶氧化物</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color w:val="auto"/>
              </w:rPr>
              <w:t>0.</w:t>
            </w:r>
            <w:r>
              <w:rPr>
                <w:rFonts w:hint="eastAsia"/>
                <w:color w:val="auto"/>
                <w:lang w:val="en-US" w:eastAsia="zh-CN"/>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三氟乙酸酐</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0</w:t>
            </w:r>
            <w:r>
              <w:rPr>
                <w:color w:val="auto"/>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硫酸</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5</w:t>
            </w:r>
            <w:r>
              <w:rPr>
                <w:rFonts w:ascii="宋体" w:hAnsi="宋体"/>
                <w:color w:val="auto"/>
              </w:rPr>
              <w:t>0%</w:t>
            </w:r>
            <w:r>
              <w:rPr>
                <w:rFonts w:hint="eastAsia" w:ascii="宋体" w:hAnsi="宋体"/>
                <w:color w:val="auto"/>
              </w:rPr>
              <w:t>双氧水</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氢溴酸</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3</w:t>
            </w:r>
            <w:r>
              <w:rPr>
                <w:rFonts w:ascii="宋体" w:hAnsi="宋体"/>
                <w:color w:val="auto"/>
              </w:rPr>
              <w:t>0%</w:t>
            </w:r>
            <w:r>
              <w:rPr>
                <w:rFonts w:hint="eastAsia" w:ascii="宋体" w:hAnsi="宋体"/>
                <w:color w:val="auto"/>
              </w:rPr>
              <w:t>双氧水</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亚硫酸氢钠</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2</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N</w:t>
            </w:r>
            <w:r>
              <w:rPr>
                <w:rFonts w:ascii="宋体" w:hAnsi="宋体"/>
                <w:color w:val="auto"/>
              </w:rPr>
              <w:t>-</w:t>
            </w:r>
            <w:r>
              <w:rPr>
                <w:rFonts w:hint="eastAsia" w:ascii="宋体" w:hAnsi="宋体"/>
                <w:color w:val="auto"/>
              </w:rPr>
              <w:t>甲基氧化吗啉</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亚硫酸钠</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丙酸酐</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3</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bottom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间氯过氧苯甲酸</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restart"/>
            <w:tcBorders>
              <w:top w:val="single" w:color="auto" w:sz="6" w:space="0"/>
              <w:left w:val="single" w:color="auto" w:sz="6" w:space="0"/>
              <w:right w:val="single" w:color="auto" w:sz="6" w:space="0"/>
            </w:tcBorders>
          </w:tcPr>
          <w:p>
            <w:pPr>
              <w:spacing w:line="320" w:lineRule="exact"/>
              <w:jc w:val="center"/>
              <w:rPr>
                <w:rFonts w:ascii="宋体" w:hAnsi="宋体"/>
                <w:color w:val="auto"/>
              </w:rPr>
            </w:pPr>
            <w:r>
              <w:rPr>
                <w:rFonts w:hint="eastAsia" w:ascii="宋体" w:hAnsi="宋体"/>
                <w:color w:val="auto"/>
              </w:rPr>
              <w:t>分区三</w:t>
            </w: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液氮</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10</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bottom w:val="single" w:color="auto" w:sz="6" w:space="0"/>
              <w:right w:val="single" w:color="auto" w:sz="6" w:space="0"/>
            </w:tcBorders>
          </w:tcPr>
          <w:p>
            <w:pPr>
              <w:spacing w:line="320" w:lineRule="exact"/>
              <w:jc w:val="center"/>
              <w:rPr>
                <w:rFonts w:ascii="宋体" w:hAnsi="宋体"/>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ascii="宋体" w:hAnsi="宋体"/>
                <w:color w:val="auto"/>
              </w:rPr>
            </w:pPr>
            <w:r>
              <w:rPr>
                <w:rFonts w:hint="eastAsia" w:ascii="宋体" w:hAnsi="宋体"/>
                <w:color w:val="auto"/>
              </w:rPr>
              <w:t>液氨</w:t>
            </w:r>
          </w:p>
        </w:tc>
        <w:tc>
          <w:tcPr>
            <w:tcW w:w="415"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2.4</w:t>
            </w:r>
          </w:p>
        </w:tc>
        <w:tc>
          <w:tcPr>
            <w:tcW w:w="892" w:type="pct"/>
            <w:tcBorders>
              <w:top w:val="single" w:color="auto" w:sz="6" w:space="0"/>
              <w:left w:val="single" w:color="auto" w:sz="6" w:space="0"/>
              <w:bottom w:val="single" w:color="auto" w:sz="6" w:space="0"/>
              <w:right w:val="single" w:color="auto" w:sz="4" w:space="0"/>
            </w:tcBorders>
            <w:vAlign w:val="center"/>
          </w:tcPr>
          <w:p>
            <w:pPr>
              <w:widowControl/>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000" w:type="pct"/>
            <w:gridSpan w:val="7"/>
            <w:tcBorders>
              <w:top w:val="single" w:color="auto" w:sz="6" w:space="0"/>
              <w:left w:val="single" w:color="auto" w:sz="4" w:space="0"/>
              <w:bottom w:val="single" w:color="auto" w:sz="6" w:space="0"/>
              <w:right w:val="single" w:color="auto" w:sz="4" w:space="0"/>
            </w:tcBorders>
          </w:tcPr>
          <w:p>
            <w:pPr>
              <w:jc w:val="center"/>
              <w:rPr>
                <w:rFonts w:ascii="宋体" w:hAnsi="宋体"/>
                <w:b/>
                <w:color w:val="auto"/>
              </w:rPr>
            </w:pPr>
            <w:r>
              <w:rPr>
                <w:b/>
                <w:color w:val="auto"/>
                <w:kern w:val="0"/>
              </w:rPr>
              <w:t>202</w:t>
            </w:r>
            <w:r>
              <w:rPr>
                <w:rFonts w:hint="eastAsia"/>
                <w:b/>
                <w:color w:val="auto"/>
                <w:kern w:val="0"/>
              </w:rPr>
              <w:t>甲类</w:t>
            </w:r>
            <w:r>
              <w:rPr>
                <w:rFonts w:hint="eastAsia"/>
                <w:b/>
                <w:color w:val="auto"/>
              </w:rPr>
              <w:t>仓</w:t>
            </w:r>
            <w:r>
              <w:rPr>
                <w:rFonts w:hint="eastAsia"/>
                <w:b/>
                <w:color w:val="auto"/>
                <w:kern w:val="0"/>
              </w:rPr>
              <w:t>库二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restart"/>
            <w:tcBorders>
              <w:top w:val="single" w:color="auto" w:sz="6" w:space="0"/>
              <w:left w:val="single" w:color="auto" w:sz="6" w:space="0"/>
              <w:right w:val="single" w:color="auto" w:sz="6" w:space="0"/>
            </w:tcBorders>
          </w:tcPr>
          <w:p>
            <w:pPr>
              <w:jc w:val="center"/>
              <w:rPr>
                <w:color w:val="auto"/>
              </w:rPr>
            </w:pPr>
            <w:r>
              <w:rPr>
                <w:rFonts w:hint="eastAsia"/>
                <w:color w:val="auto"/>
              </w:rPr>
              <w:t>分区一</w:t>
            </w:r>
          </w:p>
        </w:tc>
        <w:tc>
          <w:tcPr>
            <w:tcW w:w="2087"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无水乙醇</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10</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right w:val="single" w:color="auto" w:sz="6" w:space="0"/>
            </w:tcBorders>
          </w:tcPr>
          <w:p>
            <w:pPr>
              <w:jc w:val="center"/>
              <w:rPr>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异丙醇</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color w:val="auto"/>
                <w:lang w:val="en-US" w:eastAsia="zh-CN"/>
              </w:rPr>
            </w:pPr>
            <w:r>
              <w:rPr>
                <w:rFonts w:hint="eastAsia"/>
                <w:color w:val="auto"/>
                <w:lang w:val="en-US" w:eastAsia="zh-CN"/>
              </w:rPr>
              <w:t>10</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vMerge w:val="continue"/>
            <w:tcBorders>
              <w:left w:val="single" w:color="auto" w:sz="6" w:space="0"/>
              <w:bottom w:val="single" w:color="auto" w:sz="6" w:space="0"/>
              <w:right w:val="single" w:color="auto" w:sz="6" w:space="0"/>
            </w:tcBorders>
          </w:tcPr>
          <w:p>
            <w:pPr>
              <w:jc w:val="center"/>
              <w:rPr>
                <w:color w:val="auto"/>
              </w:rPr>
            </w:pPr>
          </w:p>
        </w:tc>
        <w:tc>
          <w:tcPr>
            <w:tcW w:w="2087"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DMF</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374" w:type="pct"/>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分区二</w:t>
            </w:r>
          </w:p>
        </w:tc>
        <w:tc>
          <w:tcPr>
            <w:tcW w:w="2087"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甲基磺酰氯</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000" w:type="pct"/>
            <w:gridSpan w:val="7"/>
            <w:tcBorders>
              <w:top w:val="single" w:color="auto" w:sz="6" w:space="0"/>
              <w:left w:val="single" w:color="auto" w:sz="4" w:space="0"/>
              <w:bottom w:val="single" w:color="auto" w:sz="6" w:space="0"/>
              <w:right w:val="single" w:color="auto" w:sz="4" w:space="0"/>
            </w:tcBorders>
          </w:tcPr>
          <w:p>
            <w:pPr>
              <w:jc w:val="center"/>
              <w:rPr>
                <w:b/>
                <w:bCs/>
                <w:color w:val="auto"/>
              </w:rPr>
            </w:pPr>
            <w:r>
              <w:rPr>
                <w:rFonts w:hint="eastAsia"/>
                <w:b/>
                <w:bCs/>
                <w:color w:val="auto"/>
              </w:rPr>
              <w:t>2</w:t>
            </w:r>
            <w:r>
              <w:rPr>
                <w:b/>
                <w:bCs/>
                <w:color w:val="auto"/>
              </w:rPr>
              <w:t>03</w:t>
            </w:r>
            <w:r>
              <w:rPr>
                <w:rFonts w:hint="eastAsia"/>
                <w:b/>
                <w:bCs/>
                <w:color w:val="auto"/>
              </w:rPr>
              <w:t>丙类仓库一</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2</w:t>
            </w:r>
            <w:r>
              <w:rPr>
                <w:color w:val="auto"/>
              </w:rPr>
              <w:t>4-</w:t>
            </w:r>
            <w:r>
              <w:rPr>
                <w:rFonts w:hint="eastAsia"/>
                <w:color w:val="auto"/>
              </w:rPr>
              <w:t>表芸苔素内酯</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2</w:t>
            </w:r>
            <w:r>
              <w:rPr>
                <w:color w:val="auto"/>
              </w:rPr>
              <w:t>8-</w:t>
            </w:r>
            <w:r>
              <w:rPr>
                <w:rFonts w:hint="eastAsia"/>
                <w:color w:val="auto"/>
              </w:rPr>
              <w:t>高芸苔素内酯</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NP</w:t>
            </w:r>
            <w:r>
              <w:rPr>
                <w:color w:val="auto"/>
              </w:rPr>
              <w:t>-10</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SC</w:t>
            </w:r>
            <w:r>
              <w:rPr>
                <w:color w:val="auto"/>
              </w:rPr>
              <w:t>001</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S</w:t>
            </w:r>
            <w:r>
              <w:rPr>
                <w:color w:val="auto"/>
              </w:rPr>
              <w:t>-</w:t>
            </w:r>
            <w:r>
              <w:rPr>
                <w:rFonts w:hint="eastAsia"/>
                <w:color w:val="auto"/>
              </w:rPr>
              <w:t>诱抗素</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3</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胺鲜酯</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白炭黑</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苯甲酸钠</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碳酸氢钠</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苄氨基嘌呤</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丙酰芸苔素内酯</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赤霉素A</w:t>
            </w:r>
            <w:r>
              <w:rPr>
                <w:color w:val="auto"/>
              </w:rPr>
              <w:t>4</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赤霉素A</w:t>
            </w:r>
            <w:r>
              <w:rPr>
                <w:color w:val="auto"/>
              </w:rPr>
              <w:t>3</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黄原胶</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朗钛LT</w:t>
            </w:r>
            <w:r>
              <w:rPr>
                <w:color w:val="auto"/>
              </w:rPr>
              <w:t>-569</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氯吡脲</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氯化胆碱</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3</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噻苯隆</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三十烷醇</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烯效唑</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消泡剂</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3</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乙二醇</w:t>
            </w:r>
          </w:p>
        </w:tc>
        <w:tc>
          <w:tcPr>
            <w:tcW w:w="415" w:type="pct"/>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吲哚丁酸</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0</w:t>
            </w:r>
            <w:r>
              <w:rPr>
                <w:color w:val="auto"/>
                <w:highlight w:val="none"/>
              </w:rPr>
              <w:t>.</w:t>
            </w:r>
            <w:r>
              <w:rPr>
                <w:rFonts w:hint="eastAsia"/>
                <w:color w:val="auto"/>
                <w:highlight w:val="none"/>
                <w:lang w:val="en-US" w:eastAsia="zh-CN"/>
              </w:rPr>
              <w:t>5</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氨基寡糖素</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肥料载体</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lang w:val="en-US" w:eastAsia="zh-CN"/>
              </w:rPr>
              <w:t>200</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三聚磷酸钠</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highlight w:val="none"/>
              </w:rPr>
              <w:t>2</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000" w:type="pct"/>
            <w:gridSpan w:val="7"/>
            <w:tcBorders>
              <w:top w:val="single" w:color="auto" w:sz="6" w:space="0"/>
              <w:left w:val="single" w:color="auto" w:sz="4" w:space="0"/>
              <w:bottom w:val="single" w:color="auto" w:sz="6" w:space="0"/>
              <w:right w:val="single" w:color="auto" w:sz="4" w:space="0"/>
            </w:tcBorders>
          </w:tcPr>
          <w:p>
            <w:pPr>
              <w:jc w:val="center"/>
              <w:rPr>
                <w:b/>
                <w:bCs/>
                <w:color w:val="auto"/>
              </w:rPr>
            </w:pPr>
            <w:r>
              <w:rPr>
                <w:rFonts w:hint="eastAsia"/>
                <w:b/>
                <w:bCs/>
                <w:color w:val="auto"/>
              </w:rPr>
              <w:t>2</w:t>
            </w:r>
            <w:r>
              <w:rPr>
                <w:b/>
                <w:bCs/>
                <w:color w:val="auto"/>
              </w:rPr>
              <w:t>05</w:t>
            </w:r>
            <w:r>
              <w:rPr>
                <w:rFonts w:hint="eastAsia"/>
                <w:b/>
                <w:bCs/>
                <w:color w:val="auto"/>
              </w:rPr>
              <w:t>甲类仓库三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金属锂</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固体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袋装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rPr>
              <w:t>0</w:t>
            </w:r>
            <w:r>
              <w:rPr>
                <w:color w:val="auto"/>
              </w:rPr>
              <w:t>.</w:t>
            </w: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000" w:type="pct"/>
            <w:gridSpan w:val="7"/>
            <w:tcBorders>
              <w:top w:val="single" w:color="auto" w:sz="6" w:space="0"/>
              <w:left w:val="single" w:color="auto" w:sz="4" w:space="0"/>
              <w:bottom w:val="single" w:color="auto" w:sz="6" w:space="0"/>
              <w:right w:val="single" w:color="auto" w:sz="4" w:space="0"/>
            </w:tcBorders>
          </w:tcPr>
          <w:p>
            <w:pPr>
              <w:jc w:val="center"/>
              <w:rPr>
                <w:color w:val="auto"/>
              </w:rPr>
            </w:pPr>
            <w:r>
              <w:rPr>
                <w:rFonts w:hint="eastAsia"/>
                <w:b/>
                <w:bCs/>
                <w:color w:val="auto"/>
              </w:rPr>
              <w:t>公用工程车间发电间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51" w:type="pct"/>
            <w:tcBorders>
              <w:top w:val="single" w:color="auto" w:sz="6" w:space="0"/>
              <w:left w:val="single" w:color="auto" w:sz="4" w:space="0"/>
              <w:bottom w:val="single" w:color="auto" w:sz="6" w:space="0"/>
              <w:right w:val="single" w:color="auto" w:sz="6" w:space="0"/>
            </w:tcBorders>
            <w:vAlign w:val="center"/>
          </w:tcPr>
          <w:p>
            <w:pPr>
              <w:numPr>
                <w:ilvl w:val="0"/>
                <w:numId w:val="3"/>
              </w:numPr>
              <w:jc w:val="center"/>
              <w:rPr>
                <w:color w:val="auto"/>
              </w:rPr>
            </w:pPr>
          </w:p>
        </w:tc>
        <w:tc>
          <w:tcPr>
            <w:tcW w:w="2461" w:type="pct"/>
            <w:gridSpan w:val="2"/>
            <w:tcBorders>
              <w:top w:val="single" w:color="auto" w:sz="6" w:space="0"/>
              <w:left w:val="single" w:color="auto" w:sz="6" w:space="0"/>
              <w:bottom w:val="single" w:color="auto" w:sz="6" w:space="0"/>
              <w:right w:val="single" w:color="auto" w:sz="6" w:space="0"/>
            </w:tcBorders>
          </w:tcPr>
          <w:p>
            <w:pPr>
              <w:jc w:val="center"/>
              <w:rPr>
                <w:color w:val="auto"/>
              </w:rPr>
            </w:pPr>
            <w:r>
              <w:rPr>
                <w:rFonts w:hint="eastAsia"/>
                <w:color w:val="auto"/>
              </w:rPr>
              <w:t>柴油</w:t>
            </w:r>
          </w:p>
        </w:tc>
        <w:tc>
          <w:tcPr>
            <w:tcW w:w="415" w:type="pct"/>
            <w:tcBorders>
              <w:top w:val="single" w:color="auto" w:sz="6" w:space="0"/>
              <w:left w:val="single" w:color="auto" w:sz="6" w:space="0"/>
              <w:bottom w:val="single" w:color="auto" w:sz="6" w:space="0"/>
              <w:right w:val="single" w:color="auto" w:sz="6" w:space="0"/>
            </w:tcBorders>
          </w:tcPr>
          <w:p>
            <w:pPr>
              <w:rPr>
                <w:color w:val="auto"/>
              </w:rPr>
            </w:pPr>
            <w:r>
              <w:rPr>
                <w:rFonts w:hint="eastAsia"/>
                <w:color w:val="auto"/>
              </w:rPr>
              <w:t>液体</w:t>
            </w:r>
          </w:p>
        </w:tc>
        <w:tc>
          <w:tcPr>
            <w:tcW w:w="526" w:type="pct"/>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桶装</w:t>
            </w:r>
          </w:p>
        </w:tc>
        <w:tc>
          <w:tcPr>
            <w:tcW w:w="453"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olor w:val="auto"/>
                <w:lang w:eastAsia="zh-CN"/>
              </w:rPr>
            </w:pPr>
            <w:r>
              <w:rPr>
                <w:rFonts w:hint="eastAsia"/>
                <w:color w:val="auto"/>
                <w:lang w:val="en-US" w:eastAsia="zh-CN"/>
              </w:rPr>
              <w:t>1</w:t>
            </w:r>
          </w:p>
        </w:tc>
        <w:tc>
          <w:tcPr>
            <w:tcW w:w="892" w:type="pct"/>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bl>
    <w:p>
      <w:pPr>
        <w:pStyle w:val="4"/>
        <w:rPr>
          <w:rFonts w:ascii="Times New Roman" w:hAnsi="Times New Roman" w:cs="Times New Roman"/>
          <w:bCs w:val="0"/>
          <w:color w:val="auto"/>
        </w:rPr>
      </w:pPr>
      <w:bookmarkStart w:id="31" w:name="_Toc144109147"/>
      <w:r>
        <w:rPr>
          <w:rFonts w:hint="eastAsia" w:ascii="Times New Roman" w:hAnsi="Times New Roman" w:cs="Times New Roman"/>
          <w:bCs w:val="0"/>
          <w:color w:val="auto"/>
        </w:rPr>
        <w:t>2.</w:t>
      </w:r>
      <w:r>
        <w:rPr>
          <w:rFonts w:ascii="Times New Roman" w:hAnsi="Times New Roman" w:cs="Times New Roman"/>
          <w:bCs w:val="0"/>
          <w:color w:val="auto"/>
        </w:rPr>
        <w:t>4</w:t>
      </w:r>
      <w:r>
        <w:rPr>
          <w:rFonts w:hint="eastAsia" w:ascii="Times New Roman" w:hAnsi="Times New Roman" w:cs="Times New Roman"/>
          <w:bCs w:val="0"/>
          <w:color w:val="auto"/>
        </w:rPr>
        <w:t xml:space="preserve"> 建设项目选择的工艺流程</w:t>
      </w:r>
      <w:bookmarkEnd w:id="31"/>
    </w:p>
    <w:p>
      <w:pPr>
        <w:keepNext/>
        <w:keepLines/>
        <w:tabs>
          <w:tab w:val="left" w:pos="3165"/>
        </w:tabs>
        <w:spacing w:line="600" w:lineRule="exact"/>
        <w:jc w:val="left"/>
        <w:outlineLvl w:val="2"/>
        <w:rPr>
          <w:b/>
          <w:color w:val="auto"/>
          <w:sz w:val="28"/>
          <w:szCs w:val="32"/>
        </w:rPr>
      </w:pPr>
      <w:bookmarkStart w:id="32" w:name="_Toc144109148"/>
      <w:bookmarkStart w:id="33" w:name="_Toc42679794"/>
      <w:r>
        <w:rPr>
          <w:rFonts w:hint="eastAsia"/>
          <w:b/>
          <w:color w:val="auto"/>
          <w:sz w:val="28"/>
          <w:szCs w:val="32"/>
        </w:rPr>
        <w:t>2.</w:t>
      </w:r>
      <w:r>
        <w:rPr>
          <w:b/>
          <w:color w:val="auto"/>
          <w:sz w:val="28"/>
          <w:szCs w:val="32"/>
        </w:rPr>
        <w:t>4</w:t>
      </w:r>
      <w:r>
        <w:rPr>
          <w:rFonts w:hint="eastAsia"/>
          <w:b/>
          <w:color w:val="auto"/>
          <w:sz w:val="28"/>
          <w:szCs w:val="32"/>
        </w:rPr>
        <w:t>.1 建设项目选择的主要工艺流程</w:t>
      </w:r>
      <w:bookmarkEnd w:id="32"/>
    </w:p>
    <w:bookmarkEnd w:id="33"/>
    <w:p>
      <w:pPr>
        <w:spacing w:line="360" w:lineRule="auto"/>
        <w:ind w:firstLine="562" w:firstLineChars="200"/>
        <w:rPr>
          <w:b/>
          <w:bCs/>
          <w:color w:val="auto"/>
          <w:kern w:val="0"/>
          <w:sz w:val="28"/>
          <w:szCs w:val="28"/>
        </w:rPr>
      </w:pPr>
      <w:r>
        <w:rPr>
          <w:rFonts w:hint="eastAsia"/>
          <w:b/>
          <w:bCs/>
          <w:color w:val="auto"/>
          <w:kern w:val="0"/>
          <w:sz w:val="28"/>
          <w:szCs w:val="28"/>
        </w:rPr>
        <w:t>1、2</w:t>
      </w:r>
      <w:r>
        <w:rPr>
          <w:b/>
          <w:bCs/>
          <w:color w:val="auto"/>
          <w:kern w:val="0"/>
          <w:sz w:val="28"/>
          <w:szCs w:val="28"/>
        </w:rPr>
        <w:t>4-</w:t>
      </w:r>
      <w:r>
        <w:rPr>
          <w:rFonts w:hint="eastAsia"/>
          <w:b/>
          <w:bCs/>
          <w:color w:val="auto"/>
          <w:kern w:val="0"/>
          <w:sz w:val="28"/>
          <w:szCs w:val="28"/>
        </w:rPr>
        <w:t>表芸苔素内酯</w:t>
      </w:r>
    </w:p>
    <w:p>
      <w:pPr>
        <w:pStyle w:val="11"/>
        <w:spacing w:line="360" w:lineRule="auto"/>
        <w:ind w:firstLine="562" w:firstLineChars="200"/>
        <w:rPr>
          <w:rFonts w:ascii="宋体" w:hAnsi="宋体"/>
          <w:b/>
          <w:bCs/>
          <w:color w:val="auto"/>
          <w:sz w:val="28"/>
          <w:szCs w:val="28"/>
        </w:rPr>
      </w:pPr>
      <w:r>
        <w:rPr>
          <w:rFonts w:hint="eastAsia" w:ascii="宋体" w:hAnsi="宋体"/>
          <w:b/>
          <w:bCs/>
          <w:color w:val="auto"/>
          <w:sz w:val="28"/>
          <w:szCs w:val="28"/>
        </w:rPr>
        <w:t>1）反应原理</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①磺酰化反应</w:t>
      </w:r>
    </w:p>
    <w:p>
      <w:pPr>
        <w:jc w:val="center"/>
        <w:rPr>
          <w:color w:val="auto"/>
        </w:rPr>
      </w:pPr>
      <w:r>
        <w:rPr>
          <w:color w:val="auto"/>
        </w:rPr>
        <w:drawing>
          <wp:inline distT="0" distB="0" distL="0" distR="0">
            <wp:extent cx="5759450" cy="1840230"/>
            <wp:effectExtent l="0" t="0" r="0" b="7620"/>
            <wp:docPr id="2114644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44969" name="图片 1"/>
                    <pic:cNvPicPr>
                      <a:picLocks noChangeAspect="1"/>
                    </pic:cNvPicPr>
                  </pic:nvPicPr>
                  <pic:blipFill>
                    <a:blip r:embed="rId24"/>
                    <a:stretch>
                      <a:fillRect/>
                    </a:stretch>
                  </pic:blipFill>
                  <pic:spPr>
                    <a:xfrm>
                      <a:off x="0" y="0"/>
                      <a:ext cx="5769681" cy="1843945"/>
                    </a:xfrm>
                    <a:prstGeom prst="rect">
                      <a:avLst/>
                    </a:prstGeom>
                  </pic:spPr>
                </pic:pic>
              </a:graphicData>
            </a:graphic>
          </wp:inline>
        </w:drawing>
      </w:r>
    </w:p>
    <w:p>
      <w:pPr>
        <w:ind w:firstLine="560" w:firstLineChars="200"/>
        <w:rPr>
          <w:color w:val="auto"/>
          <w:sz w:val="28"/>
          <w:szCs w:val="28"/>
        </w:rPr>
      </w:pPr>
      <w:r>
        <w:rPr>
          <w:rFonts w:hint="eastAsia"/>
          <w:color w:val="auto"/>
          <w:sz w:val="28"/>
          <w:szCs w:val="28"/>
        </w:rPr>
        <w:t>②水解反应</w:t>
      </w:r>
    </w:p>
    <w:p>
      <w:pPr>
        <w:ind w:firstLine="560" w:firstLineChars="200"/>
        <w:rPr>
          <w:color w:val="auto"/>
          <w:sz w:val="28"/>
          <w:szCs w:val="28"/>
        </w:rPr>
      </w:pPr>
      <w:r>
        <w:rPr>
          <w:rFonts w:hint="eastAsia"/>
          <w:color w:val="auto"/>
          <w:sz w:val="28"/>
          <w:szCs w:val="28"/>
        </w:rPr>
        <w:t>主反应：</w:t>
      </w:r>
    </w:p>
    <w:p>
      <w:pPr>
        <w:jc w:val="center"/>
        <w:rPr>
          <w:color w:val="auto"/>
        </w:rPr>
      </w:pPr>
      <w:r>
        <w:rPr>
          <w:color w:val="auto"/>
        </w:rPr>
        <w:drawing>
          <wp:inline distT="0" distB="0" distL="0" distR="0">
            <wp:extent cx="5081905" cy="2006600"/>
            <wp:effectExtent l="0" t="0" r="444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091564" cy="2010572"/>
                    </a:xfrm>
                    <a:prstGeom prst="rect">
                      <a:avLst/>
                    </a:prstGeom>
                    <a:noFill/>
                    <a:ln>
                      <a:noFill/>
                    </a:ln>
                  </pic:spPr>
                </pic:pic>
              </a:graphicData>
            </a:graphic>
          </wp:inline>
        </w:drawing>
      </w:r>
    </w:p>
    <w:p>
      <w:pPr>
        <w:ind w:firstLine="560" w:firstLineChars="200"/>
        <w:rPr>
          <w:color w:val="auto"/>
          <w:sz w:val="28"/>
          <w:szCs w:val="28"/>
        </w:rPr>
      </w:pPr>
      <w:r>
        <w:rPr>
          <w:rFonts w:hint="eastAsia"/>
          <w:color w:val="auto"/>
          <w:sz w:val="28"/>
          <w:szCs w:val="28"/>
        </w:rPr>
        <w:t>副反应：</w:t>
      </w:r>
    </w:p>
    <w:p>
      <w:pPr>
        <w:jc w:val="center"/>
        <w:rPr>
          <w:color w:val="auto"/>
        </w:rPr>
      </w:pPr>
      <w:r>
        <w:rPr>
          <w:color w:val="auto"/>
        </w:rPr>
        <w:drawing>
          <wp:inline distT="0" distB="0" distL="0" distR="0">
            <wp:extent cx="4726305" cy="103314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726305" cy="1033145"/>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③氧化反应</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主反应：</w:t>
      </w:r>
    </w:p>
    <w:p>
      <w:pPr>
        <w:jc w:val="center"/>
        <w:rPr>
          <w:color w:val="auto"/>
        </w:rPr>
      </w:pPr>
      <w:r>
        <w:rPr>
          <w:color w:val="auto"/>
        </w:rPr>
        <w:drawing>
          <wp:inline distT="0" distB="0" distL="0" distR="0">
            <wp:extent cx="4084955" cy="2035810"/>
            <wp:effectExtent l="0" t="0" r="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093108" cy="2040354"/>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副反应：</w:t>
      </w:r>
    </w:p>
    <w:p>
      <w:pPr>
        <w:jc w:val="center"/>
        <w:rPr>
          <w:color w:val="auto"/>
        </w:rPr>
      </w:pPr>
      <w:r>
        <w:rPr>
          <w:color w:val="auto"/>
        </w:rPr>
        <w:drawing>
          <wp:inline distT="0" distB="0" distL="0" distR="0">
            <wp:extent cx="4405630" cy="1484630"/>
            <wp:effectExtent l="0" t="0" r="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405630" cy="1484630"/>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④还原反应</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主反应：</w:t>
      </w:r>
    </w:p>
    <w:p>
      <w:pPr>
        <w:jc w:val="center"/>
        <w:rPr>
          <w:color w:val="auto"/>
        </w:rPr>
      </w:pPr>
      <w:r>
        <w:rPr>
          <w:color w:val="auto"/>
        </w:rPr>
        <w:drawing>
          <wp:inline distT="0" distB="0" distL="0" distR="0">
            <wp:extent cx="6043930" cy="1943735"/>
            <wp:effectExtent l="0" t="0" r="0" b="0"/>
            <wp:docPr id="1701920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20458" name="图片 1"/>
                    <pic:cNvPicPr>
                      <a:picLocks noChangeAspect="1"/>
                    </pic:cNvPicPr>
                  </pic:nvPicPr>
                  <pic:blipFill>
                    <a:blip r:embed="rId29"/>
                    <a:stretch>
                      <a:fillRect/>
                    </a:stretch>
                  </pic:blipFill>
                  <pic:spPr>
                    <a:xfrm>
                      <a:off x="0" y="0"/>
                      <a:ext cx="6071362" cy="1952877"/>
                    </a:xfrm>
                    <a:prstGeom prst="rect">
                      <a:avLst/>
                    </a:prstGeom>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副反应：</w:t>
      </w:r>
    </w:p>
    <w:p>
      <w:pPr>
        <w:jc w:val="center"/>
        <w:rPr>
          <w:color w:val="auto"/>
          <w:sz w:val="28"/>
          <w:szCs w:val="28"/>
        </w:rPr>
      </w:pPr>
      <w:r>
        <w:rPr>
          <w:rFonts w:hint="eastAsia"/>
          <w:color w:val="auto"/>
          <w:sz w:val="28"/>
          <w:szCs w:val="28"/>
        </w:rPr>
        <w:t>LiNH</w:t>
      </w:r>
      <w:r>
        <w:rPr>
          <w:color w:val="auto"/>
          <w:sz w:val="28"/>
          <w:szCs w:val="28"/>
          <w:vertAlign w:val="subscript"/>
        </w:rPr>
        <w:t>2</w:t>
      </w:r>
      <w:r>
        <w:rPr>
          <w:color w:val="auto"/>
          <w:sz w:val="28"/>
          <w:szCs w:val="28"/>
        </w:rPr>
        <w:t>+</w:t>
      </w:r>
      <w:r>
        <w:rPr>
          <w:rFonts w:hint="eastAsia"/>
          <w:color w:val="auto"/>
          <w:sz w:val="28"/>
          <w:szCs w:val="28"/>
        </w:rPr>
        <w:t>H</w:t>
      </w:r>
      <w:r>
        <w:rPr>
          <w:color w:val="auto"/>
          <w:sz w:val="28"/>
          <w:szCs w:val="28"/>
          <w:vertAlign w:val="subscript"/>
        </w:rPr>
        <w:t>2</w:t>
      </w:r>
      <w:r>
        <w:rPr>
          <w:rFonts w:hint="eastAsia"/>
          <w:color w:val="auto"/>
          <w:sz w:val="28"/>
          <w:szCs w:val="28"/>
        </w:rPr>
        <w:t>O</w:t>
      </w:r>
      <w:r>
        <w:rPr>
          <w:color w:val="auto"/>
          <w:sz w:val="28"/>
          <w:szCs w:val="28"/>
        </w:rPr>
        <w:t>=</w:t>
      </w:r>
      <w:r>
        <w:rPr>
          <w:rFonts w:hint="eastAsia"/>
          <w:color w:val="auto"/>
          <w:sz w:val="28"/>
          <w:szCs w:val="28"/>
        </w:rPr>
        <w:t>LiOH</w:t>
      </w:r>
      <w:r>
        <w:rPr>
          <w:color w:val="auto"/>
          <w:sz w:val="28"/>
          <w:szCs w:val="28"/>
        </w:rPr>
        <w:t>+</w:t>
      </w:r>
      <w:r>
        <w:rPr>
          <w:rFonts w:hint="eastAsia"/>
          <w:color w:val="auto"/>
          <w:sz w:val="28"/>
          <w:szCs w:val="28"/>
        </w:rPr>
        <w:t>NH</w:t>
      </w:r>
      <w:r>
        <w:rPr>
          <w:color w:val="auto"/>
          <w:sz w:val="28"/>
          <w:szCs w:val="28"/>
          <w:vertAlign w:val="subscript"/>
        </w:rPr>
        <w:t>3</w:t>
      </w:r>
      <w:r>
        <w:rPr>
          <w:rFonts w:hint="eastAsia"/>
          <w:color w:val="auto"/>
          <w:sz w:val="28"/>
          <w:szCs w:val="28"/>
        </w:rPr>
        <w:t>↑</w:t>
      </w:r>
    </w:p>
    <w:p>
      <w:pPr>
        <w:jc w:val="center"/>
        <w:rPr>
          <w:color w:val="auto"/>
          <w:sz w:val="28"/>
          <w:szCs w:val="28"/>
        </w:rPr>
      </w:pPr>
      <w:r>
        <w:rPr>
          <w:rFonts w:hint="eastAsia"/>
          <w:color w:val="auto"/>
          <w:sz w:val="28"/>
          <w:szCs w:val="28"/>
        </w:rPr>
        <w:t>2Li</w:t>
      </w:r>
      <w:r>
        <w:rPr>
          <w:color w:val="auto"/>
          <w:sz w:val="28"/>
          <w:szCs w:val="28"/>
        </w:rPr>
        <w:t>+2</w:t>
      </w:r>
      <w:r>
        <w:rPr>
          <w:rFonts w:hint="eastAsia"/>
          <w:color w:val="auto"/>
          <w:sz w:val="28"/>
          <w:szCs w:val="28"/>
        </w:rPr>
        <w:t>H</w:t>
      </w:r>
      <w:r>
        <w:rPr>
          <w:color w:val="auto"/>
          <w:sz w:val="28"/>
          <w:szCs w:val="28"/>
          <w:vertAlign w:val="subscript"/>
        </w:rPr>
        <w:t>2</w:t>
      </w:r>
      <w:r>
        <w:rPr>
          <w:rFonts w:hint="eastAsia"/>
          <w:color w:val="auto"/>
          <w:sz w:val="28"/>
          <w:szCs w:val="28"/>
        </w:rPr>
        <w:t>O</w:t>
      </w:r>
      <w:r>
        <w:rPr>
          <w:color w:val="auto"/>
          <w:sz w:val="28"/>
          <w:szCs w:val="28"/>
        </w:rPr>
        <w:t>=2</w:t>
      </w:r>
      <w:r>
        <w:rPr>
          <w:rFonts w:hint="eastAsia"/>
          <w:color w:val="auto"/>
          <w:sz w:val="28"/>
          <w:szCs w:val="28"/>
        </w:rPr>
        <w:t>LiOH</w:t>
      </w:r>
      <w:r>
        <w:rPr>
          <w:color w:val="auto"/>
          <w:sz w:val="28"/>
          <w:szCs w:val="28"/>
        </w:rPr>
        <w:t>+</w:t>
      </w:r>
      <w:r>
        <w:rPr>
          <w:rFonts w:hint="eastAsia"/>
          <w:color w:val="auto"/>
          <w:sz w:val="28"/>
          <w:szCs w:val="28"/>
        </w:rPr>
        <w:t>H</w:t>
      </w:r>
      <w:r>
        <w:rPr>
          <w:color w:val="auto"/>
          <w:sz w:val="28"/>
          <w:szCs w:val="28"/>
          <w:vertAlign w:val="subscript"/>
        </w:rPr>
        <w:t>2</w:t>
      </w:r>
      <w:r>
        <w:rPr>
          <w:rFonts w:hint="eastAsia"/>
          <w:color w:val="auto"/>
          <w:sz w:val="28"/>
          <w:szCs w:val="28"/>
        </w:rPr>
        <w:t>↑</w:t>
      </w:r>
    </w:p>
    <w:p>
      <w:pPr>
        <w:jc w:val="center"/>
        <w:rPr>
          <w:color w:val="auto"/>
          <w:sz w:val="28"/>
          <w:szCs w:val="28"/>
        </w:rPr>
      </w:pPr>
      <w:r>
        <w:rPr>
          <w:rFonts w:hint="eastAsia"/>
          <w:color w:val="auto"/>
          <w:sz w:val="28"/>
          <w:szCs w:val="28"/>
        </w:rPr>
        <w:t>LiOH</w:t>
      </w:r>
      <w:r>
        <w:rPr>
          <w:color w:val="auto"/>
          <w:sz w:val="28"/>
          <w:szCs w:val="28"/>
        </w:rPr>
        <w:t>+</w:t>
      </w:r>
      <w:r>
        <w:rPr>
          <w:rFonts w:hint="eastAsia"/>
          <w:color w:val="auto"/>
          <w:sz w:val="28"/>
          <w:szCs w:val="28"/>
        </w:rPr>
        <w:t>NH</w:t>
      </w:r>
      <w:r>
        <w:rPr>
          <w:color w:val="auto"/>
          <w:sz w:val="28"/>
          <w:szCs w:val="28"/>
          <w:vertAlign w:val="subscript"/>
        </w:rPr>
        <w:t>4</w:t>
      </w:r>
      <w:r>
        <w:rPr>
          <w:rFonts w:hint="eastAsia"/>
          <w:color w:val="auto"/>
          <w:sz w:val="28"/>
          <w:szCs w:val="28"/>
        </w:rPr>
        <w:t>Cl</w:t>
      </w:r>
      <w:r>
        <w:rPr>
          <w:color w:val="auto"/>
          <w:sz w:val="28"/>
          <w:szCs w:val="28"/>
        </w:rPr>
        <w:t>=</w:t>
      </w:r>
      <w:r>
        <w:rPr>
          <w:rFonts w:hint="eastAsia"/>
          <w:color w:val="auto"/>
          <w:sz w:val="28"/>
          <w:szCs w:val="28"/>
        </w:rPr>
        <w:t>LiCl</w:t>
      </w:r>
      <w:r>
        <w:rPr>
          <w:color w:val="auto"/>
          <w:sz w:val="28"/>
          <w:szCs w:val="28"/>
        </w:rPr>
        <w:t>+</w:t>
      </w:r>
      <w:r>
        <w:rPr>
          <w:rFonts w:hint="eastAsia"/>
          <w:color w:val="auto"/>
          <w:sz w:val="28"/>
          <w:szCs w:val="28"/>
        </w:rPr>
        <w:t>NH</w:t>
      </w:r>
      <w:r>
        <w:rPr>
          <w:color w:val="auto"/>
          <w:sz w:val="28"/>
          <w:szCs w:val="28"/>
          <w:vertAlign w:val="subscript"/>
        </w:rPr>
        <w:t>3</w:t>
      </w:r>
      <w:r>
        <w:rPr>
          <w:rFonts w:hint="eastAsia"/>
          <w:color w:val="auto"/>
          <w:sz w:val="28"/>
          <w:szCs w:val="28"/>
        </w:rPr>
        <w:t>↑</w:t>
      </w:r>
      <w:r>
        <w:rPr>
          <w:color w:val="auto"/>
          <w:sz w:val="28"/>
          <w:szCs w:val="28"/>
        </w:rPr>
        <w:t>+</w:t>
      </w:r>
      <w:r>
        <w:rPr>
          <w:rFonts w:hint="eastAsia"/>
          <w:color w:val="auto"/>
          <w:sz w:val="28"/>
          <w:szCs w:val="28"/>
        </w:rPr>
        <w:t>H</w:t>
      </w:r>
      <w:r>
        <w:rPr>
          <w:color w:val="auto"/>
          <w:sz w:val="28"/>
          <w:szCs w:val="28"/>
          <w:vertAlign w:val="subscript"/>
        </w:rPr>
        <w:t>2</w:t>
      </w:r>
      <w:r>
        <w:rPr>
          <w:rFonts w:hint="eastAsia"/>
          <w:color w:val="auto"/>
          <w:sz w:val="28"/>
          <w:szCs w:val="28"/>
        </w:rPr>
        <w:t>O</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⑤重排反应</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主反应：</w:t>
      </w:r>
    </w:p>
    <w:p>
      <w:pPr>
        <w:jc w:val="center"/>
        <w:rPr>
          <w:color w:val="auto"/>
        </w:rPr>
      </w:pPr>
      <w:r>
        <w:rPr>
          <w:color w:val="auto"/>
        </w:rPr>
        <w:drawing>
          <wp:inline distT="0" distB="0" distL="0" distR="0">
            <wp:extent cx="5034915" cy="18288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034915" cy="1828800"/>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副反应：</w:t>
      </w:r>
    </w:p>
    <w:p>
      <w:pPr>
        <w:pStyle w:val="79"/>
        <w:jc w:val="center"/>
        <w:rPr>
          <w:color w:val="auto"/>
        </w:rPr>
      </w:pPr>
      <w:r>
        <w:rPr>
          <w:color w:val="auto"/>
        </w:rPr>
        <w:drawing>
          <wp:inline distT="0" distB="0" distL="0" distR="0">
            <wp:extent cx="4667250" cy="12585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667250" cy="1258570"/>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⑥双羟化反应</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主反应：</w:t>
      </w:r>
    </w:p>
    <w:p>
      <w:pPr>
        <w:jc w:val="center"/>
        <w:rPr>
          <w:color w:val="auto"/>
        </w:rPr>
      </w:pPr>
      <w:r>
        <w:rPr>
          <w:color w:val="auto"/>
        </w:rPr>
        <w:drawing>
          <wp:inline distT="0" distB="0" distL="0" distR="0">
            <wp:extent cx="5177790" cy="1662430"/>
            <wp:effectExtent l="0" t="0" r="381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177790" cy="1662430"/>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副反应：</w:t>
      </w:r>
    </w:p>
    <w:p>
      <w:pPr>
        <w:jc w:val="center"/>
        <w:rPr>
          <w:color w:val="auto"/>
        </w:rPr>
      </w:pPr>
      <w:r>
        <w:rPr>
          <w:color w:val="auto"/>
        </w:rPr>
        <w:drawing>
          <wp:inline distT="0" distB="0" distL="0" distR="0">
            <wp:extent cx="4738370" cy="1401445"/>
            <wp:effectExtent l="0" t="0" r="508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738370" cy="1401445"/>
                    </a:xfrm>
                    <a:prstGeom prst="rect">
                      <a:avLst/>
                    </a:prstGeom>
                    <a:noFill/>
                    <a:ln>
                      <a:noFill/>
                    </a:ln>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⑦内酯化反应</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主反应：</w:t>
      </w:r>
    </w:p>
    <w:p>
      <w:pPr>
        <w:jc w:val="center"/>
        <w:rPr>
          <w:color w:val="auto"/>
        </w:rPr>
      </w:pPr>
      <w:r>
        <w:rPr>
          <w:color w:val="auto"/>
        </w:rPr>
        <w:drawing>
          <wp:inline distT="0" distB="0" distL="0" distR="0">
            <wp:extent cx="6008370" cy="1808480"/>
            <wp:effectExtent l="0" t="0" r="0" b="1270"/>
            <wp:docPr id="76992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21498" name="图片 1"/>
                    <pic:cNvPicPr>
                      <a:picLocks noChangeAspect="1"/>
                    </pic:cNvPicPr>
                  </pic:nvPicPr>
                  <pic:blipFill>
                    <a:blip r:embed="rId34"/>
                    <a:stretch>
                      <a:fillRect/>
                    </a:stretch>
                  </pic:blipFill>
                  <pic:spPr>
                    <a:xfrm>
                      <a:off x="0" y="0"/>
                      <a:ext cx="6039632" cy="1818141"/>
                    </a:xfrm>
                    <a:prstGeom prst="rect">
                      <a:avLst/>
                    </a:prstGeom>
                  </pic:spPr>
                </pic:pic>
              </a:graphicData>
            </a:graphic>
          </wp:inline>
        </w:drawing>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副反应：</w:t>
      </w:r>
    </w:p>
    <w:p>
      <w:pPr>
        <w:jc w:val="center"/>
        <w:rPr>
          <w:color w:val="auto"/>
        </w:rPr>
      </w:pPr>
      <w:r>
        <w:rPr>
          <w:color w:val="auto"/>
        </w:rPr>
        <w:drawing>
          <wp:inline distT="0" distB="0" distL="0" distR="0">
            <wp:extent cx="4940300" cy="1496060"/>
            <wp:effectExtent l="0" t="0" r="0" b="88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940300" cy="1496060"/>
                    </a:xfrm>
                    <a:prstGeom prst="rect">
                      <a:avLst/>
                    </a:prstGeom>
                    <a:noFill/>
                    <a:ln>
                      <a:noFill/>
                    </a:ln>
                  </pic:spPr>
                </pic:pic>
              </a:graphicData>
            </a:graphic>
          </wp:inline>
        </w:drawing>
      </w:r>
    </w:p>
    <w:p>
      <w:pPr>
        <w:jc w:val="center"/>
        <w:rPr>
          <w:color w:val="auto"/>
          <w:sz w:val="24"/>
          <w:szCs w:val="24"/>
        </w:rPr>
      </w:pPr>
      <w:r>
        <w:rPr>
          <w:rFonts w:hint="eastAsia"/>
          <w:color w:val="auto"/>
          <w:sz w:val="24"/>
          <w:szCs w:val="24"/>
        </w:rPr>
        <w:t>（CF</w:t>
      </w:r>
      <w:r>
        <w:rPr>
          <w:color w:val="auto"/>
          <w:sz w:val="24"/>
          <w:szCs w:val="24"/>
          <w:vertAlign w:val="subscript"/>
        </w:rPr>
        <w:t>3</w:t>
      </w:r>
      <w:r>
        <w:rPr>
          <w:rFonts w:hint="eastAsia"/>
          <w:color w:val="auto"/>
          <w:sz w:val="24"/>
          <w:szCs w:val="24"/>
        </w:rPr>
        <w:t>CO）</w:t>
      </w:r>
      <w:r>
        <w:rPr>
          <w:rFonts w:hint="eastAsia"/>
          <w:color w:val="auto"/>
          <w:sz w:val="24"/>
          <w:szCs w:val="24"/>
          <w:vertAlign w:val="subscript"/>
        </w:rPr>
        <w:t>2</w:t>
      </w:r>
      <w:r>
        <w:rPr>
          <w:rFonts w:hint="eastAsia"/>
          <w:color w:val="auto"/>
          <w:sz w:val="24"/>
          <w:szCs w:val="24"/>
        </w:rPr>
        <w:t>O</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r>
        <w:rPr>
          <w:color w:val="auto"/>
          <w:sz w:val="24"/>
          <w:szCs w:val="24"/>
          <w:vertAlign w:val="subscript"/>
        </w:rPr>
        <w:t>2</w:t>
      </w:r>
      <w:r>
        <w:rPr>
          <w:rFonts w:hint="eastAsia"/>
          <w:color w:val="auto"/>
          <w:sz w:val="24"/>
          <w:szCs w:val="24"/>
        </w:rPr>
        <w:t>→CF</w:t>
      </w:r>
      <w:r>
        <w:rPr>
          <w:color w:val="auto"/>
          <w:sz w:val="24"/>
          <w:szCs w:val="24"/>
          <w:vertAlign w:val="subscript"/>
        </w:rPr>
        <w:t>3</w:t>
      </w:r>
      <w:r>
        <w:rPr>
          <w:rFonts w:hint="eastAsia"/>
          <w:color w:val="auto"/>
          <w:sz w:val="24"/>
          <w:szCs w:val="24"/>
        </w:rPr>
        <w:t>COOOH（过氧三氟乙酸）+CF</w:t>
      </w:r>
      <w:r>
        <w:rPr>
          <w:color w:val="auto"/>
          <w:sz w:val="24"/>
          <w:szCs w:val="24"/>
          <w:vertAlign w:val="subscript"/>
        </w:rPr>
        <w:t>3</w:t>
      </w:r>
      <w:r>
        <w:rPr>
          <w:rFonts w:hint="eastAsia"/>
          <w:color w:val="auto"/>
          <w:sz w:val="24"/>
          <w:szCs w:val="24"/>
        </w:rPr>
        <w:t>COOH</w:t>
      </w:r>
    </w:p>
    <w:p>
      <w:pPr>
        <w:jc w:val="center"/>
        <w:rPr>
          <w:color w:val="auto"/>
          <w:sz w:val="24"/>
          <w:szCs w:val="24"/>
        </w:rPr>
      </w:pPr>
      <w:r>
        <w:rPr>
          <w:rFonts w:hint="eastAsia"/>
          <w:color w:val="auto"/>
          <w:sz w:val="24"/>
          <w:szCs w:val="24"/>
        </w:rPr>
        <w:t>2CF</w:t>
      </w:r>
      <w:r>
        <w:rPr>
          <w:color w:val="auto"/>
          <w:sz w:val="24"/>
          <w:szCs w:val="24"/>
          <w:vertAlign w:val="subscript"/>
        </w:rPr>
        <w:t>3</w:t>
      </w:r>
      <w:r>
        <w:rPr>
          <w:rFonts w:hint="eastAsia"/>
          <w:color w:val="auto"/>
          <w:sz w:val="24"/>
          <w:szCs w:val="24"/>
        </w:rPr>
        <w:t>COOH</w:t>
      </w:r>
      <w:r>
        <w:rPr>
          <w:color w:val="auto"/>
          <w:sz w:val="24"/>
          <w:szCs w:val="24"/>
        </w:rPr>
        <w:t>+</w:t>
      </w:r>
      <w:r>
        <w:rPr>
          <w:rFonts w:hint="eastAsia"/>
          <w:color w:val="auto"/>
          <w:sz w:val="24"/>
          <w:szCs w:val="24"/>
        </w:rPr>
        <w:t>K</w:t>
      </w:r>
      <w:r>
        <w:rPr>
          <w:color w:val="auto"/>
          <w:sz w:val="24"/>
          <w:szCs w:val="24"/>
          <w:vertAlign w:val="subscript"/>
        </w:rPr>
        <w:t>2</w:t>
      </w:r>
      <w:r>
        <w:rPr>
          <w:rFonts w:hint="eastAsia"/>
          <w:color w:val="auto"/>
          <w:sz w:val="24"/>
          <w:szCs w:val="24"/>
        </w:rPr>
        <w:t>CO</w:t>
      </w:r>
      <w:r>
        <w:rPr>
          <w:color w:val="auto"/>
          <w:sz w:val="24"/>
          <w:szCs w:val="24"/>
          <w:vertAlign w:val="subscript"/>
        </w:rPr>
        <w:t>3</w:t>
      </w:r>
      <w:r>
        <w:rPr>
          <w:rFonts w:hint="eastAsia"/>
          <w:color w:val="auto"/>
          <w:sz w:val="24"/>
          <w:szCs w:val="24"/>
        </w:rPr>
        <w:t>→2CF</w:t>
      </w:r>
      <w:r>
        <w:rPr>
          <w:color w:val="auto"/>
          <w:sz w:val="24"/>
          <w:szCs w:val="24"/>
          <w:vertAlign w:val="subscript"/>
        </w:rPr>
        <w:t>3</w:t>
      </w:r>
      <w:r>
        <w:rPr>
          <w:rFonts w:hint="eastAsia"/>
          <w:color w:val="auto"/>
          <w:sz w:val="24"/>
          <w:szCs w:val="24"/>
        </w:rPr>
        <w:t>COOK</w:t>
      </w:r>
      <w:r>
        <w:rPr>
          <w:color w:val="auto"/>
          <w:sz w:val="24"/>
          <w:szCs w:val="24"/>
        </w:rPr>
        <w:t>+</w:t>
      </w:r>
      <w:r>
        <w:rPr>
          <w:rFonts w:hint="eastAsia"/>
          <w:color w:val="auto"/>
          <w:sz w:val="24"/>
          <w:szCs w:val="24"/>
        </w:rPr>
        <w:t>CO</w:t>
      </w:r>
      <w:r>
        <w:rPr>
          <w:color w:val="auto"/>
          <w:sz w:val="24"/>
          <w:szCs w:val="24"/>
          <w:vertAlign w:val="subscript"/>
        </w:rPr>
        <w:t>2</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p>
    <w:p>
      <w:pPr>
        <w:jc w:val="center"/>
        <w:rPr>
          <w:color w:val="auto"/>
          <w:sz w:val="24"/>
          <w:szCs w:val="24"/>
        </w:rPr>
      </w:pPr>
      <w:r>
        <w:rPr>
          <w:rFonts w:hint="eastAsia"/>
          <w:color w:val="auto"/>
          <w:sz w:val="24"/>
          <w:szCs w:val="24"/>
        </w:rPr>
        <w:t>2NaHSO</w:t>
      </w:r>
      <w:r>
        <w:rPr>
          <w:color w:val="auto"/>
          <w:sz w:val="24"/>
          <w:szCs w:val="24"/>
          <w:vertAlign w:val="subscript"/>
        </w:rPr>
        <w:t>4</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r>
        <w:rPr>
          <w:color w:val="auto"/>
          <w:sz w:val="24"/>
          <w:szCs w:val="24"/>
          <w:vertAlign w:val="subscript"/>
        </w:rPr>
        <w:t>2</w:t>
      </w:r>
      <w:r>
        <w:rPr>
          <w:rFonts w:hint="eastAsia"/>
          <w:color w:val="auto"/>
          <w:sz w:val="24"/>
          <w:szCs w:val="24"/>
        </w:rPr>
        <w:t>→2</w:t>
      </w:r>
      <w:r>
        <w:rPr>
          <w:color w:val="auto"/>
          <w:sz w:val="24"/>
          <w:szCs w:val="24"/>
        </w:rPr>
        <w:t>Na</w:t>
      </w:r>
      <w:r>
        <w:rPr>
          <w:color w:val="auto"/>
          <w:sz w:val="24"/>
          <w:szCs w:val="24"/>
          <w:vertAlign w:val="subscript"/>
        </w:rPr>
        <w:t>2</w:t>
      </w:r>
      <w:r>
        <w:rPr>
          <w:color w:val="auto"/>
          <w:sz w:val="24"/>
          <w:szCs w:val="24"/>
        </w:rPr>
        <w:t>SO</w:t>
      </w:r>
      <w:r>
        <w:rPr>
          <w:color w:val="auto"/>
          <w:sz w:val="24"/>
          <w:szCs w:val="24"/>
          <w:vertAlign w:val="subscript"/>
        </w:rPr>
        <w:t>4</w:t>
      </w:r>
      <w:r>
        <w:rPr>
          <w:color w:val="auto"/>
          <w:sz w:val="24"/>
          <w:szCs w:val="24"/>
        </w:rPr>
        <w:t>+SO</w:t>
      </w:r>
      <w:r>
        <w:rPr>
          <w:rFonts w:hint="eastAsia"/>
          <w:color w:val="auto"/>
          <w:sz w:val="24"/>
          <w:szCs w:val="24"/>
          <w:vertAlign w:val="subscript"/>
        </w:rPr>
        <w:t>2</w:t>
      </w:r>
      <w:r>
        <w:rPr>
          <w:color w:val="auto"/>
          <w:sz w:val="24"/>
          <w:szCs w:val="24"/>
        </w:rPr>
        <w:t>+2H</w:t>
      </w:r>
      <w:r>
        <w:rPr>
          <w:color w:val="auto"/>
          <w:sz w:val="24"/>
          <w:szCs w:val="24"/>
          <w:vertAlign w:val="subscript"/>
        </w:rPr>
        <w:t>2</w:t>
      </w:r>
      <w:r>
        <w:rPr>
          <w:color w:val="auto"/>
          <w:sz w:val="24"/>
          <w:szCs w:val="24"/>
        </w:rPr>
        <w:t>O</w:t>
      </w:r>
    </w:p>
    <w:p>
      <w:pPr>
        <w:jc w:val="center"/>
        <w:rPr>
          <w:color w:val="auto"/>
          <w:sz w:val="24"/>
          <w:szCs w:val="24"/>
          <w:vertAlign w:val="subscript"/>
        </w:rPr>
      </w:pPr>
      <w:r>
        <w:rPr>
          <w:rFonts w:hint="eastAsia"/>
          <w:color w:val="auto"/>
          <w:sz w:val="24"/>
          <w:szCs w:val="24"/>
        </w:rPr>
        <w:t>S</w:t>
      </w:r>
      <w:r>
        <w:rPr>
          <w:color w:val="auto"/>
          <w:sz w:val="24"/>
          <w:szCs w:val="24"/>
        </w:rPr>
        <w:t>O</w:t>
      </w:r>
      <w:r>
        <w:rPr>
          <w:color w:val="auto"/>
          <w:sz w:val="24"/>
          <w:szCs w:val="24"/>
          <w:vertAlign w:val="subscript"/>
        </w:rPr>
        <w:t>2</w:t>
      </w:r>
      <w:r>
        <w:rPr>
          <w:color w:val="auto"/>
          <w:sz w:val="24"/>
          <w:szCs w:val="24"/>
        </w:rPr>
        <w:t>+2K</w:t>
      </w:r>
      <w:r>
        <w:rPr>
          <w:color w:val="auto"/>
          <w:sz w:val="24"/>
          <w:szCs w:val="24"/>
          <w:vertAlign w:val="subscript"/>
        </w:rPr>
        <w:t>2</w:t>
      </w:r>
      <w:r>
        <w:rPr>
          <w:color w:val="auto"/>
          <w:sz w:val="24"/>
          <w:szCs w:val="24"/>
        </w:rPr>
        <w:t>CO</w:t>
      </w:r>
      <w:r>
        <w:rPr>
          <w:color w:val="auto"/>
          <w:sz w:val="24"/>
          <w:szCs w:val="24"/>
          <w:vertAlign w:val="subscript"/>
        </w:rPr>
        <w:t>3</w:t>
      </w:r>
      <w:r>
        <w:rPr>
          <w:color w:val="auto"/>
          <w:sz w:val="24"/>
          <w:szCs w:val="24"/>
        </w:rPr>
        <w:t>+H</w:t>
      </w:r>
      <w:r>
        <w:rPr>
          <w:color w:val="auto"/>
          <w:sz w:val="24"/>
          <w:szCs w:val="24"/>
          <w:vertAlign w:val="subscript"/>
        </w:rPr>
        <w:t>2</w:t>
      </w:r>
      <w:r>
        <w:rPr>
          <w:color w:val="auto"/>
          <w:sz w:val="24"/>
          <w:szCs w:val="24"/>
        </w:rPr>
        <w:t>O</w:t>
      </w:r>
      <w:r>
        <w:rPr>
          <w:rFonts w:hint="eastAsia"/>
          <w:color w:val="auto"/>
          <w:sz w:val="24"/>
          <w:szCs w:val="24"/>
        </w:rPr>
        <w:t>→K</w:t>
      </w:r>
      <w:r>
        <w:rPr>
          <w:color w:val="auto"/>
          <w:sz w:val="24"/>
          <w:szCs w:val="24"/>
          <w:vertAlign w:val="subscript"/>
        </w:rPr>
        <w:t>2</w:t>
      </w:r>
      <w:r>
        <w:rPr>
          <w:color w:val="auto"/>
          <w:sz w:val="24"/>
          <w:szCs w:val="24"/>
        </w:rPr>
        <w:t>SO</w:t>
      </w:r>
      <w:r>
        <w:rPr>
          <w:color w:val="auto"/>
          <w:sz w:val="24"/>
          <w:szCs w:val="24"/>
          <w:vertAlign w:val="subscript"/>
        </w:rPr>
        <w:t>3</w:t>
      </w:r>
      <w:r>
        <w:rPr>
          <w:color w:val="auto"/>
          <w:sz w:val="24"/>
          <w:szCs w:val="24"/>
        </w:rPr>
        <w:t>+KHCO</w:t>
      </w:r>
      <w:r>
        <w:rPr>
          <w:color w:val="auto"/>
          <w:sz w:val="24"/>
          <w:szCs w:val="24"/>
          <w:vertAlign w:val="subscript"/>
        </w:rPr>
        <w:t>3</w:t>
      </w:r>
    </w:p>
    <w:p>
      <w:pPr>
        <w:pStyle w:val="11"/>
        <w:spacing w:line="360" w:lineRule="auto"/>
        <w:ind w:firstLine="562" w:firstLineChars="200"/>
        <w:rPr>
          <w:rFonts w:ascii="宋体" w:hAnsi="宋体"/>
          <w:b/>
          <w:bCs/>
          <w:color w:val="auto"/>
          <w:sz w:val="28"/>
          <w:szCs w:val="28"/>
        </w:rPr>
      </w:pPr>
      <w:r>
        <w:rPr>
          <w:rFonts w:hint="eastAsia" w:ascii="宋体" w:hAnsi="宋体"/>
          <w:b/>
          <w:bCs/>
          <w:color w:val="auto"/>
          <w:sz w:val="28"/>
          <w:szCs w:val="28"/>
        </w:rPr>
        <w:t>2）生产工艺简述</w:t>
      </w:r>
    </w:p>
    <w:p>
      <w:pPr>
        <w:pStyle w:val="11"/>
        <w:spacing w:line="360" w:lineRule="auto"/>
        <w:ind w:firstLine="562" w:firstLineChars="200"/>
        <w:rPr>
          <w:b/>
          <w:bCs/>
          <w:color w:val="auto"/>
          <w:sz w:val="28"/>
          <w:szCs w:val="28"/>
        </w:rPr>
      </w:pPr>
      <w:r>
        <w:rPr>
          <w:b/>
          <w:bCs/>
          <w:color w:val="auto"/>
          <w:sz w:val="28"/>
          <w:szCs w:val="28"/>
        </w:rPr>
        <w:t>（1）磺酰化反应</w:t>
      </w:r>
    </w:p>
    <w:p>
      <w:pPr>
        <w:pStyle w:val="78"/>
        <w:ind w:firstLine="560" w:firstLineChars="200"/>
        <w:jc w:val="both"/>
        <w:rPr>
          <w:color w:val="auto"/>
          <w:sz w:val="28"/>
          <w:szCs w:val="28"/>
        </w:rPr>
      </w:pPr>
      <w:r>
        <w:rPr>
          <w:rFonts w:hint="eastAsia" w:ascii="宋体" w:hAnsi="宋体" w:cs="宋体"/>
          <w:color w:val="auto"/>
          <w:sz w:val="28"/>
          <w:szCs w:val="28"/>
        </w:rPr>
        <w:t>①</w:t>
      </w:r>
      <w:r>
        <w:rPr>
          <w:color w:val="auto"/>
          <w:sz w:val="28"/>
          <w:szCs w:val="28"/>
        </w:rPr>
        <w:t>反应：将暂存于四氢呋喃高位暂储罐的四氢呋喃，自流至计量罐，再通过四氢呋喃计量罐将四氢呋喃自流至反应釜(内置搅拌器)中，再投入麦角甾醇，搅拌溶解，搅拌下通过三乙胺计量罐加入三乙胺，继续降温至0℃以下，通过甲基磺酰氯计量罐缓慢滴加甲基磺酰氯，控制反应温度不超过5℃</w:t>
      </w:r>
      <w:r>
        <w:rPr>
          <w:rFonts w:hint="eastAsia"/>
          <w:color w:val="auto"/>
          <w:sz w:val="28"/>
          <w:szCs w:val="28"/>
        </w:rPr>
        <w:t>，</w:t>
      </w:r>
      <w:r>
        <w:rPr>
          <w:color w:val="auto"/>
          <w:sz w:val="28"/>
          <w:szCs w:val="28"/>
        </w:rPr>
        <w:t>滴加完后，在同样的温度下搅拌反应1h。</w:t>
      </w:r>
    </w:p>
    <w:p>
      <w:pPr>
        <w:pStyle w:val="78"/>
        <w:ind w:firstLine="560" w:firstLineChars="200"/>
        <w:jc w:val="both"/>
        <w:rPr>
          <w:color w:val="auto"/>
          <w:sz w:val="28"/>
          <w:szCs w:val="28"/>
        </w:rPr>
      </w:pPr>
      <w:r>
        <w:rPr>
          <w:rFonts w:hint="eastAsia" w:ascii="宋体" w:hAnsi="宋体" w:cs="宋体"/>
          <w:color w:val="auto"/>
          <w:sz w:val="28"/>
          <w:szCs w:val="28"/>
        </w:rPr>
        <w:t>②</w:t>
      </w:r>
      <w:r>
        <w:rPr>
          <w:color w:val="auto"/>
          <w:sz w:val="28"/>
          <w:szCs w:val="28"/>
        </w:rPr>
        <w:t>后处理：反应结束后，溶剂层</w:t>
      </w:r>
      <w:r>
        <w:rPr>
          <w:rFonts w:hint="eastAsia"/>
          <w:color w:val="auto"/>
          <w:sz w:val="28"/>
          <w:szCs w:val="28"/>
        </w:rPr>
        <w:t>进行脱溶，脱溶过程反应釜真空度</w:t>
      </w:r>
      <w:r>
        <w:rPr>
          <w:color w:val="auto"/>
          <w:sz w:val="28"/>
          <w:szCs w:val="28"/>
        </w:rPr>
        <w:t>0.08</w:t>
      </w:r>
      <w:r>
        <w:rPr>
          <w:rFonts w:hint="eastAsia"/>
          <w:color w:val="auto"/>
          <w:sz w:val="28"/>
          <w:szCs w:val="28"/>
        </w:rPr>
        <w:t>MPa，脱溶温度6</w:t>
      </w:r>
      <w:r>
        <w:rPr>
          <w:color w:val="auto"/>
          <w:sz w:val="28"/>
          <w:szCs w:val="28"/>
        </w:rPr>
        <w:t>6</w:t>
      </w:r>
      <w:r>
        <w:rPr>
          <w:rFonts w:hint="eastAsia"/>
          <w:color w:val="auto"/>
          <w:sz w:val="28"/>
          <w:szCs w:val="28"/>
        </w:rPr>
        <w:t>℃，脱溶气经</w:t>
      </w:r>
      <w:r>
        <w:rPr>
          <w:color w:val="auto"/>
          <w:sz w:val="28"/>
          <w:szCs w:val="28"/>
        </w:rPr>
        <w:t>二级冷凝回收四氢呋喃用于下批次套用；加入</w:t>
      </w:r>
      <w:r>
        <w:rPr>
          <w:rFonts w:hint="eastAsia"/>
          <w:color w:val="auto"/>
          <w:sz w:val="28"/>
          <w:szCs w:val="28"/>
        </w:rPr>
        <w:t>1</w:t>
      </w:r>
      <w:r>
        <w:rPr>
          <w:color w:val="auto"/>
          <w:sz w:val="28"/>
          <w:szCs w:val="28"/>
        </w:rPr>
        <w:t>5%</w:t>
      </w:r>
      <w:r>
        <w:rPr>
          <w:rFonts w:hint="eastAsia"/>
          <w:color w:val="auto"/>
          <w:sz w:val="28"/>
          <w:szCs w:val="28"/>
        </w:rPr>
        <w:t>NaCl</w:t>
      </w:r>
      <w:r>
        <w:rPr>
          <w:color w:val="auto"/>
          <w:sz w:val="28"/>
          <w:szCs w:val="28"/>
        </w:rPr>
        <w:t>水</w:t>
      </w:r>
      <w:r>
        <w:rPr>
          <w:rFonts w:hint="eastAsia"/>
          <w:color w:val="auto"/>
          <w:sz w:val="28"/>
          <w:szCs w:val="28"/>
        </w:rPr>
        <w:t>溶液进行</w:t>
      </w:r>
      <w:r>
        <w:rPr>
          <w:color w:val="auto"/>
          <w:sz w:val="28"/>
          <w:szCs w:val="28"/>
        </w:rPr>
        <w:t>洗涤</w:t>
      </w:r>
      <w:r>
        <w:rPr>
          <w:rFonts w:hint="eastAsia"/>
          <w:color w:val="auto"/>
          <w:sz w:val="28"/>
          <w:szCs w:val="28"/>
        </w:rPr>
        <w:t>、离心分层</w:t>
      </w:r>
      <w:r>
        <w:rPr>
          <w:color w:val="auto"/>
          <w:sz w:val="28"/>
          <w:szCs w:val="28"/>
        </w:rPr>
        <w:t>，搅拌</w:t>
      </w:r>
      <w:r>
        <w:rPr>
          <w:rFonts w:hint="eastAsia"/>
          <w:color w:val="auto"/>
          <w:sz w:val="28"/>
          <w:szCs w:val="28"/>
        </w:rPr>
        <w:t>时间</w:t>
      </w:r>
      <w:r>
        <w:rPr>
          <w:color w:val="auto"/>
          <w:sz w:val="28"/>
          <w:szCs w:val="28"/>
        </w:rPr>
        <w:t>1小时后，固体Z1转入下步反应，水层作为废水收集后去污水处理</w:t>
      </w:r>
      <w:r>
        <w:rPr>
          <w:rFonts w:hint="eastAsia"/>
          <w:color w:val="auto"/>
          <w:sz w:val="28"/>
          <w:szCs w:val="28"/>
        </w:rPr>
        <w:t>站</w:t>
      </w:r>
      <w:r>
        <w:rPr>
          <w:color w:val="auto"/>
          <w:sz w:val="28"/>
          <w:szCs w:val="28"/>
        </w:rPr>
        <w:t>。</w:t>
      </w:r>
    </w:p>
    <w:p>
      <w:pPr>
        <w:pStyle w:val="11"/>
        <w:spacing w:line="360" w:lineRule="auto"/>
        <w:ind w:firstLine="562" w:firstLineChars="200"/>
        <w:rPr>
          <w:b/>
          <w:bCs/>
          <w:color w:val="auto"/>
          <w:sz w:val="28"/>
          <w:szCs w:val="28"/>
        </w:rPr>
      </w:pPr>
      <w:r>
        <w:rPr>
          <w:b/>
          <w:bCs/>
          <w:color w:val="auto"/>
          <w:sz w:val="28"/>
          <w:szCs w:val="28"/>
        </w:rPr>
        <w:t>（2）水解反应</w:t>
      </w:r>
    </w:p>
    <w:p>
      <w:pPr>
        <w:pStyle w:val="78"/>
        <w:ind w:firstLine="560" w:firstLineChars="200"/>
        <w:jc w:val="both"/>
        <w:rPr>
          <w:color w:val="auto"/>
          <w:sz w:val="28"/>
          <w:szCs w:val="28"/>
        </w:rPr>
      </w:pPr>
      <w:r>
        <w:rPr>
          <w:rFonts w:hint="eastAsia" w:ascii="宋体" w:hAnsi="宋体" w:cs="宋体"/>
          <w:color w:val="auto"/>
          <w:sz w:val="28"/>
          <w:szCs w:val="28"/>
        </w:rPr>
        <w:t>①</w:t>
      </w:r>
      <w:r>
        <w:rPr>
          <w:color w:val="auto"/>
          <w:sz w:val="28"/>
          <w:szCs w:val="28"/>
        </w:rPr>
        <w:t>反应：将暂存于丙酮高位暂储罐的丙酮，自流至计量罐，再通过丙酮计量罐将丙酮自流至反应釜(内置搅拌器)中，再投入麦角甾醇甲磺化物中间产物Z1，搅拌溶解；</w:t>
      </w:r>
      <w:r>
        <w:rPr>
          <w:rFonts w:hint="eastAsia"/>
          <w:color w:val="auto"/>
          <w:sz w:val="28"/>
          <w:szCs w:val="28"/>
        </w:rPr>
        <w:t>在配置釜中配置碳酸氢钾溶液，将配置好的碳酸氢钾溶液</w:t>
      </w:r>
      <w:r>
        <w:rPr>
          <w:color w:val="auto"/>
          <w:sz w:val="28"/>
          <w:szCs w:val="28"/>
        </w:rPr>
        <w:t>与上步溶剂层混合，搅拌1h升温55℃至回流，反应5h以上。</w:t>
      </w:r>
    </w:p>
    <w:p>
      <w:pPr>
        <w:pStyle w:val="78"/>
        <w:ind w:firstLine="560" w:firstLineChars="200"/>
        <w:jc w:val="both"/>
        <w:rPr>
          <w:color w:val="auto"/>
          <w:sz w:val="28"/>
          <w:szCs w:val="28"/>
        </w:rPr>
      </w:pPr>
      <w:r>
        <w:rPr>
          <w:rFonts w:hint="eastAsia" w:ascii="宋体" w:hAnsi="宋体" w:cs="宋体"/>
          <w:color w:val="auto"/>
          <w:sz w:val="28"/>
          <w:szCs w:val="28"/>
        </w:rPr>
        <w:t>②</w:t>
      </w:r>
      <w:r>
        <w:rPr>
          <w:color w:val="auto"/>
          <w:sz w:val="28"/>
          <w:szCs w:val="28"/>
        </w:rPr>
        <w:t>脱溶：反应结束后，</w:t>
      </w:r>
      <w:r>
        <w:rPr>
          <w:rFonts w:hint="eastAsia"/>
          <w:color w:val="auto"/>
          <w:sz w:val="28"/>
          <w:szCs w:val="28"/>
        </w:rPr>
        <w:t>溶剂层进行减压蒸馏，蒸馏条件为-</w:t>
      </w:r>
      <w:r>
        <w:rPr>
          <w:color w:val="auto"/>
          <w:sz w:val="28"/>
          <w:szCs w:val="28"/>
        </w:rPr>
        <w:t>0.08</w:t>
      </w:r>
      <w:r>
        <w:rPr>
          <w:rFonts w:hint="eastAsia"/>
          <w:color w:val="auto"/>
          <w:sz w:val="28"/>
          <w:szCs w:val="28"/>
        </w:rPr>
        <w:t>MPa，6</w:t>
      </w:r>
      <w:r>
        <w:rPr>
          <w:color w:val="auto"/>
          <w:sz w:val="28"/>
          <w:szCs w:val="28"/>
        </w:rPr>
        <w:t>0</w:t>
      </w:r>
      <w:r>
        <w:rPr>
          <w:rFonts w:hint="eastAsia"/>
          <w:color w:val="auto"/>
          <w:sz w:val="28"/>
          <w:szCs w:val="28"/>
        </w:rPr>
        <w:t>℃，</w:t>
      </w:r>
      <w:r>
        <w:rPr>
          <w:color w:val="auto"/>
          <w:sz w:val="28"/>
          <w:szCs w:val="28"/>
        </w:rPr>
        <w:t>二级冷凝回收丙酮用于下批次套用。</w:t>
      </w:r>
    </w:p>
    <w:p>
      <w:pPr>
        <w:pStyle w:val="78"/>
        <w:ind w:firstLine="560" w:firstLineChars="200"/>
        <w:jc w:val="both"/>
        <w:rPr>
          <w:color w:val="auto"/>
          <w:sz w:val="28"/>
          <w:szCs w:val="28"/>
        </w:rPr>
      </w:pPr>
      <w:r>
        <w:rPr>
          <w:rFonts w:hint="eastAsia" w:ascii="宋体" w:hAnsi="宋体" w:cs="宋体"/>
          <w:color w:val="auto"/>
          <w:sz w:val="28"/>
          <w:szCs w:val="28"/>
        </w:rPr>
        <w:t>③</w:t>
      </w:r>
      <w:r>
        <w:rPr>
          <w:color w:val="auto"/>
          <w:sz w:val="28"/>
          <w:szCs w:val="28"/>
        </w:rPr>
        <w:t>后处理：</w:t>
      </w:r>
      <w:r>
        <w:rPr>
          <w:rFonts w:hint="eastAsia"/>
          <w:color w:val="auto"/>
          <w:sz w:val="28"/>
          <w:szCs w:val="28"/>
        </w:rPr>
        <w:t>脱溶结束后冷却至室温，</w:t>
      </w:r>
      <w:r>
        <w:rPr>
          <w:color w:val="auto"/>
          <w:sz w:val="28"/>
          <w:szCs w:val="28"/>
        </w:rPr>
        <w:t>加入</w:t>
      </w:r>
      <w:r>
        <w:rPr>
          <w:rFonts w:hint="eastAsia"/>
          <w:color w:val="auto"/>
          <w:sz w:val="28"/>
          <w:szCs w:val="28"/>
        </w:rPr>
        <w:t>1</w:t>
      </w:r>
      <w:r>
        <w:rPr>
          <w:color w:val="auto"/>
          <w:sz w:val="28"/>
          <w:szCs w:val="28"/>
        </w:rPr>
        <w:t>5%</w:t>
      </w:r>
      <w:r>
        <w:rPr>
          <w:rFonts w:hint="eastAsia"/>
          <w:color w:val="auto"/>
          <w:sz w:val="28"/>
          <w:szCs w:val="28"/>
        </w:rPr>
        <w:t>NaCl</w:t>
      </w:r>
      <w:r>
        <w:rPr>
          <w:color w:val="auto"/>
          <w:sz w:val="28"/>
          <w:szCs w:val="28"/>
        </w:rPr>
        <w:t>水</w:t>
      </w:r>
      <w:r>
        <w:rPr>
          <w:rFonts w:hint="eastAsia"/>
          <w:color w:val="auto"/>
          <w:sz w:val="28"/>
          <w:szCs w:val="28"/>
        </w:rPr>
        <w:t>溶液</w:t>
      </w:r>
      <w:r>
        <w:rPr>
          <w:color w:val="auto"/>
          <w:sz w:val="28"/>
          <w:szCs w:val="28"/>
        </w:rPr>
        <w:t>洗涤</w:t>
      </w:r>
      <w:r>
        <w:rPr>
          <w:rFonts w:hint="eastAsia"/>
          <w:color w:val="auto"/>
          <w:sz w:val="28"/>
          <w:szCs w:val="28"/>
        </w:rPr>
        <w:t>、离心</w:t>
      </w:r>
      <w:r>
        <w:rPr>
          <w:color w:val="auto"/>
          <w:sz w:val="28"/>
          <w:szCs w:val="28"/>
        </w:rPr>
        <w:t>过滤，搅拌</w:t>
      </w:r>
      <w:r>
        <w:rPr>
          <w:rFonts w:hint="eastAsia"/>
          <w:color w:val="auto"/>
          <w:sz w:val="28"/>
          <w:szCs w:val="28"/>
        </w:rPr>
        <w:t>时间</w:t>
      </w:r>
      <w:r>
        <w:rPr>
          <w:color w:val="auto"/>
          <w:sz w:val="28"/>
          <w:szCs w:val="28"/>
        </w:rPr>
        <w:t>5小时，</w:t>
      </w:r>
      <w:r>
        <w:rPr>
          <w:rFonts w:hint="eastAsia"/>
          <w:color w:val="auto"/>
          <w:sz w:val="28"/>
          <w:szCs w:val="28"/>
        </w:rPr>
        <w:t>洗涤</w:t>
      </w:r>
      <w:r>
        <w:rPr>
          <w:color w:val="auto"/>
          <w:sz w:val="28"/>
          <w:szCs w:val="28"/>
        </w:rPr>
        <w:t>水作为废水收集后去污水处理</w:t>
      </w:r>
      <w:r>
        <w:rPr>
          <w:rFonts w:hint="eastAsia"/>
          <w:color w:val="auto"/>
          <w:sz w:val="28"/>
          <w:szCs w:val="28"/>
        </w:rPr>
        <w:t>站</w:t>
      </w:r>
      <w:r>
        <w:rPr>
          <w:color w:val="auto"/>
          <w:sz w:val="28"/>
          <w:szCs w:val="28"/>
        </w:rPr>
        <w:t>，固体Z2经烘干</w:t>
      </w:r>
      <w:r>
        <w:rPr>
          <w:rFonts w:hint="eastAsia"/>
          <w:color w:val="auto"/>
          <w:sz w:val="28"/>
          <w:szCs w:val="28"/>
        </w:rPr>
        <w:t>（5</w:t>
      </w:r>
      <w:r>
        <w:rPr>
          <w:color w:val="auto"/>
          <w:sz w:val="28"/>
          <w:szCs w:val="28"/>
        </w:rPr>
        <w:t>5</w:t>
      </w:r>
      <w:r>
        <w:rPr>
          <w:rFonts w:hint="eastAsia"/>
          <w:color w:val="auto"/>
          <w:sz w:val="28"/>
          <w:szCs w:val="28"/>
        </w:rPr>
        <w:t>℃）</w:t>
      </w:r>
      <w:r>
        <w:rPr>
          <w:color w:val="auto"/>
          <w:sz w:val="28"/>
          <w:szCs w:val="28"/>
        </w:rPr>
        <w:t>后转入下步反应。</w:t>
      </w:r>
    </w:p>
    <w:p>
      <w:pPr>
        <w:pStyle w:val="11"/>
        <w:spacing w:line="360" w:lineRule="auto"/>
        <w:ind w:firstLine="562" w:firstLineChars="200"/>
        <w:rPr>
          <w:b/>
          <w:bCs/>
          <w:color w:val="auto"/>
          <w:sz w:val="28"/>
          <w:szCs w:val="28"/>
        </w:rPr>
      </w:pPr>
      <w:r>
        <w:rPr>
          <w:b/>
          <w:bCs/>
          <w:color w:val="auto"/>
          <w:sz w:val="28"/>
          <w:szCs w:val="28"/>
        </w:rPr>
        <w:t>（3）氧化反应</w:t>
      </w:r>
    </w:p>
    <w:p>
      <w:pPr>
        <w:pStyle w:val="78"/>
        <w:ind w:firstLine="560" w:firstLineChars="200"/>
        <w:jc w:val="both"/>
        <w:rPr>
          <w:color w:val="auto"/>
          <w:sz w:val="28"/>
          <w:szCs w:val="28"/>
        </w:rPr>
      </w:pPr>
      <w:r>
        <w:rPr>
          <w:rFonts w:hint="eastAsia" w:ascii="宋体" w:hAnsi="宋体" w:cs="宋体"/>
          <w:color w:val="auto"/>
          <w:sz w:val="28"/>
          <w:szCs w:val="28"/>
        </w:rPr>
        <w:t>①</w:t>
      </w:r>
      <w:r>
        <w:rPr>
          <w:color w:val="auto"/>
          <w:sz w:val="28"/>
          <w:szCs w:val="28"/>
        </w:rPr>
        <w:t>反应：将暂存于甲苯暂储罐的甲苯，自流至计量罐，再通过甲苯计量罐将甲苯自流至反应釜(内置搅拌器)中，冷却到10℃以下，搅拌下再</w:t>
      </w:r>
      <w:r>
        <w:rPr>
          <w:rFonts w:hint="eastAsia"/>
          <w:color w:val="auto"/>
          <w:sz w:val="28"/>
          <w:szCs w:val="28"/>
        </w:rPr>
        <w:t>加入中间体</w:t>
      </w:r>
      <w:r>
        <w:rPr>
          <w:color w:val="auto"/>
          <w:sz w:val="28"/>
          <w:szCs w:val="28"/>
        </w:rPr>
        <w:t>Z2，搅拌溶解，同时加入催化剂TEMPO（四甲基哌啶氧化物），开启搅拌，逐渐滴加</w:t>
      </w:r>
      <w:r>
        <w:rPr>
          <w:rFonts w:hint="eastAsia"/>
          <w:color w:val="auto"/>
          <w:sz w:val="28"/>
          <w:szCs w:val="28"/>
        </w:rPr>
        <w:t>1</w:t>
      </w:r>
      <w:r>
        <w:rPr>
          <w:color w:val="auto"/>
          <w:sz w:val="28"/>
          <w:szCs w:val="28"/>
        </w:rPr>
        <w:t>1%次氯酸钠水溶液，控制温度在10~15℃，滴加完后再反应8小时。</w:t>
      </w:r>
    </w:p>
    <w:p>
      <w:pPr>
        <w:pStyle w:val="78"/>
        <w:widowControl w:val="0"/>
        <w:ind w:firstLine="560" w:firstLineChars="200"/>
        <w:jc w:val="both"/>
        <w:rPr>
          <w:color w:val="auto"/>
          <w:sz w:val="28"/>
          <w:szCs w:val="28"/>
        </w:rPr>
      </w:pPr>
      <w:r>
        <w:rPr>
          <w:rFonts w:hint="eastAsia" w:ascii="宋体" w:hAnsi="宋体" w:cs="宋体"/>
          <w:color w:val="auto"/>
          <w:sz w:val="28"/>
          <w:szCs w:val="28"/>
        </w:rPr>
        <w:t>②</w:t>
      </w:r>
      <w:r>
        <w:rPr>
          <w:color w:val="auto"/>
          <w:sz w:val="28"/>
          <w:szCs w:val="28"/>
        </w:rPr>
        <w:t>后处理：反应结束后，静置分层，分出水层作为</w:t>
      </w:r>
      <w:r>
        <w:rPr>
          <w:rFonts w:hint="eastAsia"/>
          <w:color w:val="auto"/>
          <w:sz w:val="28"/>
          <w:szCs w:val="28"/>
        </w:rPr>
        <w:t>废水</w:t>
      </w:r>
      <w:r>
        <w:rPr>
          <w:color w:val="auto"/>
          <w:sz w:val="28"/>
          <w:szCs w:val="28"/>
        </w:rPr>
        <w:t>收集后去往污水处理站进行处理。</w:t>
      </w:r>
      <w:r>
        <w:rPr>
          <w:rFonts w:hint="eastAsia"/>
          <w:color w:val="auto"/>
          <w:sz w:val="28"/>
          <w:szCs w:val="28"/>
        </w:rPr>
        <w:t>有机层进行甲苯脱溶，脱溶条件为-</w:t>
      </w:r>
      <w:r>
        <w:rPr>
          <w:color w:val="auto"/>
          <w:sz w:val="28"/>
          <w:szCs w:val="28"/>
        </w:rPr>
        <w:t>0.08</w:t>
      </w:r>
      <w:r>
        <w:rPr>
          <w:rFonts w:hint="eastAsia"/>
          <w:color w:val="auto"/>
          <w:sz w:val="28"/>
          <w:szCs w:val="28"/>
        </w:rPr>
        <w:t>MPa，1</w:t>
      </w:r>
      <w:r>
        <w:rPr>
          <w:color w:val="auto"/>
          <w:sz w:val="28"/>
          <w:szCs w:val="28"/>
        </w:rPr>
        <w:t>10.6</w:t>
      </w:r>
      <w:r>
        <w:rPr>
          <w:rFonts w:hint="eastAsia"/>
          <w:color w:val="auto"/>
          <w:sz w:val="28"/>
          <w:szCs w:val="28"/>
        </w:rPr>
        <w:t>℃，</w:t>
      </w:r>
      <w:r>
        <w:rPr>
          <w:color w:val="auto"/>
          <w:sz w:val="28"/>
          <w:szCs w:val="28"/>
        </w:rPr>
        <w:t>二级冷凝回收甲苯用于下批次套用。</w:t>
      </w:r>
    </w:p>
    <w:p>
      <w:pPr>
        <w:pStyle w:val="78"/>
        <w:widowControl w:val="0"/>
        <w:ind w:firstLine="560" w:firstLineChars="200"/>
        <w:jc w:val="both"/>
        <w:rPr>
          <w:color w:val="auto"/>
          <w:sz w:val="28"/>
          <w:szCs w:val="28"/>
        </w:rPr>
      </w:pPr>
      <w:r>
        <w:rPr>
          <w:rFonts w:hint="eastAsia" w:ascii="宋体" w:hAnsi="宋体" w:cs="宋体"/>
          <w:color w:val="auto"/>
          <w:sz w:val="28"/>
          <w:szCs w:val="28"/>
        </w:rPr>
        <w:t>③</w:t>
      </w:r>
      <w:r>
        <w:rPr>
          <w:color w:val="auto"/>
          <w:sz w:val="28"/>
          <w:szCs w:val="28"/>
        </w:rPr>
        <w:t>脱溶：</w:t>
      </w:r>
      <w:r>
        <w:rPr>
          <w:rFonts w:hint="eastAsia"/>
          <w:color w:val="auto"/>
          <w:sz w:val="28"/>
          <w:szCs w:val="28"/>
        </w:rPr>
        <w:t>将浓硫酸从浓硫酸高位槽逐渐流入至加有水的硫酸稀释釜中，充分搅拌后转移至稀酸计量罐中。将甲醇通过计量罐自流至反应釜终止反应，终止反应期间，加入2</w:t>
      </w:r>
      <w:r>
        <w:rPr>
          <w:color w:val="auto"/>
          <w:sz w:val="28"/>
          <w:szCs w:val="28"/>
        </w:rPr>
        <w:t>0%</w:t>
      </w:r>
      <w:r>
        <w:rPr>
          <w:rFonts w:hint="eastAsia"/>
          <w:color w:val="auto"/>
          <w:sz w:val="28"/>
          <w:szCs w:val="28"/>
        </w:rPr>
        <w:t>稀硫酸一起搅拌</w:t>
      </w:r>
      <w:r>
        <w:rPr>
          <w:color w:val="auto"/>
          <w:sz w:val="28"/>
          <w:szCs w:val="28"/>
        </w:rPr>
        <w:t>；反应完后</w:t>
      </w:r>
      <w:r>
        <w:rPr>
          <w:rFonts w:hint="eastAsia"/>
          <w:color w:val="auto"/>
          <w:sz w:val="28"/>
          <w:szCs w:val="28"/>
        </w:rPr>
        <w:t>静置分层</w:t>
      </w:r>
      <w:r>
        <w:rPr>
          <w:color w:val="auto"/>
          <w:sz w:val="28"/>
          <w:szCs w:val="28"/>
        </w:rPr>
        <w:t>，</w:t>
      </w:r>
      <w:r>
        <w:rPr>
          <w:rFonts w:hint="eastAsia"/>
          <w:color w:val="auto"/>
          <w:sz w:val="28"/>
          <w:szCs w:val="28"/>
        </w:rPr>
        <w:t>有机</w:t>
      </w:r>
      <w:r>
        <w:rPr>
          <w:color w:val="auto"/>
          <w:sz w:val="28"/>
          <w:szCs w:val="28"/>
        </w:rPr>
        <w:t>层进行</w:t>
      </w:r>
      <w:r>
        <w:rPr>
          <w:rFonts w:hint="eastAsia"/>
          <w:color w:val="auto"/>
          <w:sz w:val="28"/>
          <w:szCs w:val="28"/>
        </w:rPr>
        <w:t>减压蒸馏</w:t>
      </w:r>
      <w:r>
        <w:rPr>
          <w:color w:val="auto"/>
          <w:sz w:val="28"/>
          <w:szCs w:val="28"/>
        </w:rPr>
        <w:t>脱溶，脱溶</w:t>
      </w:r>
      <w:r>
        <w:rPr>
          <w:rFonts w:hint="eastAsia"/>
          <w:color w:val="auto"/>
          <w:sz w:val="28"/>
          <w:szCs w:val="28"/>
        </w:rPr>
        <w:t>过程</w:t>
      </w:r>
      <w:r>
        <w:rPr>
          <w:color w:val="auto"/>
          <w:sz w:val="28"/>
          <w:szCs w:val="28"/>
        </w:rPr>
        <w:t>真空度为0.08MPa，温度为45℃，两级深度冷凝回收甲醇用于下批次套用</w:t>
      </w:r>
      <w:r>
        <w:rPr>
          <w:rFonts w:hint="eastAsia"/>
          <w:color w:val="auto"/>
          <w:sz w:val="28"/>
          <w:szCs w:val="28"/>
        </w:rPr>
        <w:t>；脱溶后降至室温，用1</w:t>
      </w:r>
      <w:r>
        <w:rPr>
          <w:color w:val="auto"/>
          <w:sz w:val="28"/>
          <w:szCs w:val="28"/>
        </w:rPr>
        <w:t>5%</w:t>
      </w:r>
      <w:r>
        <w:rPr>
          <w:rFonts w:hint="eastAsia"/>
          <w:color w:val="auto"/>
          <w:sz w:val="28"/>
          <w:szCs w:val="28"/>
        </w:rPr>
        <w:t>NaCl水溶液洗涤、离心过滤，洗涤废水收集后去污水处理站，</w:t>
      </w:r>
      <w:r>
        <w:rPr>
          <w:color w:val="auto"/>
          <w:sz w:val="28"/>
          <w:szCs w:val="28"/>
        </w:rPr>
        <w:t>固体产物Z3烘干</w:t>
      </w:r>
      <w:r>
        <w:rPr>
          <w:rFonts w:hint="eastAsia"/>
          <w:color w:val="auto"/>
          <w:sz w:val="28"/>
          <w:szCs w:val="28"/>
        </w:rPr>
        <w:t>（</w:t>
      </w:r>
      <w:r>
        <w:rPr>
          <w:color w:val="auto"/>
          <w:sz w:val="28"/>
          <w:szCs w:val="28"/>
        </w:rPr>
        <w:t>55℃</w:t>
      </w:r>
      <w:r>
        <w:rPr>
          <w:rFonts w:hint="eastAsia"/>
          <w:color w:val="auto"/>
          <w:sz w:val="28"/>
          <w:szCs w:val="28"/>
        </w:rPr>
        <w:t>）</w:t>
      </w:r>
      <w:r>
        <w:rPr>
          <w:color w:val="auto"/>
          <w:sz w:val="28"/>
          <w:szCs w:val="28"/>
        </w:rPr>
        <w:t>后转下一步。</w:t>
      </w:r>
    </w:p>
    <w:p>
      <w:pPr>
        <w:pStyle w:val="78"/>
        <w:widowControl w:val="0"/>
        <w:ind w:firstLine="562" w:firstLineChars="200"/>
        <w:jc w:val="both"/>
        <w:rPr>
          <w:b/>
          <w:bCs/>
          <w:color w:val="auto"/>
          <w:sz w:val="28"/>
          <w:szCs w:val="28"/>
        </w:rPr>
      </w:pPr>
      <w:r>
        <w:rPr>
          <w:rFonts w:hint="eastAsia"/>
          <w:b/>
          <w:bCs/>
          <w:color w:val="auto"/>
          <w:sz w:val="28"/>
          <w:szCs w:val="28"/>
        </w:rPr>
        <w:t>（4）</w:t>
      </w:r>
      <w:r>
        <w:rPr>
          <w:b/>
          <w:bCs/>
          <w:color w:val="auto"/>
          <w:sz w:val="28"/>
          <w:szCs w:val="28"/>
        </w:rPr>
        <w:t>还原反应</w:t>
      </w:r>
    </w:p>
    <w:p>
      <w:pPr>
        <w:pStyle w:val="11"/>
        <w:spacing w:line="360" w:lineRule="auto"/>
        <w:ind w:firstLine="560" w:firstLineChars="200"/>
        <w:rPr>
          <w:color w:val="auto"/>
          <w:sz w:val="28"/>
          <w:szCs w:val="28"/>
        </w:rPr>
      </w:pPr>
      <w:r>
        <w:rPr>
          <w:rFonts w:hint="eastAsia"/>
          <w:color w:val="auto"/>
          <w:sz w:val="28"/>
          <w:szCs w:val="28"/>
        </w:rPr>
        <w:t>①</w:t>
      </w:r>
      <w:r>
        <w:rPr>
          <w:color w:val="auto"/>
          <w:sz w:val="28"/>
          <w:szCs w:val="28"/>
        </w:rPr>
        <w:t>反应：将暂存于四氢呋喃高位暂储罐的四氢呋喃，自流至计量罐，再通过四氢呋喃计量罐将</w:t>
      </w:r>
      <w:r>
        <w:rPr>
          <w:rFonts w:hint="eastAsia"/>
          <w:color w:val="auto"/>
          <w:sz w:val="28"/>
          <w:szCs w:val="28"/>
        </w:rPr>
        <w:t>四氢呋喃</w:t>
      </w:r>
      <w:r>
        <w:rPr>
          <w:color w:val="auto"/>
          <w:sz w:val="28"/>
          <w:szCs w:val="28"/>
        </w:rPr>
        <w:t>自流至反应釜(内置搅拌器)中，再投入麦角甾醇甲磺化物中间产物Z3，搅拌溶解；</w:t>
      </w:r>
      <w:r>
        <w:rPr>
          <w:rFonts w:hint="eastAsia"/>
          <w:color w:val="auto"/>
          <w:sz w:val="28"/>
          <w:szCs w:val="28"/>
        </w:rPr>
        <w:t>液氮由液氮储罐经管道进入反应釜内盘管，再由内盘管进入反应釜外夹套，最后经外加套后排空的冷却方式</w:t>
      </w:r>
      <w:r>
        <w:rPr>
          <w:color w:val="auto"/>
          <w:sz w:val="28"/>
          <w:szCs w:val="28"/>
        </w:rPr>
        <w:t>将反应液控制在-50℃以下</w:t>
      </w:r>
      <w:r>
        <w:rPr>
          <w:rFonts w:hint="eastAsia"/>
          <w:color w:val="auto"/>
          <w:sz w:val="28"/>
          <w:szCs w:val="28"/>
        </w:rPr>
        <w:t>，将1kg密封包装的</w:t>
      </w:r>
      <w:r>
        <w:rPr>
          <w:color w:val="auto"/>
          <w:sz w:val="28"/>
          <w:szCs w:val="28"/>
        </w:rPr>
        <w:t>金属锂</w:t>
      </w:r>
      <w:r>
        <w:rPr>
          <w:rFonts w:hint="eastAsia"/>
          <w:color w:val="auto"/>
          <w:sz w:val="28"/>
          <w:szCs w:val="28"/>
        </w:rPr>
        <w:t>放入氮气氛围的固体加料装置中分3</w:t>
      </w:r>
      <w:r>
        <w:rPr>
          <w:color w:val="auto"/>
          <w:sz w:val="28"/>
          <w:szCs w:val="28"/>
        </w:rPr>
        <w:t>~4</w:t>
      </w:r>
      <w:r>
        <w:rPr>
          <w:rFonts w:hint="eastAsia"/>
          <w:color w:val="auto"/>
          <w:sz w:val="28"/>
          <w:szCs w:val="28"/>
        </w:rPr>
        <w:t>批由加料口投入反应釜</w:t>
      </w:r>
      <w:r>
        <w:rPr>
          <w:color w:val="auto"/>
          <w:sz w:val="28"/>
          <w:szCs w:val="28"/>
        </w:rPr>
        <w:t>中，</w:t>
      </w:r>
      <w:r>
        <w:rPr>
          <w:rFonts w:hint="eastAsia"/>
          <w:color w:val="auto"/>
          <w:sz w:val="28"/>
          <w:szCs w:val="28"/>
        </w:rPr>
        <w:t>共投料4kg金属锂，</w:t>
      </w:r>
      <w:r>
        <w:rPr>
          <w:color w:val="auto"/>
          <w:sz w:val="28"/>
          <w:szCs w:val="28"/>
        </w:rPr>
        <w:t>控制反应温度-60~-50℃</w:t>
      </w:r>
      <w:r>
        <w:rPr>
          <w:rFonts w:hint="eastAsia"/>
          <w:color w:val="auto"/>
          <w:sz w:val="28"/>
          <w:szCs w:val="28"/>
        </w:rPr>
        <w:t>，再将液氨溶液通过管道</w:t>
      </w:r>
      <w:r>
        <w:rPr>
          <w:color w:val="auto"/>
          <w:sz w:val="28"/>
          <w:szCs w:val="28"/>
        </w:rPr>
        <w:t>缓慢</w:t>
      </w:r>
      <w:r>
        <w:rPr>
          <w:rFonts w:hint="eastAsia"/>
          <w:color w:val="auto"/>
          <w:sz w:val="28"/>
          <w:szCs w:val="28"/>
        </w:rPr>
        <w:t>泵入（无需汽化）至</w:t>
      </w:r>
      <w:r>
        <w:rPr>
          <w:color w:val="auto"/>
          <w:sz w:val="28"/>
          <w:szCs w:val="28"/>
        </w:rPr>
        <w:t>麦角甾醇甲磺化物中间产物Z3的四氢呋喃溶液</w:t>
      </w:r>
      <w:r>
        <w:rPr>
          <w:rFonts w:hint="eastAsia"/>
          <w:color w:val="auto"/>
          <w:sz w:val="28"/>
          <w:szCs w:val="28"/>
        </w:rPr>
        <w:t>中</w:t>
      </w:r>
      <w:r>
        <w:rPr>
          <w:color w:val="auto"/>
          <w:sz w:val="28"/>
          <w:szCs w:val="28"/>
        </w:rPr>
        <w:t>，</w:t>
      </w:r>
      <w:r>
        <w:rPr>
          <w:rFonts w:hint="eastAsia"/>
          <w:color w:val="auto"/>
          <w:sz w:val="28"/>
          <w:szCs w:val="28"/>
        </w:rPr>
        <w:t>开启搅拌，</w:t>
      </w:r>
      <w:r>
        <w:rPr>
          <w:color w:val="auto"/>
          <w:sz w:val="28"/>
          <w:szCs w:val="28"/>
        </w:rPr>
        <w:t>滴加完后，反应5h以上</w:t>
      </w:r>
      <w:r>
        <w:rPr>
          <w:rFonts w:hint="eastAsia"/>
          <w:color w:val="auto"/>
          <w:sz w:val="28"/>
          <w:szCs w:val="28"/>
        </w:rPr>
        <w:t>。该步反应主反应收率8</w:t>
      </w:r>
      <w:r>
        <w:rPr>
          <w:color w:val="auto"/>
          <w:sz w:val="28"/>
          <w:szCs w:val="28"/>
        </w:rPr>
        <w:t>0%</w:t>
      </w:r>
      <w:r>
        <w:rPr>
          <w:rFonts w:hint="eastAsia"/>
          <w:color w:val="auto"/>
          <w:sz w:val="28"/>
          <w:szCs w:val="28"/>
        </w:rPr>
        <w:t>，副反应中氨基锂和未反应完的金属锂与水生成氢氧化锂，氢氧化锂与后处理步骤的氯化铵生产氯化锂后进入废水排放</w:t>
      </w:r>
      <w:r>
        <w:rPr>
          <w:color w:val="auto"/>
          <w:sz w:val="28"/>
          <w:szCs w:val="28"/>
        </w:rPr>
        <w:t>。</w:t>
      </w:r>
      <w:r>
        <w:rPr>
          <w:rFonts w:hint="eastAsia"/>
          <w:color w:val="auto"/>
          <w:sz w:val="28"/>
          <w:szCs w:val="28"/>
        </w:rPr>
        <w:t>氨气产生量2</w:t>
      </w:r>
      <w:r>
        <w:rPr>
          <w:color w:val="auto"/>
          <w:sz w:val="28"/>
          <w:szCs w:val="28"/>
        </w:rPr>
        <w:t>10</w:t>
      </w:r>
      <w:r>
        <w:rPr>
          <w:rFonts w:hint="eastAsia"/>
          <w:color w:val="auto"/>
          <w:sz w:val="28"/>
          <w:szCs w:val="28"/>
        </w:rPr>
        <w:t>kg，氢气产生量1</w:t>
      </w:r>
      <w:r>
        <w:rPr>
          <w:color w:val="auto"/>
          <w:sz w:val="28"/>
          <w:szCs w:val="28"/>
        </w:rPr>
        <w:t>.3</w:t>
      </w:r>
      <w:r>
        <w:rPr>
          <w:rFonts w:hint="eastAsia"/>
          <w:color w:val="auto"/>
          <w:sz w:val="28"/>
          <w:szCs w:val="28"/>
        </w:rPr>
        <w:t>kg。</w:t>
      </w:r>
    </w:p>
    <w:p>
      <w:pPr>
        <w:pStyle w:val="11"/>
        <w:spacing w:line="360" w:lineRule="auto"/>
        <w:ind w:firstLine="560" w:firstLineChars="200"/>
        <w:rPr>
          <w:color w:val="auto"/>
          <w:sz w:val="28"/>
          <w:szCs w:val="28"/>
        </w:rPr>
      </w:pPr>
      <w:r>
        <w:rPr>
          <w:rFonts w:hint="eastAsia"/>
          <w:color w:val="auto"/>
          <w:sz w:val="28"/>
          <w:szCs w:val="28"/>
        </w:rPr>
        <w:t>②</w:t>
      </w:r>
      <w:r>
        <w:rPr>
          <w:color w:val="auto"/>
          <w:sz w:val="28"/>
          <w:szCs w:val="28"/>
        </w:rPr>
        <w:t>后处理：反应结束后，</w:t>
      </w:r>
      <w:r>
        <w:rPr>
          <w:rFonts w:hint="eastAsia"/>
          <w:color w:val="auto"/>
          <w:sz w:val="28"/>
          <w:szCs w:val="28"/>
        </w:rPr>
        <w:t>进行脱溶，脱溶条件为</w:t>
      </w:r>
      <w:r>
        <w:rPr>
          <w:color w:val="auto"/>
          <w:sz w:val="28"/>
          <w:szCs w:val="28"/>
        </w:rPr>
        <w:t>-0.08</w:t>
      </w:r>
      <w:r>
        <w:rPr>
          <w:rFonts w:hint="eastAsia"/>
          <w:color w:val="auto"/>
          <w:sz w:val="28"/>
          <w:szCs w:val="28"/>
        </w:rPr>
        <w:t>MPa、6</w:t>
      </w:r>
      <w:r>
        <w:rPr>
          <w:color w:val="auto"/>
          <w:sz w:val="28"/>
          <w:szCs w:val="28"/>
        </w:rPr>
        <w:t>6</w:t>
      </w:r>
      <w:r>
        <w:rPr>
          <w:rFonts w:hint="eastAsia"/>
          <w:color w:val="auto"/>
          <w:sz w:val="28"/>
          <w:szCs w:val="28"/>
        </w:rPr>
        <w:t>℃，两级冷凝回收四氢呋喃用于下批次套用，脱溶后在反应釜中</w:t>
      </w:r>
      <w:r>
        <w:rPr>
          <w:color w:val="auto"/>
          <w:sz w:val="28"/>
          <w:szCs w:val="28"/>
        </w:rPr>
        <w:t>加入</w:t>
      </w:r>
      <w:r>
        <w:rPr>
          <w:rFonts w:hint="eastAsia"/>
          <w:color w:val="auto"/>
          <w:sz w:val="28"/>
          <w:szCs w:val="28"/>
        </w:rPr>
        <w:t>2</w:t>
      </w:r>
      <w:r>
        <w:rPr>
          <w:color w:val="auto"/>
          <w:sz w:val="28"/>
          <w:szCs w:val="28"/>
        </w:rPr>
        <w:t>0%氯化铵水溶液</w:t>
      </w:r>
      <w:r>
        <w:rPr>
          <w:rFonts w:hint="eastAsia"/>
          <w:color w:val="auto"/>
          <w:sz w:val="28"/>
          <w:szCs w:val="28"/>
        </w:rPr>
        <w:t>终止反应</w:t>
      </w:r>
      <w:r>
        <w:rPr>
          <w:color w:val="auto"/>
          <w:sz w:val="28"/>
          <w:szCs w:val="28"/>
        </w:rPr>
        <w:t>，自然升温至0℃，尾气采用20%硫酸水溶液吸收。待</w:t>
      </w:r>
      <w:r>
        <w:rPr>
          <w:rFonts w:hint="eastAsia"/>
          <w:color w:val="auto"/>
          <w:sz w:val="28"/>
          <w:szCs w:val="28"/>
        </w:rPr>
        <w:t>尾</w:t>
      </w:r>
      <w:r>
        <w:rPr>
          <w:color w:val="auto"/>
          <w:sz w:val="28"/>
          <w:szCs w:val="28"/>
        </w:rPr>
        <w:t>气挥发完毕后，升温至35℃。</w:t>
      </w:r>
    </w:p>
    <w:p>
      <w:pPr>
        <w:pStyle w:val="11"/>
        <w:spacing w:line="360" w:lineRule="auto"/>
        <w:ind w:firstLine="560" w:firstLineChars="200"/>
        <w:rPr>
          <w:color w:val="auto"/>
          <w:sz w:val="28"/>
          <w:szCs w:val="28"/>
        </w:rPr>
      </w:pPr>
      <w:r>
        <w:rPr>
          <w:rFonts w:hint="eastAsia"/>
          <w:color w:val="auto"/>
          <w:sz w:val="28"/>
          <w:szCs w:val="28"/>
        </w:rPr>
        <w:t>③经暂存于乙酸乙酯暂存罐的乙酸乙酯自流至计量罐，再通过计量罐将乙酸乙酯自流至萃取精馏釜内进行萃取、</w:t>
      </w:r>
      <w:r>
        <w:rPr>
          <w:color w:val="auto"/>
          <w:sz w:val="28"/>
          <w:szCs w:val="28"/>
        </w:rPr>
        <w:t>静置</w:t>
      </w:r>
      <w:r>
        <w:rPr>
          <w:rFonts w:hint="eastAsia"/>
          <w:color w:val="auto"/>
          <w:sz w:val="28"/>
          <w:szCs w:val="28"/>
        </w:rPr>
        <w:t>分层，</w:t>
      </w:r>
      <w:r>
        <w:rPr>
          <w:color w:val="auto"/>
          <w:sz w:val="28"/>
          <w:szCs w:val="28"/>
        </w:rPr>
        <w:t>水层作为废水收集后去污水处理</w:t>
      </w:r>
      <w:r>
        <w:rPr>
          <w:rFonts w:hint="eastAsia"/>
          <w:color w:val="auto"/>
          <w:sz w:val="28"/>
          <w:szCs w:val="28"/>
        </w:rPr>
        <w:t>站</w:t>
      </w:r>
      <w:r>
        <w:rPr>
          <w:color w:val="auto"/>
          <w:sz w:val="28"/>
          <w:szCs w:val="28"/>
        </w:rPr>
        <w:t>。</w:t>
      </w:r>
      <w:r>
        <w:rPr>
          <w:rFonts w:hint="eastAsia"/>
          <w:color w:val="auto"/>
          <w:sz w:val="28"/>
          <w:szCs w:val="28"/>
        </w:rPr>
        <w:t>有机层进行减压蒸馏脱溶，脱溶条件为-</w:t>
      </w:r>
      <w:r>
        <w:rPr>
          <w:color w:val="auto"/>
          <w:sz w:val="28"/>
          <w:szCs w:val="28"/>
        </w:rPr>
        <w:t>0.08</w:t>
      </w:r>
      <w:r>
        <w:rPr>
          <w:rFonts w:hint="eastAsia"/>
          <w:color w:val="auto"/>
          <w:sz w:val="28"/>
          <w:szCs w:val="28"/>
        </w:rPr>
        <w:t>MPa、7</w:t>
      </w:r>
      <w:r>
        <w:rPr>
          <w:color w:val="auto"/>
          <w:sz w:val="28"/>
          <w:szCs w:val="28"/>
        </w:rPr>
        <w:t>8</w:t>
      </w:r>
      <w:r>
        <w:rPr>
          <w:rFonts w:hint="eastAsia"/>
          <w:color w:val="auto"/>
          <w:sz w:val="28"/>
          <w:szCs w:val="28"/>
        </w:rPr>
        <w:t>℃，</w:t>
      </w:r>
      <w:r>
        <w:rPr>
          <w:color w:val="auto"/>
          <w:sz w:val="28"/>
          <w:szCs w:val="28"/>
        </w:rPr>
        <w:t>二级冷凝回收</w:t>
      </w:r>
      <w:r>
        <w:rPr>
          <w:rFonts w:hint="eastAsia"/>
          <w:color w:val="auto"/>
          <w:sz w:val="28"/>
          <w:szCs w:val="28"/>
        </w:rPr>
        <w:t>脱溶废气</w:t>
      </w:r>
      <w:r>
        <w:rPr>
          <w:color w:val="auto"/>
          <w:sz w:val="28"/>
          <w:szCs w:val="28"/>
        </w:rPr>
        <w:t>用于下批次套用</w:t>
      </w:r>
      <w:r>
        <w:rPr>
          <w:rFonts w:hint="eastAsia"/>
          <w:color w:val="auto"/>
          <w:sz w:val="28"/>
          <w:szCs w:val="28"/>
        </w:rPr>
        <w:t>，脱溶后降至室温，</w:t>
      </w:r>
      <w:r>
        <w:rPr>
          <w:color w:val="auto"/>
          <w:sz w:val="28"/>
          <w:szCs w:val="28"/>
        </w:rPr>
        <w:t>固体产物Z4用于下一步。</w:t>
      </w:r>
    </w:p>
    <w:p>
      <w:pPr>
        <w:pStyle w:val="11"/>
        <w:spacing w:line="360" w:lineRule="auto"/>
        <w:ind w:firstLine="562" w:firstLineChars="200"/>
        <w:rPr>
          <w:b/>
          <w:bCs/>
          <w:color w:val="auto"/>
          <w:sz w:val="28"/>
          <w:szCs w:val="28"/>
        </w:rPr>
      </w:pPr>
      <w:r>
        <w:rPr>
          <w:b/>
          <w:bCs/>
          <w:color w:val="auto"/>
          <w:sz w:val="28"/>
          <w:szCs w:val="28"/>
        </w:rPr>
        <w:t>（5）</w:t>
      </w:r>
      <w:r>
        <w:rPr>
          <w:rFonts w:hint="eastAsia"/>
          <w:b/>
          <w:bCs/>
          <w:color w:val="auto"/>
          <w:sz w:val="28"/>
          <w:szCs w:val="28"/>
        </w:rPr>
        <w:t>开环</w:t>
      </w:r>
      <w:r>
        <w:rPr>
          <w:b/>
          <w:bCs/>
          <w:color w:val="auto"/>
          <w:sz w:val="28"/>
          <w:szCs w:val="28"/>
        </w:rPr>
        <w:t>反应</w:t>
      </w:r>
    </w:p>
    <w:p>
      <w:pPr>
        <w:pStyle w:val="78"/>
        <w:ind w:firstLine="560" w:firstLineChars="200"/>
        <w:jc w:val="both"/>
        <w:rPr>
          <w:color w:val="auto"/>
          <w:sz w:val="28"/>
          <w:szCs w:val="28"/>
        </w:rPr>
      </w:pPr>
      <w:r>
        <w:rPr>
          <w:rFonts w:hint="eastAsia" w:ascii="宋体" w:hAnsi="宋体" w:cs="宋体"/>
          <w:color w:val="auto"/>
          <w:sz w:val="28"/>
          <w:szCs w:val="28"/>
        </w:rPr>
        <w:t>①</w:t>
      </w:r>
      <w:r>
        <w:rPr>
          <w:color w:val="auto"/>
          <w:sz w:val="28"/>
          <w:szCs w:val="28"/>
        </w:rPr>
        <w:t>反应：</w:t>
      </w:r>
      <w:r>
        <w:rPr>
          <w:rFonts w:hint="eastAsia"/>
          <w:color w:val="auto"/>
          <w:sz w:val="28"/>
          <w:szCs w:val="28"/>
        </w:rPr>
        <w:t>DMF通过DMF暂存罐自流至计量罐中，在通过DMF自流至反应釜，在反应釜中</w:t>
      </w:r>
      <w:r>
        <w:rPr>
          <w:color w:val="auto"/>
          <w:sz w:val="28"/>
          <w:szCs w:val="28"/>
        </w:rPr>
        <w:t>将上步固体产物Z4溶于DMF中，</w:t>
      </w:r>
      <w:r>
        <w:rPr>
          <w:rFonts w:hint="eastAsia"/>
          <w:color w:val="auto"/>
          <w:sz w:val="28"/>
          <w:szCs w:val="28"/>
        </w:rPr>
        <w:t>溶解后</w:t>
      </w:r>
      <w:r>
        <w:rPr>
          <w:color w:val="auto"/>
          <w:sz w:val="28"/>
          <w:szCs w:val="28"/>
        </w:rPr>
        <w:t>加入对甲苯磺酸和NaBr搅拌，</w:t>
      </w:r>
      <w:r>
        <w:rPr>
          <w:rFonts w:hint="eastAsia"/>
          <w:color w:val="auto"/>
          <w:sz w:val="28"/>
          <w:szCs w:val="28"/>
        </w:rPr>
        <w:t>常压</w:t>
      </w:r>
      <w:r>
        <w:rPr>
          <w:color w:val="auto"/>
          <w:sz w:val="28"/>
          <w:szCs w:val="28"/>
        </w:rPr>
        <w:t>加热</w:t>
      </w:r>
      <w:r>
        <w:rPr>
          <w:rFonts w:hint="eastAsia"/>
          <w:color w:val="auto"/>
          <w:sz w:val="28"/>
          <w:szCs w:val="28"/>
        </w:rPr>
        <w:t>（1</w:t>
      </w:r>
      <w:r>
        <w:rPr>
          <w:color w:val="auto"/>
          <w:sz w:val="28"/>
          <w:szCs w:val="28"/>
        </w:rPr>
        <w:t>50</w:t>
      </w:r>
      <w:r>
        <w:rPr>
          <w:rFonts w:hint="eastAsia"/>
          <w:color w:val="auto"/>
          <w:sz w:val="28"/>
          <w:szCs w:val="28"/>
        </w:rPr>
        <w:t>℃）</w:t>
      </w:r>
      <w:r>
        <w:rPr>
          <w:color w:val="auto"/>
          <w:sz w:val="28"/>
          <w:szCs w:val="28"/>
        </w:rPr>
        <w:t>回流反应5h，</w:t>
      </w:r>
      <w:r>
        <w:rPr>
          <w:rFonts w:hint="eastAsia"/>
          <w:color w:val="auto"/>
          <w:sz w:val="28"/>
          <w:szCs w:val="28"/>
        </w:rPr>
        <w:t>加热废气经两级冷凝回收作为危废处理</w:t>
      </w:r>
      <w:r>
        <w:rPr>
          <w:color w:val="auto"/>
          <w:sz w:val="28"/>
          <w:szCs w:val="28"/>
        </w:rPr>
        <w:t>。</w:t>
      </w:r>
    </w:p>
    <w:p>
      <w:pPr>
        <w:pStyle w:val="78"/>
        <w:ind w:left="120" w:leftChars="57" w:firstLine="560" w:firstLineChars="200"/>
        <w:jc w:val="both"/>
        <w:rPr>
          <w:color w:val="auto"/>
          <w:sz w:val="28"/>
          <w:szCs w:val="28"/>
        </w:rPr>
      </w:pPr>
      <w:r>
        <w:rPr>
          <w:rFonts w:hint="eastAsia" w:ascii="宋体" w:hAnsi="宋体" w:cs="宋体"/>
          <w:color w:val="auto"/>
          <w:sz w:val="28"/>
          <w:szCs w:val="28"/>
        </w:rPr>
        <w:t>②</w:t>
      </w:r>
      <w:r>
        <w:rPr>
          <w:color w:val="auto"/>
          <w:sz w:val="28"/>
          <w:szCs w:val="28"/>
        </w:rPr>
        <w:t>后处理：反应结束后，脱溶减压蒸馏回收DMF，二级冷凝回收DMF用于下批次套用。</w:t>
      </w:r>
    </w:p>
    <w:p>
      <w:pPr>
        <w:pStyle w:val="78"/>
        <w:ind w:left="120" w:leftChars="57" w:firstLine="560" w:firstLineChars="200"/>
        <w:jc w:val="both"/>
        <w:rPr>
          <w:color w:val="auto"/>
          <w:sz w:val="28"/>
          <w:szCs w:val="28"/>
        </w:rPr>
      </w:pPr>
      <w:r>
        <w:rPr>
          <w:color w:val="auto"/>
          <w:sz w:val="28"/>
          <w:szCs w:val="28"/>
        </w:rPr>
        <w:t>脱溶后，冷却至室温，</w:t>
      </w:r>
      <w:r>
        <w:rPr>
          <w:rFonts w:hint="eastAsia"/>
          <w:color w:val="auto"/>
          <w:sz w:val="28"/>
          <w:szCs w:val="28"/>
        </w:rPr>
        <w:t>将暂存于乙酸乙酯暂存罐的乙酸乙酯自流至计量罐，在通过计量罐自流至萃取精馏釜中，同时通过计量罐加入</w:t>
      </w:r>
      <w:r>
        <w:rPr>
          <w:color w:val="auto"/>
          <w:sz w:val="28"/>
          <w:szCs w:val="28"/>
        </w:rPr>
        <w:t>水，搅拌溶解至透明（大约30分钟），静置分层。水层作为废水收集后去污水处理</w:t>
      </w:r>
      <w:r>
        <w:rPr>
          <w:rFonts w:hint="eastAsia"/>
          <w:color w:val="auto"/>
          <w:sz w:val="28"/>
          <w:szCs w:val="28"/>
        </w:rPr>
        <w:t>站</w:t>
      </w:r>
      <w:r>
        <w:rPr>
          <w:color w:val="auto"/>
          <w:sz w:val="28"/>
          <w:szCs w:val="28"/>
        </w:rPr>
        <w:t>；溶剂层脱溶，</w:t>
      </w:r>
      <w:r>
        <w:rPr>
          <w:rFonts w:hint="eastAsia"/>
          <w:color w:val="auto"/>
          <w:sz w:val="28"/>
          <w:szCs w:val="28"/>
        </w:rPr>
        <w:t>脱溶条件为-</w:t>
      </w:r>
      <w:r>
        <w:rPr>
          <w:color w:val="auto"/>
          <w:sz w:val="28"/>
          <w:szCs w:val="28"/>
        </w:rPr>
        <w:t>0.08</w:t>
      </w:r>
      <w:r>
        <w:rPr>
          <w:rFonts w:hint="eastAsia"/>
          <w:color w:val="auto"/>
          <w:sz w:val="28"/>
          <w:szCs w:val="28"/>
        </w:rPr>
        <w:t>MPa、7</w:t>
      </w:r>
      <w:r>
        <w:rPr>
          <w:color w:val="auto"/>
          <w:sz w:val="28"/>
          <w:szCs w:val="28"/>
        </w:rPr>
        <w:t>8</w:t>
      </w:r>
      <w:r>
        <w:rPr>
          <w:rFonts w:hint="eastAsia"/>
          <w:color w:val="auto"/>
          <w:sz w:val="28"/>
          <w:szCs w:val="28"/>
        </w:rPr>
        <w:t>℃，</w:t>
      </w:r>
      <w:r>
        <w:rPr>
          <w:color w:val="auto"/>
          <w:sz w:val="28"/>
          <w:szCs w:val="28"/>
        </w:rPr>
        <w:t>二级冷凝回收乙酸乙酯</w:t>
      </w:r>
      <w:r>
        <w:rPr>
          <w:rFonts w:hint="eastAsia"/>
          <w:color w:val="auto"/>
          <w:sz w:val="28"/>
          <w:szCs w:val="28"/>
        </w:rPr>
        <w:t>回</w:t>
      </w:r>
      <w:r>
        <w:rPr>
          <w:color w:val="auto"/>
          <w:sz w:val="28"/>
          <w:szCs w:val="28"/>
        </w:rPr>
        <w:t>用；产物Z5去双羟基化反应处理。</w:t>
      </w:r>
    </w:p>
    <w:p>
      <w:pPr>
        <w:pStyle w:val="11"/>
        <w:spacing w:line="360" w:lineRule="auto"/>
        <w:ind w:firstLine="562" w:firstLineChars="200"/>
        <w:rPr>
          <w:b/>
          <w:bCs/>
          <w:color w:val="auto"/>
          <w:sz w:val="28"/>
          <w:szCs w:val="28"/>
        </w:rPr>
      </w:pPr>
      <w:r>
        <w:rPr>
          <w:b/>
          <w:bCs/>
          <w:color w:val="auto"/>
          <w:sz w:val="28"/>
          <w:szCs w:val="28"/>
        </w:rPr>
        <w:t>（6）双羟化反应</w:t>
      </w:r>
    </w:p>
    <w:p>
      <w:pPr>
        <w:pStyle w:val="78"/>
        <w:ind w:left="239" w:leftChars="114" w:firstLine="560" w:firstLineChars="200"/>
        <w:jc w:val="both"/>
        <w:rPr>
          <w:color w:val="auto"/>
          <w:sz w:val="28"/>
          <w:szCs w:val="28"/>
        </w:rPr>
      </w:pPr>
      <w:r>
        <w:rPr>
          <w:rFonts w:hint="eastAsia" w:ascii="宋体" w:hAnsi="宋体" w:cs="宋体"/>
          <w:color w:val="auto"/>
          <w:sz w:val="28"/>
          <w:szCs w:val="28"/>
        </w:rPr>
        <w:t>①</w:t>
      </w:r>
      <w:r>
        <w:rPr>
          <w:color w:val="auto"/>
          <w:sz w:val="28"/>
          <w:szCs w:val="28"/>
        </w:rPr>
        <w:t>反应：</w:t>
      </w:r>
      <w:r>
        <w:rPr>
          <w:rFonts w:hint="eastAsia"/>
          <w:color w:val="auto"/>
          <w:sz w:val="28"/>
          <w:szCs w:val="28"/>
        </w:rPr>
        <w:t>将</w:t>
      </w:r>
      <w:r>
        <w:rPr>
          <w:color w:val="auto"/>
          <w:sz w:val="28"/>
          <w:szCs w:val="28"/>
        </w:rPr>
        <w:t>叔丁醇</w:t>
      </w:r>
      <w:r>
        <w:rPr>
          <w:rFonts w:hint="eastAsia"/>
          <w:color w:val="auto"/>
          <w:sz w:val="28"/>
          <w:szCs w:val="28"/>
        </w:rPr>
        <w:t>自流至反应釜，再</w:t>
      </w:r>
      <w:r>
        <w:rPr>
          <w:color w:val="auto"/>
          <w:sz w:val="28"/>
          <w:szCs w:val="28"/>
        </w:rPr>
        <w:t>向反应釜中投入上步产物Z5，</w:t>
      </w:r>
      <w:r>
        <w:rPr>
          <w:rFonts w:hint="eastAsia"/>
          <w:color w:val="auto"/>
          <w:sz w:val="28"/>
          <w:szCs w:val="28"/>
        </w:rPr>
        <w:t>升温至5</w:t>
      </w:r>
      <w:r>
        <w:rPr>
          <w:color w:val="auto"/>
          <w:sz w:val="28"/>
          <w:szCs w:val="28"/>
        </w:rPr>
        <w:t>0</w:t>
      </w:r>
      <w:r>
        <w:rPr>
          <w:rFonts w:hint="eastAsia"/>
          <w:color w:val="auto"/>
          <w:sz w:val="28"/>
          <w:szCs w:val="28"/>
        </w:rPr>
        <w:t>℃</w:t>
      </w:r>
      <w:r>
        <w:rPr>
          <w:color w:val="auto"/>
          <w:sz w:val="28"/>
          <w:szCs w:val="28"/>
        </w:rPr>
        <w:t>搅拌溶解。另取铁氰化钾和碳酸钾、锇酸钾投入配制釜加水搅拌溶解后转入反应釜，再向反应釜中投入甲基磺酰胺、奎尼丁，</w:t>
      </w:r>
      <w:r>
        <w:rPr>
          <w:rFonts w:hint="eastAsia"/>
          <w:color w:val="auto"/>
          <w:sz w:val="28"/>
          <w:szCs w:val="28"/>
        </w:rPr>
        <w:t>降至</w:t>
      </w:r>
      <w:r>
        <w:rPr>
          <w:color w:val="auto"/>
          <w:sz w:val="28"/>
          <w:szCs w:val="28"/>
        </w:rPr>
        <w:t>室温下连续搅拌5天。</w:t>
      </w:r>
    </w:p>
    <w:p>
      <w:pPr>
        <w:pStyle w:val="78"/>
        <w:ind w:firstLine="560" w:firstLineChars="200"/>
        <w:jc w:val="both"/>
        <w:rPr>
          <w:color w:val="auto"/>
          <w:sz w:val="28"/>
          <w:szCs w:val="28"/>
        </w:rPr>
      </w:pPr>
      <w:r>
        <w:rPr>
          <w:rFonts w:hint="eastAsia" w:ascii="宋体" w:hAnsi="宋体" w:cs="宋体"/>
          <w:color w:val="auto"/>
          <w:sz w:val="28"/>
          <w:szCs w:val="28"/>
        </w:rPr>
        <w:t>②</w:t>
      </w:r>
      <w:r>
        <w:rPr>
          <w:color w:val="auto"/>
          <w:sz w:val="28"/>
          <w:szCs w:val="28"/>
        </w:rPr>
        <w:t>后处理：反应结束后，边搅拌边压滤放料，滤渣</w:t>
      </w:r>
      <w:r>
        <w:rPr>
          <w:rFonts w:hint="eastAsia"/>
          <w:color w:val="auto"/>
          <w:sz w:val="28"/>
          <w:szCs w:val="28"/>
        </w:rPr>
        <w:t>作</w:t>
      </w:r>
      <w:r>
        <w:rPr>
          <w:color w:val="auto"/>
          <w:sz w:val="28"/>
          <w:szCs w:val="28"/>
        </w:rPr>
        <w:t>为固废，委托有资质单位处置；滤液静置分层，水层作为废水收集后去污水处理</w:t>
      </w:r>
      <w:r>
        <w:rPr>
          <w:rFonts w:hint="eastAsia"/>
          <w:color w:val="auto"/>
          <w:sz w:val="28"/>
          <w:szCs w:val="28"/>
        </w:rPr>
        <w:t>站</w:t>
      </w:r>
      <w:r>
        <w:rPr>
          <w:color w:val="auto"/>
          <w:sz w:val="28"/>
          <w:szCs w:val="28"/>
        </w:rPr>
        <w:t>；溶剂层分次加入NaHSO</w:t>
      </w:r>
      <w:r>
        <w:rPr>
          <w:color w:val="auto"/>
          <w:sz w:val="28"/>
          <w:szCs w:val="28"/>
          <w:vertAlign w:val="subscript"/>
        </w:rPr>
        <w:t>3</w:t>
      </w:r>
      <w:r>
        <w:rPr>
          <w:color w:val="auto"/>
          <w:sz w:val="28"/>
          <w:szCs w:val="28"/>
        </w:rPr>
        <w:t>水溶液搅拌洗涤，</w:t>
      </w:r>
      <w:r>
        <w:rPr>
          <w:rFonts w:hint="eastAsia"/>
          <w:color w:val="auto"/>
          <w:sz w:val="28"/>
          <w:szCs w:val="28"/>
        </w:rPr>
        <w:t>洗涤</w:t>
      </w:r>
      <w:r>
        <w:rPr>
          <w:color w:val="auto"/>
          <w:sz w:val="28"/>
          <w:szCs w:val="28"/>
        </w:rPr>
        <w:t>水作为废水收集后去污水处理</w:t>
      </w:r>
      <w:r>
        <w:rPr>
          <w:rFonts w:hint="eastAsia"/>
          <w:color w:val="auto"/>
          <w:sz w:val="28"/>
          <w:szCs w:val="28"/>
        </w:rPr>
        <w:t>站</w:t>
      </w:r>
      <w:r>
        <w:rPr>
          <w:color w:val="auto"/>
          <w:sz w:val="28"/>
          <w:szCs w:val="28"/>
        </w:rPr>
        <w:t>。</w:t>
      </w:r>
      <w:r>
        <w:rPr>
          <w:rFonts w:hint="eastAsia"/>
          <w:color w:val="auto"/>
          <w:sz w:val="28"/>
          <w:szCs w:val="28"/>
        </w:rPr>
        <w:t>洗涤后进行脱溶，脱溶条件为-</w:t>
      </w:r>
      <w:r>
        <w:rPr>
          <w:color w:val="auto"/>
          <w:sz w:val="28"/>
          <w:szCs w:val="28"/>
        </w:rPr>
        <w:t>0.08</w:t>
      </w:r>
      <w:r>
        <w:rPr>
          <w:rFonts w:hint="eastAsia"/>
          <w:color w:val="auto"/>
          <w:sz w:val="28"/>
          <w:szCs w:val="28"/>
        </w:rPr>
        <w:t>MPa、9</w:t>
      </w:r>
      <w:r>
        <w:rPr>
          <w:color w:val="auto"/>
          <w:sz w:val="28"/>
          <w:szCs w:val="28"/>
        </w:rPr>
        <w:t>0</w:t>
      </w:r>
      <w:r>
        <w:rPr>
          <w:rFonts w:hint="eastAsia"/>
          <w:color w:val="auto"/>
          <w:sz w:val="28"/>
          <w:szCs w:val="28"/>
        </w:rPr>
        <w:t>℃，经两级冷凝回收叔丁醇。</w:t>
      </w:r>
    </w:p>
    <w:p>
      <w:pPr>
        <w:pStyle w:val="78"/>
        <w:ind w:firstLine="560" w:firstLineChars="200"/>
        <w:jc w:val="both"/>
        <w:rPr>
          <w:color w:val="auto"/>
          <w:sz w:val="28"/>
          <w:szCs w:val="28"/>
        </w:rPr>
      </w:pPr>
      <w:r>
        <w:rPr>
          <w:rFonts w:hint="eastAsia" w:ascii="宋体" w:hAnsi="宋体" w:cs="宋体"/>
          <w:color w:val="auto"/>
          <w:sz w:val="28"/>
          <w:szCs w:val="28"/>
        </w:rPr>
        <w:t>③</w:t>
      </w:r>
      <w:r>
        <w:rPr>
          <w:color w:val="auto"/>
          <w:sz w:val="28"/>
          <w:szCs w:val="28"/>
        </w:rPr>
        <w:t>粗品纯化：</w:t>
      </w:r>
      <w:r>
        <w:rPr>
          <w:rFonts w:hint="eastAsia"/>
          <w:color w:val="auto"/>
          <w:sz w:val="28"/>
          <w:szCs w:val="28"/>
        </w:rPr>
        <w:t>将</w:t>
      </w:r>
      <w:r>
        <w:rPr>
          <w:color w:val="auto"/>
          <w:sz w:val="28"/>
          <w:szCs w:val="28"/>
        </w:rPr>
        <w:t>脱</w:t>
      </w:r>
      <w:r>
        <w:rPr>
          <w:rFonts w:hint="eastAsia"/>
          <w:color w:val="auto"/>
          <w:sz w:val="28"/>
          <w:szCs w:val="28"/>
        </w:rPr>
        <w:t>溶</w:t>
      </w:r>
      <w:r>
        <w:rPr>
          <w:color w:val="auto"/>
          <w:sz w:val="28"/>
          <w:szCs w:val="28"/>
        </w:rPr>
        <w:t>的粗产品</w:t>
      </w:r>
      <w:r>
        <w:rPr>
          <w:rFonts w:hint="eastAsia"/>
          <w:color w:val="auto"/>
          <w:sz w:val="28"/>
          <w:szCs w:val="28"/>
        </w:rPr>
        <w:t>加入至脱溶结晶釜</w:t>
      </w:r>
      <w:r>
        <w:rPr>
          <w:color w:val="auto"/>
          <w:sz w:val="28"/>
          <w:szCs w:val="28"/>
        </w:rPr>
        <w:t>中，</w:t>
      </w:r>
      <w:r>
        <w:rPr>
          <w:rFonts w:hint="eastAsia"/>
          <w:color w:val="auto"/>
          <w:sz w:val="28"/>
          <w:szCs w:val="28"/>
        </w:rPr>
        <w:t>将暂存于乙酸乙酯暂存罐的乙酸乙酯自流至计量罐，再从计量罐自流至反应釜，同时通过计量罐加入</w:t>
      </w:r>
      <w:r>
        <w:rPr>
          <w:color w:val="auto"/>
          <w:sz w:val="28"/>
          <w:szCs w:val="28"/>
        </w:rPr>
        <w:t>水，</w:t>
      </w:r>
      <w:r>
        <w:rPr>
          <w:rFonts w:hint="eastAsia"/>
          <w:color w:val="auto"/>
          <w:sz w:val="28"/>
          <w:szCs w:val="28"/>
        </w:rPr>
        <w:t>搅拌溶解至透明，静置分层，</w:t>
      </w:r>
      <w:r>
        <w:rPr>
          <w:color w:val="auto"/>
          <w:sz w:val="28"/>
          <w:szCs w:val="28"/>
        </w:rPr>
        <w:t>水层作为废水收集后去污水处理</w:t>
      </w:r>
      <w:r>
        <w:rPr>
          <w:rFonts w:hint="eastAsia"/>
          <w:color w:val="auto"/>
          <w:sz w:val="28"/>
          <w:szCs w:val="28"/>
        </w:rPr>
        <w:t>站</w:t>
      </w:r>
      <w:r>
        <w:rPr>
          <w:color w:val="auto"/>
          <w:sz w:val="28"/>
          <w:szCs w:val="28"/>
        </w:rPr>
        <w:t>。</w:t>
      </w:r>
    </w:p>
    <w:p>
      <w:pPr>
        <w:pStyle w:val="78"/>
        <w:ind w:firstLine="560" w:firstLineChars="200"/>
        <w:jc w:val="both"/>
        <w:rPr>
          <w:color w:val="auto"/>
          <w:sz w:val="28"/>
          <w:szCs w:val="28"/>
        </w:rPr>
      </w:pPr>
      <w:r>
        <w:rPr>
          <w:color w:val="auto"/>
          <w:sz w:val="28"/>
          <w:szCs w:val="28"/>
        </w:rPr>
        <w:t>溶剂层</w:t>
      </w:r>
      <w:r>
        <w:rPr>
          <w:rFonts w:hint="eastAsia"/>
          <w:color w:val="auto"/>
          <w:sz w:val="28"/>
          <w:szCs w:val="28"/>
        </w:rPr>
        <w:t>在结晶釜中降温至-10~-5℃</w:t>
      </w:r>
      <w:r>
        <w:rPr>
          <w:color w:val="auto"/>
          <w:sz w:val="28"/>
          <w:szCs w:val="28"/>
        </w:rPr>
        <w:t>结晶，结晶析出固体中间产物抽滤待用。结晶母液</w:t>
      </w:r>
      <w:r>
        <w:rPr>
          <w:rFonts w:hint="eastAsia"/>
          <w:color w:val="auto"/>
          <w:sz w:val="28"/>
          <w:szCs w:val="28"/>
        </w:rPr>
        <w:t>装</w:t>
      </w:r>
      <w:r>
        <w:rPr>
          <w:color w:val="auto"/>
          <w:sz w:val="28"/>
          <w:szCs w:val="28"/>
        </w:rPr>
        <w:t>柱</w:t>
      </w:r>
      <w:r>
        <w:rPr>
          <w:rFonts w:hint="eastAsia"/>
          <w:color w:val="auto"/>
          <w:sz w:val="28"/>
          <w:szCs w:val="28"/>
        </w:rPr>
        <w:t>（柱层析直径3</w:t>
      </w:r>
      <w:r>
        <w:rPr>
          <w:color w:val="auto"/>
          <w:sz w:val="28"/>
          <w:szCs w:val="28"/>
        </w:rPr>
        <w:t>0</w:t>
      </w:r>
      <w:r>
        <w:rPr>
          <w:rFonts w:hint="eastAsia"/>
          <w:color w:val="auto"/>
          <w:sz w:val="28"/>
          <w:szCs w:val="28"/>
        </w:rPr>
        <w:t>cm、高度1</w:t>
      </w:r>
      <w:r>
        <w:rPr>
          <w:color w:val="auto"/>
          <w:sz w:val="28"/>
          <w:szCs w:val="28"/>
        </w:rPr>
        <w:t>50</w:t>
      </w:r>
      <w:r>
        <w:rPr>
          <w:rFonts w:hint="eastAsia"/>
          <w:color w:val="auto"/>
          <w:sz w:val="28"/>
          <w:szCs w:val="28"/>
        </w:rPr>
        <w:t>cm）</w:t>
      </w:r>
      <w:r>
        <w:rPr>
          <w:color w:val="auto"/>
          <w:sz w:val="28"/>
          <w:szCs w:val="28"/>
        </w:rPr>
        <w:t>，柱层析用硅胶填柱，</w:t>
      </w:r>
      <w:r>
        <w:rPr>
          <w:rFonts w:hint="eastAsia"/>
          <w:color w:val="auto"/>
          <w:sz w:val="28"/>
          <w:szCs w:val="28"/>
        </w:rPr>
        <w:t>通过氮气加压洗脱，</w:t>
      </w:r>
      <w:r>
        <w:rPr>
          <w:color w:val="auto"/>
          <w:sz w:val="28"/>
          <w:szCs w:val="28"/>
        </w:rPr>
        <w:t>硅胶柱</w:t>
      </w:r>
      <w:r>
        <w:rPr>
          <w:rFonts w:hint="eastAsia"/>
          <w:color w:val="auto"/>
          <w:sz w:val="28"/>
          <w:szCs w:val="28"/>
        </w:rPr>
        <w:t>作</w:t>
      </w:r>
      <w:r>
        <w:rPr>
          <w:color w:val="auto"/>
          <w:sz w:val="28"/>
          <w:szCs w:val="28"/>
        </w:rPr>
        <w:t>为固废，委托有资质单位处置；过柱后分别收集到含</w:t>
      </w:r>
      <w:r>
        <w:rPr>
          <w:rFonts w:hint="eastAsia"/>
          <w:color w:val="auto"/>
          <w:sz w:val="28"/>
          <w:szCs w:val="28"/>
        </w:rPr>
        <w:t>奎尼丁母液、含</w:t>
      </w:r>
      <w:r>
        <w:rPr>
          <w:color w:val="auto"/>
          <w:sz w:val="28"/>
          <w:szCs w:val="28"/>
        </w:rPr>
        <w:t>杂质母液和含产物母液分别脱溶，</w:t>
      </w:r>
      <w:r>
        <w:rPr>
          <w:rFonts w:hint="eastAsia"/>
          <w:color w:val="auto"/>
          <w:sz w:val="28"/>
          <w:szCs w:val="28"/>
        </w:rPr>
        <w:t>脱溶条件为-</w:t>
      </w:r>
      <w:r>
        <w:rPr>
          <w:color w:val="auto"/>
          <w:sz w:val="28"/>
          <w:szCs w:val="28"/>
        </w:rPr>
        <w:t>0.08</w:t>
      </w:r>
      <w:r>
        <w:rPr>
          <w:rFonts w:hint="eastAsia"/>
          <w:color w:val="auto"/>
          <w:sz w:val="28"/>
          <w:szCs w:val="28"/>
        </w:rPr>
        <w:t>MPa、7</w:t>
      </w:r>
      <w:r>
        <w:rPr>
          <w:color w:val="auto"/>
          <w:sz w:val="28"/>
          <w:szCs w:val="28"/>
        </w:rPr>
        <w:t>8</w:t>
      </w:r>
      <w:r>
        <w:rPr>
          <w:rFonts w:hint="eastAsia"/>
          <w:color w:val="auto"/>
          <w:sz w:val="28"/>
          <w:szCs w:val="28"/>
        </w:rPr>
        <w:t>℃，</w:t>
      </w:r>
      <w:r>
        <w:rPr>
          <w:color w:val="auto"/>
          <w:sz w:val="28"/>
          <w:szCs w:val="28"/>
        </w:rPr>
        <w:t>二级冷凝回收乙酸乙酯下批次套用。</w:t>
      </w:r>
    </w:p>
    <w:p>
      <w:pPr>
        <w:pStyle w:val="78"/>
        <w:ind w:firstLine="560" w:firstLineChars="200"/>
        <w:jc w:val="both"/>
        <w:rPr>
          <w:color w:val="auto"/>
          <w:sz w:val="28"/>
          <w:szCs w:val="28"/>
        </w:rPr>
      </w:pPr>
      <w:r>
        <w:rPr>
          <w:color w:val="auto"/>
          <w:sz w:val="28"/>
          <w:szCs w:val="28"/>
        </w:rPr>
        <w:t>蒸馏残渣</w:t>
      </w:r>
      <w:r>
        <w:rPr>
          <w:rFonts w:hint="eastAsia"/>
          <w:color w:val="auto"/>
          <w:sz w:val="28"/>
          <w:szCs w:val="28"/>
        </w:rPr>
        <w:t>作</w:t>
      </w:r>
      <w:r>
        <w:rPr>
          <w:color w:val="auto"/>
          <w:sz w:val="28"/>
          <w:szCs w:val="28"/>
        </w:rPr>
        <w:t>为固废，委托有资质单位处置；脱溶回收产物与结晶产物z6一并经热风烘干</w:t>
      </w:r>
      <w:r>
        <w:rPr>
          <w:rFonts w:hint="eastAsia"/>
          <w:color w:val="auto"/>
          <w:sz w:val="28"/>
          <w:szCs w:val="28"/>
        </w:rPr>
        <w:t>（5</w:t>
      </w:r>
      <w:r>
        <w:rPr>
          <w:color w:val="auto"/>
          <w:sz w:val="28"/>
          <w:szCs w:val="28"/>
        </w:rPr>
        <w:t>5</w:t>
      </w:r>
      <w:r>
        <w:rPr>
          <w:rFonts w:hint="eastAsia"/>
          <w:color w:val="auto"/>
          <w:sz w:val="28"/>
          <w:szCs w:val="28"/>
        </w:rPr>
        <w:t>℃）</w:t>
      </w:r>
      <w:r>
        <w:rPr>
          <w:color w:val="auto"/>
          <w:sz w:val="28"/>
          <w:szCs w:val="28"/>
        </w:rPr>
        <w:t>后转入下步反应。</w:t>
      </w:r>
    </w:p>
    <w:p>
      <w:pPr>
        <w:pStyle w:val="11"/>
        <w:spacing w:line="360" w:lineRule="auto"/>
        <w:ind w:firstLine="562" w:firstLineChars="200"/>
        <w:rPr>
          <w:b/>
          <w:bCs/>
          <w:color w:val="auto"/>
          <w:sz w:val="28"/>
          <w:szCs w:val="28"/>
        </w:rPr>
      </w:pPr>
      <w:r>
        <w:rPr>
          <w:b/>
          <w:bCs/>
          <w:color w:val="auto"/>
          <w:sz w:val="28"/>
          <w:szCs w:val="28"/>
        </w:rPr>
        <w:t>（7）内酯化反应</w:t>
      </w:r>
    </w:p>
    <w:p>
      <w:pPr>
        <w:pStyle w:val="78"/>
        <w:ind w:firstLine="560" w:firstLineChars="200"/>
        <w:jc w:val="both"/>
        <w:rPr>
          <w:rFonts w:hint="default" w:eastAsia="宋体"/>
          <w:color w:val="auto"/>
          <w:sz w:val="28"/>
          <w:szCs w:val="28"/>
          <w:lang w:val="en-US" w:eastAsia="zh-CN"/>
        </w:rPr>
      </w:pPr>
      <w:r>
        <w:rPr>
          <w:rFonts w:hint="eastAsia" w:ascii="宋体" w:hAnsi="宋体" w:cs="宋体"/>
          <w:color w:val="auto"/>
          <w:sz w:val="28"/>
          <w:szCs w:val="28"/>
        </w:rPr>
        <w:t>①</w:t>
      </w:r>
      <w:r>
        <w:rPr>
          <w:color w:val="auto"/>
          <w:sz w:val="28"/>
          <w:szCs w:val="28"/>
        </w:rPr>
        <w:t>反应：</w:t>
      </w:r>
      <w:r>
        <w:rPr>
          <w:rFonts w:hint="eastAsia"/>
          <w:color w:val="auto"/>
          <w:sz w:val="28"/>
          <w:szCs w:val="28"/>
        </w:rPr>
        <w:t>将暂存于暂存罐的二氯甲烷自流至计量罐，再通过计量罐自流至反应釜，</w:t>
      </w:r>
      <w:r>
        <w:rPr>
          <w:color w:val="auto"/>
          <w:sz w:val="28"/>
          <w:szCs w:val="28"/>
        </w:rPr>
        <w:t>在0℃下慢慢加入三氟乙酸</w:t>
      </w:r>
      <w:r>
        <w:rPr>
          <w:rFonts w:hint="eastAsia"/>
          <w:color w:val="auto"/>
          <w:sz w:val="28"/>
          <w:szCs w:val="28"/>
        </w:rPr>
        <w:t>酐，再投入</w:t>
      </w:r>
      <w:r>
        <w:rPr>
          <w:color w:val="auto"/>
          <w:sz w:val="28"/>
          <w:szCs w:val="28"/>
        </w:rPr>
        <w:t>上步产物z6，</w:t>
      </w:r>
      <w:r>
        <w:rPr>
          <w:rFonts w:hint="eastAsia"/>
          <w:color w:val="auto"/>
          <w:sz w:val="28"/>
          <w:szCs w:val="28"/>
        </w:rPr>
        <w:t>缓慢滴</w:t>
      </w:r>
      <w:r>
        <w:rPr>
          <w:color w:val="auto"/>
          <w:sz w:val="28"/>
          <w:szCs w:val="28"/>
        </w:rPr>
        <w:t>加入</w:t>
      </w:r>
      <w:r>
        <w:rPr>
          <w:rFonts w:hint="eastAsia"/>
          <w:color w:val="auto"/>
          <w:sz w:val="28"/>
          <w:szCs w:val="28"/>
        </w:rPr>
        <w:t>5</w:t>
      </w:r>
      <w:r>
        <w:rPr>
          <w:color w:val="auto"/>
          <w:sz w:val="28"/>
          <w:szCs w:val="28"/>
        </w:rPr>
        <w:t>0%</w:t>
      </w:r>
      <w:r>
        <w:rPr>
          <w:rFonts w:hint="eastAsia"/>
          <w:color w:val="auto"/>
          <w:sz w:val="28"/>
          <w:szCs w:val="28"/>
        </w:rPr>
        <w:t>双氧水至</w:t>
      </w:r>
      <w:r>
        <w:rPr>
          <w:color w:val="auto"/>
          <w:sz w:val="28"/>
          <w:szCs w:val="28"/>
        </w:rPr>
        <w:t>反应釜中，</w:t>
      </w:r>
      <w:r>
        <w:rPr>
          <w:rFonts w:hint="eastAsia"/>
          <w:color w:val="auto"/>
          <w:sz w:val="28"/>
          <w:szCs w:val="28"/>
        </w:rPr>
        <w:t>控制釜温不超过</w:t>
      </w:r>
      <w:r>
        <w:rPr>
          <w:color w:val="auto"/>
          <w:sz w:val="28"/>
          <w:szCs w:val="28"/>
        </w:rPr>
        <w:t>0℃</w:t>
      </w:r>
      <w:r>
        <w:rPr>
          <w:rFonts w:hint="eastAsia"/>
          <w:color w:val="auto"/>
          <w:sz w:val="28"/>
          <w:szCs w:val="28"/>
        </w:rPr>
        <w:t>，常压</w:t>
      </w:r>
      <w:r>
        <w:rPr>
          <w:color w:val="auto"/>
          <w:sz w:val="28"/>
          <w:szCs w:val="28"/>
        </w:rPr>
        <w:t>搅拌</w:t>
      </w:r>
      <w:r>
        <w:rPr>
          <w:rFonts w:hint="eastAsia"/>
          <w:color w:val="auto"/>
          <w:sz w:val="28"/>
          <w:szCs w:val="28"/>
        </w:rPr>
        <w:t>反应</w:t>
      </w:r>
      <w:r>
        <w:rPr>
          <w:color w:val="auto"/>
          <w:sz w:val="28"/>
          <w:szCs w:val="28"/>
        </w:rPr>
        <w:t>5小时。</w:t>
      </w:r>
      <w:r>
        <w:rPr>
          <w:rFonts w:hint="eastAsia"/>
          <w:color w:val="auto"/>
          <w:sz w:val="28"/>
          <w:szCs w:val="28"/>
        </w:rPr>
        <w:t>该步反应的主反应收率8</w:t>
      </w:r>
      <w:r>
        <w:rPr>
          <w:color w:val="auto"/>
          <w:sz w:val="28"/>
          <w:szCs w:val="28"/>
        </w:rPr>
        <w:t>0%</w:t>
      </w:r>
      <w:r>
        <w:rPr>
          <w:rFonts w:hint="eastAsia"/>
          <w:color w:val="auto"/>
          <w:sz w:val="28"/>
          <w:szCs w:val="28"/>
        </w:rPr>
        <w:t>，副反应收率1</w:t>
      </w:r>
      <w:r>
        <w:rPr>
          <w:color w:val="auto"/>
          <w:sz w:val="28"/>
          <w:szCs w:val="28"/>
        </w:rPr>
        <w:t>0%</w:t>
      </w:r>
      <w:r>
        <w:rPr>
          <w:rFonts w:hint="eastAsia"/>
          <w:color w:val="auto"/>
          <w:sz w:val="28"/>
          <w:szCs w:val="28"/>
        </w:rPr>
        <w:t>。副反应中SO</w:t>
      </w:r>
      <w:r>
        <w:rPr>
          <w:color w:val="auto"/>
          <w:sz w:val="28"/>
          <w:szCs w:val="28"/>
          <w:vertAlign w:val="subscript"/>
        </w:rPr>
        <w:t>2</w:t>
      </w:r>
      <w:r>
        <w:rPr>
          <w:rFonts w:hint="eastAsia"/>
          <w:color w:val="auto"/>
          <w:sz w:val="28"/>
          <w:szCs w:val="28"/>
        </w:rPr>
        <w:t>为未反应完的少量过氧化氢与硫酸氢钠反应生成，SO</w:t>
      </w:r>
      <w:r>
        <w:rPr>
          <w:color w:val="auto"/>
          <w:sz w:val="28"/>
          <w:szCs w:val="28"/>
          <w:vertAlign w:val="subscript"/>
        </w:rPr>
        <w:t>2</w:t>
      </w:r>
      <w:r>
        <w:rPr>
          <w:rFonts w:hint="eastAsia"/>
          <w:color w:val="auto"/>
          <w:sz w:val="28"/>
          <w:szCs w:val="28"/>
        </w:rPr>
        <w:t>与碳酸钾反应生成亚硫酸钾后进入废水中。</w:t>
      </w:r>
      <w:r>
        <w:rPr>
          <w:rFonts w:hint="eastAsia"/>
          <w:color w:val="auto"/>
          <w:sz w:val="28"/>
          <w:szCs w:val="28"/>
          <w:lang w:val="en-US" w:eastAsia="zh-CN"/>
        </w:rPr>
        <w:t>副反应中过氧三氟乙酸产生量约0.37kg，后续亚硫酸氢钠水溶液洗涤将过氧化氢消耗掉后，过氧三氟乙酸在体系中处于不稳定状态，过氧三氟乙酸分解为三氟乙酸和双氧水。</w:t>
      </w:r>
    </w:p>
    <w:p>
      <w:pPr>
        <w:pStyle w:val="78"/>
        <w:ind w:firstLine="560" w:firstLineChars="200"/>
        <w:jc w:val="both"/>
        <w:rPr>
          <w:color w:val="auto"/>
          <w:sz w:val="28"/>
          <w:szCs w:val="28"/>
          <w:vertAlign w:val="subscript"/>
        </w:rPr>
      </w:pPr>
      <w:r>
        <w:rPr>
          <w:rFonts w:hint="eastAsia" w:ascii="宋体" w:hAnsi="宋体" w:cs="宋体"/>
          <w:color w:val="auto"/>
          <w:sz w:val="28"/>
          <w:szCs w:val="28"/>
        </w:rPr>
        <w:t>②</w:t>
      </w:r>
      <w:r>
        <w:rPr>
          <w:color w:val="auto"/>
          <w:sz w:val="28"/>
          <w:szCs w:val="28"/>
        </w:rPr>
        <w:t>后处理：反应完全后，向反应釜中加水搅拌，静置分层，水层作为废水收集后去污水处理</w:t>
      </w:r>
      <w:r>
        <w:rPr>
          <w:rFonts w:hint="eastAsia"/>
          <w:color w:val="auto"/>
          <w:sz w:val="28"/>
          <w:szCs w:val="28"/>
        </w:rPr>
        <w:t>站</w:t>
      </w:r>
      <w:r>
        <w:rPr>
          <w:color w:val="auto"/>
          <w:sz w:val="28"/>
          <w:szCs w:val="28"/>
        </w:rPr>
        <w:t>。溶剂层在搅拌下加入</w:t>
      </w:r>
      <w:r>
        <w:rPr>
          <w:rFonts w:hint="eastAsia"/>
          <w:color w:val="auto"/>
          <w:sz w:val="28"/>
          <w:szCs w:val="28"/>
        </w:rPr>
        <w:t>1</w:t>
      </w:r>
      <w:r>
        <w:rPr>
          <w:color w:val="auto"/>
          <w:sz w:val="28"/>
          <w:szCs w:val="28"/>
        </w:rPr>
        <w:t>0%K</w:t>
      </w:r>
      <w:r>
        <w:rPr>
          <w:color w:val="auto"/>
          <w:sz w:val="28"/>
          <w:szCs w:val="28"/>
          <w:vertAlign w:val="subscript"/>
        </w:rPr>
        <w:t>2</w:t>
      </w:r>
      <w:r>
        <w:rPr>
          <w:color w:val="auto"/>
          <w:sz w:val="28"/>
          <w:szCs w:val="28"/>
        </w:rPr>
        <w:t>CO</w:t>
      </w:r>
      <w:r>
        <w:rPr>
          <w:color w:val="auto"/>
          <w:sz w:val="28"/>
          <w:szCs w:val="28"/>
          <w:vertAlign w:val="subscript"/>
        </w:rPr>
        <w:t>3</w:t>
      </w:r>
      <w:r>
        <w:rPr>
          <w:color w:val="auto"/>
          <w:sz w:val="28"/>
          <w:szCs w:val="28"/>
        </w:rPr>
        <w:t>水溶液，搅拌使之溶解，静置</w:t>
      </w:r>
      <w:r>
        <w:rPr>
          <w:rFonts w:hint="eastAsia"/>
          <w:color w:val="auto"/>
          <w:sz w:val="28"/>
          <w:szCs w:val="28"/>
        </w:rPr>
        <w:t>分层</w:t>
      </w:r>
      <w:r>
        <w:rPr>
          <w:color w:val="auto"/>
          <w:sz w:val="28"/>
          <w:szCs w:val="28"/>
        </w:rPr>
        <w:t>。</w:t>
      </w:r>
    </w:p>
    <w:p>
      <w:pPr>
        <w:pStyle w:val="78"/>
        <w:ind w:firstLine="560" w:firstLineChars="200"/>
        <w:jc w:val="both"/>
        <w:rPr>
          <w:color w:val="auto"/>
          <w:sz w:val="28"/>
          <w:szCs w:val="28"/>
        </w:rPr>
      </w:pPr>
      <w:r>
        <w:rPr>
          <w:rFonts w:hint="eastAsia" w:ascii="宋体" w:hAnsi="宋体" w:cs="宋体"/>
          <w:color w:val="auto"/>
          <w:sz w:val="28"/>
          <w:szCs w:val="28"/>
        </w:rPr>
        <w:t>③</w:t>
      </w:r>
      <w:r>
        <w:rPr>
          <w:color w:val="auto"/>
          <w:sz w:val="28"/>
          <w:szCs w:val="28"/>
        </w:rPr>
        <w:t>纯化处理：</w:t>
      </w:r>
    </w:p>
    <w:p>
      <w:pPr>
        <w:pStyle w:val="78"/>
        <w:ind w:firstLine="560" w:firstLineChars="200"/>
        <w:jc w:val="both"/>
        <w:rPr>
          <w:color w:val="auto"/>
          <w:sz w:val="28"/>
          <w:szCs w:val="28"/>
        </w:rPr>
      </w:pPr>
      <w:r>
        <w:rPr>
          <w:color w:val="auto"/>
          <w:sz w:val="28"/>
          <w:szCs w:val="28"/>
        </w:rPr>
        <w:t>结晶釜中的上层为水层</w:t>
      </w:r>
      <w:r>
        <w:rPr>
          <w:rFonts w:hint="eastAsia"/>
          <w:color w:val="auto"/>
          <w:sz w:val="28"/>
          <w:szCs w:val="28"/>
        </w:rPr>
        <w:t>，上层水层通过物料泵转移至萃取釜，并</w:t>
      </w:r>
      <w:r>
        <w:rPr>
          <w:color w:val="auto"/>
          <w:sz w:val="28"/>
          <w:szCs w:val="28"/>
        </w:rPr>
        <w:t>加入二氯甲烷萃取，</w:t>
      </w:r>
      <w:r>
        <w:rPr>
          <w:rFonts w:hint="eastAsia"/>
          <w:color w:val="auto"/>
          <w:sz w:val="28"/>
          <w:szCs w:val="28"/>
        </w:rPr>
        <w:t>萃取后有机</w:t>
      </w:r>
      <w:r>
        <w:rPr>
          <w:color w:val="auto"/>
          <w:sz w:val="28"/>
          <w:szCs w:val="28"/>
        </w:rPr>
        <w:t>层待处理，水层作为废水收集后去污水处理</w:t>
      </w:r>
      <w:r>
        <w:rPr>
          <w:rFonts w:hint="eastAsia"/>
          <w:color w:val="auto"/>
          <w:sz w:val="28"/>
          <w:szCs w:val="28"/>
        </w:rPr>
        <w:t>站</w:t>
      </w:r>
      <w:r>
        <w:rPr>
          <w:color w:val="auto"/>
          <w:sz w:val="28"/>
          <w:szCs w:val="28"/>
        </w:rPr>
        <w:t>；</w:t>
      </w:r>
      <w:r>
        <w:rPr>
          <w:rFonts w:hint="eastAsia"/>
          <w:color w:val="auto"/>
          <w:sz w:val="28"/>
          <w:szCs w:val="28"/>
        </w:rPr>
        <w:t>结晶釜</w:t>
      </w:r>
      <w:r>
        <w:rPr>
          <w:color w:val="auto"/>
          <w:sz w:val="28"/>
          <w:szCs w:val="28"/>
        </w:rPr>
        <w:t>结晶层为产物层，边加水边离心甩干，</w:t>
      </w:r>
      <w:r>
        <w:rPr>
          <w:rFonts w:hint="eastAsia"/>
          <w:color w:val="auto"/>
          <w:sz w:val="28"/>
          <w:szCs w:val="28"/>
        </w:rPr>
        <w:t>离心后液合并至水层萃取。</w:t>
      </w:r>
    </w:p>
    <w:p>
      <w:pPr>
        <w:pStyle w:val="78"/>
        <w:ind w:firstLine="560" w:firstLineChars="200"/>
        <w:jc w:val="both"/>
        <w:rPr>
          <w:color w:val="auto"/>
          <w:sz w:val="28"/>
          <w:szCs w:val="28"/>
        </w:rPr>
      </w:pPr>
      <w:r>
        <w:rPr>
          <w:rFonts w:hint="eastAsia"/>
          <w:color w:val="auto"/>
          <w:sz w:val="28"/>
          <w:szCs w:val="28"/>
        </w:rPr>
        <w:t>结晶釜</w:t>
      </w:r>
      <w:r>
        <w:rPr>
          <w:color w:val="auto"/>
          <w:sz w:val="28"/>
          <w:szCs w:val="28"/>
        </w:rPr>
        <w:t>下层为溶剂层</w:t>
      </w:r>
      <w:r>
        <w:rPr>
          <w:rFonts w:hint="eastAsia"/>
          <w:color w:val="auto"/>
          <w:sz w:val="28"/>
          <w:szCs w:val="28"/>
        </w:rPr>
        <w:t>，</w:t>
      </w:r>
      <w:r>
        <w:rPr>
          <w:color w:val="auto"/>
          <w:sz w:val="28"/>
          <w:szCs w:val="28"/>
        </w:rPr>
        <w:t>合并溶剂层分次用</w:t>
      </w:r>
      <w:r>
        <w:rPr>
          <w:rFonts w:hint="eastAsia"/>
          <w:color w:val="auto"/>
          <w:sz w:val="28"/>
          <w:szCs w:val="28"/>
        </w:rPr>
        <w:t>1</w:t>
      </w:r>
      <w:r>
        <w:rPr>
          <w:color w:val="auto"/>
          <w:sz w:val="28"/>
          <w:szCs w:val="28"/>
        </w:rPr>
        <w:t>0%亚硫酸氢钠</w:t>
      </w:r>
      <w:r>
        <w:rPr>
          <w:rFonts w:hint="eastAsia"/>
          <w:color w:val="auto"/>
          <w:sz w:val="28"/>
          <w:szCs w:val="28"/>
        </w:rPr>
        <w:t>水</w:t>
      </w:r>
      <w:r>
        <w:rPr>
          <w:color w:val="auto"/>
          <w:sz w:val="28"/>
          <w:szCs w:val="28"/>
        </w:rPr>
        <w:t>溶液洗涤，</w:t>
      </w:r>
      <w:r>
        <w:rPr>
          <w:rFonts w:hint="eastAsia"/>
          <w:color w:val="auto"/>
          <w:sz w:val="28"/>
          <w:szCs w:val="28"/>
        </w:rPr>
        <w:t>洗涤</w:t>
      </w:r>
      <w:r>
        <w:rPr>
          <w:color w:val="auto"/>
          <w:sz w:val="28"/>
          <w:szCs w:val="28"/>
        </w:rPr>
        <w:t>水作为废水收集后去污水处理</w:t>
      </w:r>
      <w:r>
        <w:rPr>
          <w:rFonts w:hint="eastAsia"/>
          <w:color w:val="auto"/>
          <w:sz w:val="28"/>
          <w:szCs w:val="28"/>
        </w:rPr>
        <w:t>站</w:t>
      </w:r>
      <w:r>
        <w:rPr>
          <w:color w:val="auto"/>
          <w:sz w:val="28"/>
          <w:szCs w:val="28"/>
        </w:rPr>
        <w:t>；</w:t>
      </w:r>
      <w:r>
        <w:rPr>
          <w:rFonts w:hint="eastAsia"/>
          <w:color w:val="auto"/>
          <w:sz w:val="28"/>
          <w:szCs w:val="28"/>
        </w:rPr>
        <w:t>洗涤后含杂质二氯甲烷和含产物二氯甲烷分别脱溶，脱溶条件为-</w:t>
      </w:r>
      <w:r>
        <w:rPr>
          <w:color w:val="auto"/>
          <w:sz w:val="28"/>
          <w:szCs w:val="28"/>
        </w:rPr>
        <w:t>0.08</w:t>
      </w:r>
      <w:r>
        <w:rPr>
          <w:rFonts w:hint="eastAsia"/>
          <w:color w:val="auto"/>
          <w:sz w:val="28"/>
          <w:szCs w:val="28"/>
        </w:rPr>
        <w:t>MPa、5</w:t>
      </w:r>
      <w:r>
        <w:rPr>
          <w:color w:val="auto"/>
          <w:sz w:val="28"/>
          <w:szCs w:val="28"/>
        </w:rPr>
        <w:t>0</w:t>
      </w:r>
      <w:r>
        <w:rPr>
          <w:rFonts w:hint="eastAsia"/>
          <w:color w:val="auto"/>
          <w:sz w:val="28"/>
          <w:szCs w:val="28"/>
        </w:rPr>
        <w:t>℃</w:t>
      </w:r>
      <w:r>
        <w:rPr>
          <w:color w:val="auto"/>
          <w:sz w:val="28"/>
          <w:szCs w:val="28"/>
        </w:rPr>
        <w:t>，二级冷凝回收二氯甲烷</w:t>
      </w:r>
      <w:r>
        <w:rPr>
          <w:rFonts w:hint="eastAsia"/>
          <w:color w:val="auto"/>
          <w:sz w:val="28"/>
          <w:szCs w:val="28"/>
        </w:rPr>
        <w:t>回用</w:t>
      </w:r>
      <w:r>
        <w:rPr>
          <w:color w:val="auto"/>
          <w:sz w:val="28"/>
          <w:szCs w:val="28"/>
        </w:rPr>
        <w:t>。蒸馏残渣</w:t>
      </w:r>
      <w:r>
        <w:rPr>
          <w:rFonts w:hint="eastAsia"/>
          <w:color w:val="auto"/>
          <w:sz w:val="28"/>
          <w:szCs w:val="28"/>
        </w:rPr>
        <w:t>作</w:t>
      </w:r>
      <w:r>
        <w:rPr>
          <w:color w:val="auto"/>
          <w:sz w:val="28"/>
          <w:szCs w:val="28"/>
        </w:rPr>
        <w:t>为固废，委托有资质单位处置。</w:t>
      </w:r>
    </w:p>
    <w:p>
      <w:pPr>
        <w:spacing w:line="360" w:lineRule="auto"/>
        <w:ind w:firstLine="560" w:firstLineChars="200"/>
        <w:rPr>
          <w:color w:val="auto"/>
          <w:sz w:val="28"/>
          <w:szCs w:val="28"/>
        </w:rPr>
        <w:sectPr>
          <w:footerReference r:id="rId5" w:type="default"/>
          <w:pgSz w:w="11906" w:h="16838"/>
          <w:pgMar w:top="1418" w:right="1418" w:bottom="1440" w:left="1418" w:header="851" w:footer="992" w:gutter="0"/>
          <w:pgNumType w:start="1"/>
          <w:cols w:space="425" w:num="1"/>
          <w:docGrid w:type="lines" w:linePitch="312" w:charSpace="0"/>
        </w:sectPr>
      </w:pPr>
      <w:r>
        <w:rPr>
          <w:color w:val="auto"/>
          <w:sz w:val="28"/>
          <w:szCs w:val="28"/>
        </w:rPr>
        <w:t>脱溶回收产物和</w:t>
      </w:r>
      <w:r>
        <w:rPr>
          <w:rFonts w:hint="eastAsia"/>
          <w:color w:val="auto"/>
          <w:sz w:val="28"/>
          <w:szCs w:val="28"/>
        </w:rPr>
        <w:t>水洗离心</w:t>
      </w:r>
      <w:r>
        <w:rPr>
          <w:color w:val="auto"/>
          <w:sz w:val="28"/>
          <w:szCs w:val="28"/>
        </w:rPr>
        <w:t>结晶层产物</w:t>
      </w:r>
      <w:r>
        <w:rPr>
          <w:rFonts w:hint="eastAsia"/>
          <w:color w:val="auto"/>
          <w:sz w:val="28"/>
          <w:szCs w:val="28"/>
        </w:rPr>
        <w:t>一并</w:t>
      </w:r>
      <w:r>
        <w:rPr>
          <w:color w:val="auto"/>
          <w:sz w:val="28"/>
          <w:szCs w:val="28"/>
        </w:rPr>
        <w:t>经热风烘干</w:t>
      </w:r>
      <w:r>
        <w:rPr>
          <w:rFonts w:hint="eastAsia"/>
          <w:color w:val="auto"/>
          <w:sz w:val="28"/>
          <w:szCs w:val="28"/>
        </w:rPr>
        <w:t>（5</w:t>
      </w:r>
      <w:r>
        <w:rPr>
          <w:color w:val="auto"/>
          <w:sz w:val="28"/>
          <w:szCs w:val="28"/>
        </w:rPr>
        <w:t>5</w:t>
      </w:r>
      <w:r>
        <w:rPr>
          <w:rFonts w:hint="eastAsia"/>
          <w:color w:val="auto"/>
          <w:sz w:val="28"/>
          <w:szCs w:val="28"/>
        </w:rPr>
        <w:t>℃）</w:t>
      </w:r>
      <w:r>
        <w:rPr>
          <w:color w:val="auto"/>
          <w:sz w:val="28"/>
          <w:szCs w:val="28"/>
        </w:rPr>
        <w:t>后得最终产品24-表芸苔素内酯。</w:t>
      </w:r>
    </w:p>
    <w:p>
      <w:pPr>
        <w:pStyle w:val="11"/>
        <w:spacing w:line="360" w:lineRule="auto"/>
        <w:ind w:firstLine="562" w:firstLineChars="200"/>
        <w:rPr>
          <w:rFonts w:ascii="宋体" w:hAnsi="宋体"/>
          <w:b/>
          <w:bCs/>
          <w:color w:val="auto"/>
          <w:sz w:val="28"/>
          <w:szCs w:val="28"/>
        </w:rPr>
      </w:pPr>
      <w:r>
        <w:rPr>
          <w:rFonts w:hint="eastAsia" w:ascii="宋体" w:hAnsi="宋体"/>
          <w:b/>
          <w:bCs/>
          <w:color w:val="auto"/>
          <w:sz w:val="28"/>
          <w:szCs w:val="28"/>
        </w:rPr>
        <w:t>3）工艺流程图</w:t>
      </w:r>
    </w:p>
    <w:p>
      <w:pPr>
        <w:jc w:val="center"/>
        <w:rPr>
          <w:color w:val="auto"/>
        </w:rPr>
      </w:pPr>
      <w:r>
        <w:rPr>
          <w:color w:val="auto"/>
        </w:rPr>
        <w:drawing>
          <wp:inline distT="0" distB="0" distL="0" distR="0">
            <wp:extent cx="8877300" cy="5017135"/>
            <wp:effectExtent l="0" t="0" r="0" b="0"/>
            <wp:docPr id="633774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74851" name="图片 1"/>
                    <pic:cNvPicPr>
                      <a:picLocks noChangeAspect="1"/>
                    </pic:cNvPicPr>
                  </pic:nvPicPr>
                  <pic:blipFill>
                    <a:blip r:embed="rId36"/>
                    <a:stretch>
                      <a:fillRect/>
                    </a:stretch>
                  </pic:blipFill>
                  <pic:spPr>
                    <a:xfrm>
                      <a:off x="0" y="0"/>
                      <a:ext cx="8877300" cy="5017135"/>
                    </a:xfrm>
                    <a:prstGeom prst="rect">
                      <a:avLst/>
                    </a:prstGeom>
                  </pic:spPr>
                </pic:pic>
              </a:graphicData>
            </a:graphic>
          </wp:inline>
        </w:drawing>
      </w:r>
    </w:p>
    <w:p>
      <w:pPr>
        <w:jc w:val="center"/>
        <w:rPr>
          <w:color w:val="auto"/>
        </w:rPr>
      </w:pPr>
      <w:r>
        <w:rPr>
          <w:color w:val="auto"/>
        </w:rPr>
        <w:drawing>
          <wp:inline distT="0" distB="0" distL="0" distR="0">
            <wp:extent cx="8877300" cy="4965700"/>
            <wp:effectExtent l="0" t="0" r="0" b="6350"/>
            <wp:docPr id="71740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0166" name="图片 1"/>
                    <pic:cNvPicPr>
                      <a:picLocks noChangeAspect="1"/>
                    </pic:cNvPicPr>
                  </pic:nvPicPr>
                  <pic:blipFill>
                    <a:blip r:embed="rId37"/>
                    <a:stretch>
                      <a:fillRect/>
                    </a:stretch>
                  </pic:blipFill>
                  <pic:spPr>
                    <a:xfrm>
                      <a:off x="0" y="0"/>
                      <a:ext cx="8877300" cy="4965700"/>
                    </a:xfrm>
                    <a:prstGeom prst="rect">
                      <a:avLst/>
                    </a:prstGeom>
                  </pic:spPr>
                </pic:pic>
              </a:graphicData>
            </a:graphic>
          </wp:inline>
        </w:drawing>
      </w:r>
    </w:p>
    <w:p>
      <w:pPr>
        <w:pStyle w:val="11"/>
        <w:spacing w:line="360" w:lineRule="auto"/>
        <w:jc w:val="center"/>
        <w:rPr>
          <w:rFonts w:ascii="宋体" w:hAnsi="宋体"/>
          <w:color w:val="auto"/>
          <w:sz w:val="24"/>
          <w:szCs w:val="24"/>
        </w:rPr>
        <w:sectPr>
          <w:headerReference r:id="rId6" w:type="default"/>
          <w:footerReference r:id="rId7" w:type="default"/>
          <w:pgSz w:w="16838" w:h="11906" w:orient="landscape"/>
          <w:pgMar w:top="1418" w:right="1418" w:bottom="1418" w:left="1440" w:header="851" w:footer="992" w:gutter="0"/>
          <w:cols w:space="425" w:num="1"/>
          <w:docGrid w:type="lines" w:linePitch="312" w:charSpace="0"/>
        </w:sectPr>
      </w:pPr>
      <w:r>
        <w:rPr>
          <w:rFonts w:hint="eastAsia" w:ascii="宋体" w:hAnsi="宋体"/>
          <w:color w:val="auto"/>
          <w:sz w:val="24"/>
          <w:szCs w:val="24"/>
        </w:rPr>
        <w:t>图2</w:t>
      </w:r>
      <w:r>
        <w:rPr>
          <w:rFonts w:ascii="宋体" w:hAnsi="宋体"/>
          <w:color w:val="auto"/>
          <w:sz w:val="24"/>
          <w:szCs w:val="24"/>
        </w:rPr>
        <w:t>.4-1  24-</w:t>
      </w:r>
      <w:r>
        <w:rPr>
          <w:rFonts w:hint="eastAsia" w:ascii="宋体" w:hAnsi="宋体"/>
          <w:color w:val="auto"/>
          <w:sz w:val="24"/>
          <w:szCs w:val="24"/>
        </w:rPr>
        <w:t>表芸苔素内酯生产工艺流程</w:t>
      </w:r>
    </w:p>
    <w:p>
      <w:pPr>
        <w:pStyle w:val="11"/>
        <w:spacing w:line="360" w:lineRule="auto"/>
        <w:ind w:firstLine="562" w:firstLineChars="200"/>
        <w:rPr>
          <w:rFonts w:ascii="宋体" w:hAnsi="宋体"/>
          <w:b/>
          <w:bCs/>
          <w:color w:val="auto"/>
          <w:sz w:val="28"/>
          <w:szCs w:val="28"/>
        </w:rPr>
      </w:pPr>
      <w:r>
        <w:rPr>
          <w:rFonts w:hint="eastAsia" w:ascii="宋体" w:hAnsi="宋体"/>
          <w:b/>
          <w:bCs/>
          <w:color w:val="auto"/>
          <w:sz w:val="28"/>
          <w:szCs w:val="28"/>
        </w:rPr>
        <w:t>4）物料平衡</w:t>
      </w:r>
    </w:p>
    <w:p>
      <w:pPr>
        <w:pStyle w:val="11"/>
        <w:ind w:firstLine="420" w:firstLineChars="200"/>
        <w:jc w:val="center"/>
        <w:rPr>
          <w:rFonts w:ascii="宋体" w:hAnsi="宋体"/>
          <w:color w:val="auto"/>
        </w:rPr>
      </w:pPr>
      <w:r>
        <w:rPr>
          <w:rFonts w:hint="eastAsia" w:ascii="宋体" w:hAnsi="宋体"/>
          <w:color w:val="auto"/>
        </w:rPr>
        <w:t>表2</w:t>
      </w:r>
      <w:r>
        <w:rPr>
          <w:rFonts w:ascii="宋体" w:hAnsi="宋体"/>
          <w:color w:val="auto"/>
        </w:rPr>
        <w:t>.4-1 24-</w:t>
      </w:r>
      <w:r>
        <w:rPr>
          <w:rFonts w:hint="eastAsia" w:ascii="宋体" w:hAnsi="宋体"/>
          <w:color w:val="auto"/>
        </w:rPr>
        <w:t>表芸苔素内酯物料平衡表</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1504"/>
        <w:gridCol w:w="1851"/>
        <w:gridCol w:w="1771"/>
        <w:gridCol w:w="2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6" w:type="dxa"/>
            <w:vMerge w:val="restart"/>
          </w:tcPr>
          <w:p>
            <w:pPr>
              <w:jc w:val="center"/>
              <w:rPr>
                <w:rFonts w:eastAsia="Times New Roman"/>
                <w:b/>
                <w:color w:val="auto"/>
              </w:rPr>
            </w:pPr>
            <w:r>
              <w:rPr>
                <w:rFonts w:ascii="宋体" w:hAnsi="宋体" w:eastAsia="Times New Roman"/>
                <w:b/>
                <w:color w:val="auto"/>
              </w:rPr>
              <w:t>序号</w:t>
            </w:r>
          </w:p>
        </w:tc>
        <w:tc>
          <w:tcPr>
            <w:tcW w:w="3355" w:type="dxa"/>
            <w:gridSpan w:val="2"/>
          </w:tcPr>
          <w:p>
            <w:pPr>
              <w:jc w:val="center"/>
              <w:rPr>
                <w:rFonts w:eastAsia="Times New Roman"/>
                <w:b/>
                <w:color w:val="auto"/>
              </w:rPr>
            </w:pPr>
            <w:r>
              <w:rPr>
                <w:rFonts w:hint="eastAsia" w:ascii="宋体" w:hAnsi="宋体" w:eastAsia="Times New Roman"/>
                <w:b/>
                <w:color w:val="auto"/>
              </w:rPr>
              <w:t>投入</w:t>
            </w:r>
          </w:p>
        </w:tc>
        <w:tc>
          <w:tcPr>
            <w:tcW w:w="4334" w:type="dxa"/>
            <w:gridSpan w:val="2"/>
          </w:tcPr>
          <w:p>
            <w:pPr>
              <w:jc w:val="center"/>
              <w:rPr>
                <w:rFonts w:hAnsi="宋体" w:eastAsia="Times New Roman"/>
                <w:b/>
                <w:color w:val="auto"/>
              </w:rPr>
            </w:pPr>
            <w:r>
              <w:rPr>
                <w:rFonts w:hint="eastAsia" w:ascii="宋体" w:hAnsi="宋体" w:eastAsia="Times New Roman"/>
                <w:b/>
                <w:color w:val="auto"/>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vMerge w:val="continue"/>
          </w:tcPr>
          <w:p>
            <w:pPr>
              <w:widowControl/>
              <w:jc w:val="left"/>
              <w:rPr>
                <w:rFonts w:ascii="Calibri" w:hAnsi="Calibri" w:eastAsia="Times New Roman"/>
                <w:b/>
                <w:color w:val="auto"/>
              </w:rPr>
            </w:pPr>
          </w:p>
        </w:tc>
        <w:tc>
          <w:tcPr>
            <w:tcW w:w="1504" w:type="dxa"/>
          </w:tcPr>
          <w:p>
            <w:pPr>
              <w:jc w:val="center"/>
              <w:rPr>
                <w:rFonts w:hAnsi="Calibri" w:eastAsia="Times New Roman"/>
                <w:b/>
                <w:color w:val="auto"/>
              </w:rPr>
            </w:pPr>
            <w:r>
              <w:rPr>
                <w:rFonts w:ascii="宋体" w:hAnsi="宋体" w:eastAsia="Times New Roman"/>
                <w:b/>
                <w:color w:val="auto"/>
              </w:rPr>
              <w:t>物料名称</w:t>
            </w:r>
          </w:p>
        </w:tc>
        <w:tc>
          <w:tcPr>
            <w:tcW w:w="1851" w:type="dxa"/>
          </w:tcPr>
          <w:p>
            <w:pPr>
              <w:jc w:val="center"/>
              <w:rPr>
                <w:rFonts w:eastAsia="Times New Roman"/>
                <w:b/>
                <w:color w:val="auto"/>
              </w:rPr>
            </w:pPr>
            <w:r>
              <w:rPr>
                <w:rFonts w:ascii="宋体" w:hAnsi="宋体" w:eastAsia="Times New Roman"/>
                <w:b/>
                <w:color w:val="auto"/>
              </w:rPr>
              <w:t>投加量</w:t>
            </w:r>
            <w:r>
              <w:rPr>
                <w:rFonts w:hint="eastAsia" w:eastAsia="Times New Roman" w:cs="Calibri"/>
                <w:b/>
                <w:color w:val="auto"/>
              </w:rPr>
              <w:t>t/a</w:t>
            </w:r>
          </w:p>
        </w:tc>
        <w:tc>
          <w:tcPr>
            <w:tcW w:w="1771" w:type="dxa"/>
          </w:tcPr>
          <w:p>
            <w:pPr>
              <w:jc w:val="center"/>
              <w:rPr>
                <w:rFonts w:hAnsi="宋体" w:eastAsia="Times New Roman"/>
                <w:b/>
                <w:color w:val="auto"/>
              </w:rPr>
            </w:pPr>
            <w:r>
              <w:rPr>
                <w:rFonts w:hint="eastAsia" w:ascii="宋体" w:hAnsi="宋体" w:eastAsia="Times New Roman"/>
                <w:b/>
                <w:color w:val="auto"/>
              </w:rPr>
              <w:t>物料名称</w:t>
            </w:r>
          </w:p>
        </w:tc>
        <w:tc>
          <w:tcPr>
            <w:tcW w:w="2563" w:type="dxa"/>
          </w:tcPr>
          <w:p>
            <w:pPr>
              <w:jc w:val="center"/>
              <w:rPr>
                <w:rFonts w:hAnsi="宋体" w:eastAsia="Times New Roman"/>
                <w:b/>
                <w:color w:val="auto"/>
              </w:rPr>
            </w:pPr>
            <w:r>
              <w:rPr>
                <w:rFonts w:hint="eastAsia" w:ascii="宋体" w:hAnsi="宋体" w:eastAsia="Times New Roman"/>
                <w:b/>
                <w:color w:val="auto"/>
              </w:rPr>
              <w:t>产出量</w:t>
            </w:r>
            <w:r>
              <w:rPr>
                <w:rFonts w:hint="eastAsia" w:eastAsia="Times New Roman" w:cs="Calibri"/>
                <w:b/>
                <w:color w:val="auto"/>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hAnsi="Calibri"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麦角甾醇</w:t>
            </w:r>
          </w:p>
        </w:tc>
        <w:tc>
          <w:tcPr>
            <w:tcW w:w="1851" w:type="dxa"/>
          </w:tcPr>
          <w:p>
            <w:pPr>
              <w:jc w:val="center"/>
              <w:rPr>
                <w:rFonts w:eastAsia="Times New Roman"/>
                <w:color w:val="auto"/>
              </w:rPr>
            </w:pPr>
            <w:r>
              <w:rPr>
                <w:rFonts w:eastAsia="Times New Roman" w:cs="Calibri"/>
                <w:color w:val="auto"/>
              </w:rPr>
              <w:t>4.9</w:t>
            </w:r>
          </w:p>
        </w:tc>
        <w:tc>
          <w:tcPr>
            <w:tcW w:w="1771" w:type="dxa"/>
          </w:tcPr>
          <w:p>
            <w:pPr>
              <w:jc w:val="center"/>
              <w:rPr>
                <w:rFonts w:eastAsia="Times New Roman"/>
                <w:color w:val="auto"/>
              </w:rPr>
            </w:pPr>
            <w:r>
              <w:rPr>
                <w:rFonts w:hint="eastAsia" w:eastAsia="Times New Roman" w:cs="Calibri"/>
                <w:color w:val="auto"/>
              </w:rPr>
              <w:t>24-</w:t>
            </w:r>
            <w:r>
              <w:rPr>
                <w:rFonts w:hint="eastAsia" w:ascii="宋体" w:hAnsi="宋体" w:eastAsia="Times New Roman"/>
                <w:color w:val="auto"/>
              </w:rPr>
              <w:t>表芸苔素内酯</w:t>
            </w:r>
          </w:p>
        </w:tc>
        <w:tc>
          <w:tcPr>
            <w:tcW w:w="2563" w:type="dxa"/>
          </w:tcPr>
          <w:p>
            <w:pPr>
              <w:jc w:val="center"/>
              <w:rPr>
                <w:rFonts w:eastAsia="Times New Roman"/>
                <w:color w:val="auto"/>
              </w:rPr>
            </w:pPr>
            <w:r>
              <w:rPr>
                <w:rFonts w:hint="eastAsia" w:eastAsia="Times New Roman" w:cs="Calibri"/>
                <w:color w:val="auto"/>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hAnsi="宋体" w:eastAsia="Times New Roman"/>
                <w:color w:val="auto"/>
              </w:rPr>
            </w:pPr>
            <w:r>
              <w:rPr>
                <w:rFonts w:hint="eastAsia" w:ascii="宋体" w:hAnsi="宋体" w:eastAsia="Times New Roman"/>
                <w:color w:val="auto"/>
              </w:rPr>
              <w:t>四氢呋喃</w:t>
            </w:r>
          </w:p>
        </w:tc>
        <w:tc>
          <w:tcPr>
            <w:tcW w:w="1851" w:type="dxa"/>
          </w:tcPr>
          <w:p>
            <w:pPr>
              <w:jc w:val="center"/>
              <w:rPr>
                <w:rFonts w:hAnsi="Calibri" w:eastAsia="Times New Roman"/>
                <w:color w:val="auto"/>
              </w:rPr>
            </w:pPr>
            <w:r>
              <w:rPr>
                <w:rFonts w:eastAsia="Times New Roman" w:cs="Calibri"/>
                <w:color w:val="auto"/>
              </w:rPr>
              <w:t>2.78</w:t>
            </w:r>
          </w:p>
        </w:tc>
        <w:tc>
          <w:tcPr>
            <w:tcW w:w="1771" w:type="dxa"/>
          </w:tcPr>
          <w:p>
            <w:pPr>
              <w:jc w:val="center"/>
              <w:rPr>
                <w:rFonts w:eastAsia="Times New Roman"/>
                <w:color w:val="auto"/>
              </w:rPr>
            </w:pPr>
            <w:r>
              <w:rPr>
                <w:rFonts w:hint="eastAsia" w:ascii="宋体" w:hAnsi="宋体" w:eastAsia="Times New Roman" w:cs="宋体"/>
                <w:color w:val="auto"/>
              </w:rPr>
              <w:t>废气</w:t>
            </w:r>
          </w:p>
        </w:tc>
        <w:tc>
          <w:tcPr>
            <w:tcW w:w="2563" w:type="dxa"/>
          </w:tcPr>
          <w:p>
            <w:pPr>
              <w:jc w:val="center"/>
              <w:rPr>
                <w:rFonts w:eastAsiaTheme="minorEastAsia"/>
                <w:color w:val="auto"/>
              </w:rPr>
            </w:pPr>
            <w:r>
              <w:rPr>
                <w:rFonts w:hint="eastAsia" w:eastAsiaTheme="minorEastAsia"/>
                <w:color w:val="auto"/>
              </w:rPr>
              <w:t>2</w:t>
            </w:r>
            <w:r>
              <w:rPr>
                <w:rFonts w:eastAsiaTheme="minorEastAsia"/>
                <w:color w:val="auto"/>
              </w:rPr>
              <w:t>5.23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三乙胺</w:t>
            </w:r>
          </w:p>
        </w:tc>
        <w:tc>
          <w:tcPr>
            <w:tcW w:w="1851" w:type="dxa"/>
          </w:tcPr>
          <w:p>
            <w:pPr>
              <w:jc w:val="center"/>
              <w:rPr>
                <w:rFonts w:eastAsia="Times New Roman"/>
                <w:color w:val="auto"/>
              </w:rPr>
            </w:pPr>
            <w:r>
              <w:rPr>
                <w:rFonts w:eastAsia="Times New Roman" w:cs="Calibri"/>
                <w:color w:val="auto"/>
              </w:rPr>
              <w:t>1.29</w:t>
            </w:r>
          </w:p>
        </w:tc>
        <w:tc>
          <w:tcPr>
            <w:tcW w:w="1771" w:type="dxa"/>
          </w:tcPr>
          <w:p>
            <w:pPr>
              <w:jc w:val="center"/>
              <w:rPr>
                <w:rFonts w:eastAsia="Times New Roman"/>
                <w:color w:val="auto"/>
              </w:rPr>
            </w:pPr>
            <w:r>
              <w:rPr>
                <w:rFonts w:hint="eastAsia" w:ascii="宋体" w:hAnsi="宋体" w:eastAsia="Times New Roman" w:cs="宋体"/>
                <w:color w:val="auto"/>
              </w:rPr>
              <w:t>废水</w:t>
            </w:r>
          </w:p>
        </w:tc>
        <w:tc>
          <w:tcPr>
            <w:tcW w:w="2563" w:type="dxa"/>
          </w:tcPr>
          <w:p>
            <w:pPr>
              <w:jc w:val="center"/>
              <w:rPr>
                <w:rFonts w:eastAsiaTheme="minorEastAsia"/>
                <w:color w:val="auto"/>
              </w:rPr>
            </w:pPr>
            <w:r>
              <w:rPr>
                <w:rFonts w:hint="eastAsia" w:eastAsiaTheme="minorEastAsia"/>
                <w:color w:val="auto"/>
              </w:rPr>
              <w:t>3</w:t>
            </w:r>
            <w:r>
              <w:rPr>
                <w:rFonts w:eastAsiaTheme="minorEastAsia"/>
                <w:color w:val="auto"/>
              </w:rPr>
              <w:t>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甲基磺酰氯</w:t>
            </w:r>
          </w:p>
        </w:tc>
        <w:tc>
          <w:tcPr>
            <w:tcW w:w="1851" w:type="dxa"/>
          </w:tcPr>
          <w:p>
            <w:pPr>
              <w:jc w:val="center"/>
              <w:rPr>
                <w:rFonts w:eastAsia="Times New Roman"/>
                <w:color w:val="auto"/>
              </w:rPr>
            </w:pPr>
            <w:r>
              <w:rPr>
                <w:rFonts w:eastAsia="Times New Roman" w:cs="Calibri"/>
                <w:color w:val="auto"/>
              </w:rPr>
              <w:t>1.43</w:t>
            </w:r>
          </w:p>
        </w:tc>
        <w:tc>
          <w:tcPr>
            <w:tcW w:w="1771" w:type="dxa"/>
          </w:tcPr>
          <w:p>
            <w:pPr>
              <w:jc w:val="center"/>
              <w:rPr>
                <w:rFonts w:eastAsia="Times New Roman"/>
                <w:color w:val="auto"/>
              </w:rPr>
            </w:pPr>
            <w:r>
              <w:rPr>
                <w:rFonts w:hint="eastAsia" w:ascii="宋体" w:hAnsi="宋体" w:eastAsia="Times New Roman" w:cs="宋体"/>
                <w:color w:val="auto"/>
              </w:rPr>
              <w:t>固废</w:t>
            </w:r>
          </w:p>
        </w:tc>
        <w:tc>
          <w:tcPr>
            <w:tcW w:w="2563" w:type="dxa"/>
          </w:tcPr>
          <w:p>
            <w:pPr>
              <w:jc w:val="center"/>
              <w:rPr>
                <w:rFonts w:eastAsiaTheme="minorEastAsia"/>
                <w:color w:val="auto"/>
              </w:rPr>
            </w:pPr>
            <w:r>
              <w:rPr>
                <w:rFonts w:hint="eastAsia" w:eastAsiaTheme="minorEastAsia"/>
                <w:color w:val="auto"/>
              </w:rPr>
              <w:t>1</w:t>
            </w:r>
            <w:r>
              <w:rPr>
                <w:rFonts w:eastAsiaTheme="minorEastAsia"/>
                <w:color w:val="auto"/>
              </w:rPr>
              <w:t>1.852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丙酮</w:t>
            </w:r>
          </w:p>
        </w:tc>
        <w:tc>
          <w:tcPr>
            <w:tcW w:w="1851" w:type="dxa"/>
          </w:tcPr>
          <w:p>
            <w:pPr>
              <w:jc w:val="center"/>
              <w:rPr>
                <w:rFonts w:eastAsia="Times New Roman"/>
                <w:color w:val="auto"/>
              </w:rPr>
            </w:pPr>
            <w:r>
              <w:rPr>
                <w:rFonts w:eastAsia="Times New Roman" w:cs="Calibri"/>
                <w:color w:val="auto"/>
              </w:rPr>
              <w:t>1.29</w:t>
            </w:r>
          </w:p>
        </w:tc>
        <w:tc>
          <w:tcPr>
            <w:tcW w:w="1771" w:type="dxa"/>
          </w:tcPr>
          <w:p>
            <w:pPr>
              <w:jc w:val="center"/>
              <w:rPr>
                <w:rFonts w:eastAsia="Times New Roman"/>
                <w:color w:val="auto"/>
              </w:rPr>
            </w:pPr>
            <w:r>
              <w:rPr>
                <w:rFonts w:hint="eastAsia" w:ascii="宋体" w:hAnsi="宋体" w:eastAsia="Times New Roman" w:cs="宋体"/>
                <w:color w:val="auto"/>
              </w:rPr>
              <w:t>回用四氢呋喃</w:t>
            </w:r>
          </w:p>
        </w:tc>
        <w:tc>
          <w:tcPr>
            <w:tcW w:w="2563" w:type="dxa"/>
          </w:tcPr>
          <w:p>
            <w:pPr>
              <w:jc w:val="center"/>
              <w:rPr>
                <w:rFonts w:eastAsia="Times New Roman"/>
                <w:color w:val="auto"/>
              </w:rPr>
            </w:pPr>
            <w:r>
              <w:rPr>
                <w:rFonts w:hint="eastAsia" w:cs="Calibri" w:eastAsiaTheme="minorEastAsia"/>
                <w:color w:val="auto"/>
              </w:rPr>
              <w:t>5</w:t>
            </w:r>
            <w:r>
              <w:rPr>
                <w:rFonts w:cs="Calibri" w:eastAsiaTheme="minorEastAsia"/>
                <w:color w:val="auto"/>
              </w:rPr>
              <w:t>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碳酸氢钾</w:t>
            </w:r>
          </w:p>
        </w:tc>
        <w:tc>
          <w:tcPr>
            <w:tcW w:w="1851" w:type="dxa"/>
          </w:tcPr>
          <w:p>
            <w:pPr>
              <w:jc w:val="center"/>
              <w:rPr>
                <w:rFonts w:eastAsia="Times New Roman"/>
                <w:color w:val="auto"/>
              </w:rPr>
            </w:pPr>
            <w:r>
              <w:rPr>
                <w:rFonts w:eastAsia="Times New Roman" w:cs="Calibri"/>
                <w:color w:val="auto"/>
              </w:rPr>
              <w:t>1.71</w:t>
            </w:r>
          </w:p>
        </w:tc>
        <w:tc>
          <w:tcPr>
            <w:tcW w:w="1771" w:type="dxa"/>
          </w:tcPr>
          <w:p>
            <w:pPr>
              <w:jc w:val="center"/>
              <w:rPr>
                <w:rFonts w:eastAsia="Times New Roman"/>
                <w:color w:val="auto"/>
              </w:rPr>
            </w:pPr>
            <w:r>
              <w:rPr>
                <w:rFonts w:hint="eastAsia" w:ascii="宋体" w:hAnsi="宋体" w:eastAsia="Times New Roman" w:cs="宋体"/>
                <w:color w:val="auto"/>
              </w:rPr>
              <w:t>回用丙酮</w:t>
            </w:r>
          </w:p>
        </w:tc>
        <w:tc>
          <w:tcPr>
            <w:tcW w:w="2563" w:type="dxa"/>
          </w:tcPr>
          <w:p>
            <w:pPr>
              <w:jc w:val="center"/>
              <w:rPr>
                <w:rFonts w:eastAsia="Times New Roman"/>
                <w:color w:val="auto"/>
              </w:rPr>
            </w:pPr>
            <w:r>
              <w:rPr>
                <w:rFonts w:hint="eastAsia" w:cs="Calibri" w:eastAsiaTheme="minorEastAsia"/>
                <w:color w:val="auto"/>
              </w:rPr>
              <w:t>2</w:t>
            </w:r>
            <w:r>
              <w:rPr>
                <w:rFonts w:cs="Calibri" w:eastAsiaTheme="minorEastAsia"/>
                <w:color w:val="auto"/>
              </w:rPr>
              <w:t>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Theme="minorEastAsia" w:hAnsiTheme="minorEastAsia" w:eastAsiaTheme="minorEastAsia"/>
                <w:color w:val="auto"/>
              </w:rPr>
              <w:t>NaCl</w:t>
            </w:r>
          </w:p>
        </w:tc>
        <w:tc>
          <w:tcPr>
            <w:tcW w:w="1851" w:type="dxa"/>
          </w:tcPr>
          <w:p>
            <w:pPr>
              <w:jc w:val="center"/>
              <w:rPr>
                <w:rFonts w:eastAsia="Times New Roman"/>
                <w:color w:val="auto"/>
              </w:rPr>
            </w:pPr>
            <w:r>
              <w:rPr>
                <w:rFonts w:eastAsia="Times New Roman" w:cs="Calibri"/>
                <w:color w:val="auto"/>
              </w:rPr>
              <w:t>22.05</w:t>
            </w:r>
          </w:p>
        </w:tc>
        <w:tc>
          <w:tcPr>
            <w:tcW w:w="1771" w:type="dxa"/>
          </w:tcPr>
          <w:p>
            <w:pPr>
              <w:jc w:val="center"/>
              <w:rPr>
                <w:rFonts w:eastAsia="Times New Roman"/>
                <w:color w:val="auto"/>
              </w:rPr>
            </w:pPr>
            <w:r>
              <w:rPr>
                <w:rFonts w:hint="eastAsia" w:ascii="宋体" w:hAnsi="宋体" w:eastAsia="Times New Roman" w:cs="宋体"/>
                <w:color w:val="auto"/>
              </w:rPr>
              <w:t>回用甲苯</w:t>
            </w:r>
          </w:p>
        </w:tc>
        <w:tc>
          <w:tcPr>
            <w:tcW w:w="2563" w:type="dxa"/>
          </w:tcPr>
          <w:p>
            <w:pPr>
              <w:jc w:val="center"/>
              <w:rPr>
                <w:rFonts w:eastAsia="Times New Roman"/>
                <w:color w:val="auto"/>
              </w:rPr>
            </w:pPr>
            <w:r>
              <w:rPr>
                <w:rFonts w:hint="eastAsia" w:cs="Calibri" w:eastAsiaTheme="minorEastAsia"/>
                <w:color w:val="auto"/>
              </w:rPr>
              <w:t>2</w:t>
            </w:r>
            <w:r>
              <w:rPr>
                <w:rFonts w:cs="Calibri" w:eastAsiaTheme="minorEastAsia"/>
                <w:color w:val="auto"/>
              </w:rPr>
              <w:t>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次氯酸钠水溶液</w:t>
            </w:r>
          </w:p>
        </w:tc>
        <w:tc>
          <w:tcPr>
            <w:tcW w:w="1851" w:type="dxa"/>
          </w:tcPr>
          <w:p>
            <w:pPr>
              <w:jc w:val="center"/>
              <w:rPr>
                <w:rFonts w:eastAsia="Times New Roman"/>
                <w:color w:val="auto"/>
              </w:rPr>
            </w:pPr>
            <w:r>
              <w:rPr>
                <w:rFonts w:eastAsia="Times New Roman" w:cs="Calibri"/>
                <w:color w:val="auto"/>
              </w:rPr>
              <w:t>8.33</w:t>
            </w:r>
          </w:p>
        </w:tc>
        <w:tc>
          <w:tcPr>
            <w:tcW w:w="1771" w:type="dxa"/>
          </w:tcPr>
          <w:p>
            <w:pPr>
              <w:jc w:val="center"/>
              <w:rPr>
                <w:rFonts w:eastAsia="Times New Roman"/>
                <w:color w:val="auto"/>
              </w:rPr>
            </w:pPr>
            <w:r>
              <w:rPr>
                <w:rFonts w:hint="eastAsia" w:ascii="宋体" w:hAnsi="宋体" w:eastAsia="Times New Roman" w:cs="宋体"/>
                <w:color w:val="auto"/>
              </w:rPr>
              <w:t>回用甲醇</w:t>
            </w:r>
          </w:p>
        </w:tc>
        <w:tc>
          <w:tcPr>
            <w:tcW w:w="2563" w:type="dxa"/>
          </w:tcPr>
          <w:p>
            <w:pPr>
              <w:jc w:val="center"/>
              <w:rPr>
                <w:rFonts w:eastAsia="Times New Roman"/>
                <w:color w:val="auto"/>
              </w:rPr>
            </w:pPr>
            <w:r>
              <w:rPr>
                <w:rFonts w:hint="eastAsia" w:cs="Calibri" w:eastAsiaTheme="minorEastAsia"/>
                <w:color w:val="auto"/>
              </w:rPr>
              <w:t>0</w:t>
            </w:r>
            <w:r>
              <w:rPr>
                <w:rFonts w:cs="Calibri" w:eastAsiaTheme="minorEastAsia"/>
                <w:color w:val="auto"/>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eastAsia="Times New Roman" w:cs="Calibri"/>
                <w:color w:val="auto"/>
              </w:rPr>
              <w:t>TEMPO</w:t>
            </w:r>
          </w:p>
        </w:tc>
        <w:tc>
          <w:tcPr>
            <w:tcW w:w="1851" w:type="dxa"/>
          </w:tcPr>
          <w:p>
            <w:pPr>
              <w:jc w:val="center"/>
              <w:rPr>
                <w:rFonts w:eastAsia="Times New Roman"/>
                <w:color w:val="auto"/>
              </w:rPr>
            </w:pPr>
            <w:r>
              <w:rPr>
                <w:rFonts w:eastAsia="Times New Roman" w:cs="Calibri"/>
                <w:color w:val="auto"/>
              </w:rPr>
              <w:t>0.49</w:t>
            </w:r>
          </w:p>
        </w:tc>
        <w:tc>
          <w:tcPr>
            <w:tcW w:w="1771" w:type="dxa"/>
          </w:tcPr>
          <w:p>
            <w:pPr>
              <w:jc w:val="center"/>
              <w:rPr>
                <w:rFonts w:eastAsia="Times New Roman"/>
                <w:color w:val="auto"/>
              </w:rPr>
            </w:pPr>
            <w:r>
              <w:rPr>
                <w:rFonts w:hint="eastAsia" w:ascii="宋体" w:hAnsi="宋体" w:eastAsia="Times New Roman" w:cs="宋体"/>
                <w:color w:val="auto"/>
              </w:rPr>
              <w:t>回用乙酸乙酯</w:t>
            </w:r>
          </w:p>
        </w:tc>
        <w:tc>
          <w:tcPr>
            <w:tcW w:w="2563" w:type="dxa"/>
          </w:tcPr>
          <w:p>
            <w:pPr>
              <w:jc w:val="center"/>
              <w:rPr>
                <w:rFonts w:eastAsia="Times New Roman"/>
                <w:color w:val="auto"/>
              </w:rPr>
            </w:pPr>
            <w:r>
              <w:rPr>
                <w:rFonts w:hint="eastAsia" w:cs="Calibri" w:eastAsiaTheme="minorEastAsia"/>
                <w:color w:val="auto"/>
              </w:rPr>
              <w:t>4</w:t>
            </w:r>
            <w:r>
              <w:rPr>
                <w:rFonts w:cs="Calibri" w:eastAsiaTheme="minorEastAsia"/>
                <w:color w:val="auto"/>
              </w:rPr>
              <w:t>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s="宋体"/>
                <w:color w:val="auto"/>
              </w:rPr>
              <w:t>甲苯</w:t>
            </w:r>
          </w:p>
        </w:tc>
        <w:tc>
          <w:tcPr>
            <w:tcW w:w="1851" w:type="dxa"/>
          </w:tcPr>
          <w:p>
            <w:pPr>
              <w:jc w:val="center"/>
              <w:rPr>
                <w:rFonts w:eastAsia="Times New Roman"/>
                <w:color w:val="auto"/>
              </w:rPr>
            </w:pPr>
            <w:r>
              <w:rPr>
                <w:rFonts w:eastAsia="Times New Roman" w:cs="Calibri"/>
                <w:color w:val="auto"/>
              </w:rPr>
              <w:t>1.19</w:t>
            </w:r>
          </w:p>
        </w:tc>
        <w:tc>
          <w:tcPr>
            <w:tcW w:w="1771" w:type="dxa"/>
          </w:tcPr>
          <w:p>
            <w:pPr>
              <w:jc w:val="center"/>
              <w:rPr>
                <w:rFonts w:eastAsia="Times New Roman"/>
                <w:color w:val="auto"/>
              </w:rPr>
            </w:pPr>
            <w:r>
              <w:rPr>
                <w:rFonts w:hint="eastAsia" w:ascii="宋体" w:hAnsi="宋体" w:eastAsia="Times New Roman" w:cs="宋体"/>
                <w:color w:val="auto"/>
              </w:rPr>
              <w:t>回用DMF</w:t>
            </w:r>
          </w:p>
        </w:tc>
        <w:tc>
          <w:tcPr>
            <w:tcW w:w="2563" w:type="dxa"/>
          </w:tcPr>
          <w:p>
            <w:pPr>
              <w:jc w:val="center"/>
              <w:rPr>
                <w:rFonts w:eastAsia="Times New Roman"/>
                <w:color w:val="auto"/>
              </w:rPr>
            </w:pPr>
            <w:r>
              <w:rPr>
                <w:rFonts w:hint="eastAsia" w:cs="Calibri" w:eastAsiaTheme="minorEastAsia"/>
                <w:color w:val="auto"/>
              </w:rPr>
              <w:t>2</w:t>
            </w:r>
            <w:r>
              <w:rPr>
                <w:rFonts w:cs="Calibri" w:eastAsiaTheme="minorEastAsia"/>
                <w:color w:val="auto"/>
              </w:rPr>
              <w:t>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甲醇</w:t>
            </w:r>
          </w:p>
        </w:tc>
        <w:tc>
          <w:tcPr>
            <w:tcW w:w="1851" w:type="dxa"/>
          </w:tcPr>
          <w:p>
            <w:pPr>
              <w:jc w:val="center"/>
              <w:rPr>
                <w:rFonts w:cs="Calibri" w:eastAsiaTheme="minorEastAsia"/>
                <w:color w:val="auto"/>
              </w:rPr>
            </w:pPr>
            <w:r>
              <w:rPr>
                <w:rFonts w:hint="eastAsia" w:cs="Calibri" w:eastAsiaTheme="minorEastAsia"/>
                <w:color w:val="auto"/>
              </w:rPr>
              <w:t>0</w:t>
            </w:r>
            <w:r>
              <w:rPr>
                <w:rFonts w:cs="Calibri" w:eastAsiaTheme="minorEastAsia"/>
                <w:color w:val="auto"/>
              </w:rPr>
              <w:t>.035</w:t>
            </w:r>
          </w:p>
        </w:tc>
        <w:tc>
          <w:tcPr>
            <w:tcW w:w="1771" w:type="dxa"/>
          </w:tcPr>
          <w:p>
            <w:pPr>
              <w:jc w:val="center"/>
              <w:rPr>
                <w:rFonts w:ascii="宋体" w:hAnsi="宋体" w:eastAsia="Times New Roman"/>
                <w:color w:val="auto"/>
              </w:rPr>
            </w:pPr>
            <w:r>
              <w:rPr>
                <w:rFonts w:hint="eastAsia" w:ascii="宋体" w:hAnsi="宋体" w:eastAsia="Times New Roman" w:cs="宋体"/>
                <w:color w:val="auto"/>
              </w:rPr>
              <w:t>回用叔丁醇</w:t>
            </w:r>
          </w:p>
        </w:tc>
        <w:tc>
          <w:tcPr>
            <w:tcW w:w="2563" w:type="dxa"/>
          </w:tcPr>
          <w:p>
            <w:pPr>
              <w:jc w:val="center"/>
              <w:rPr>
                <w:rFonts w:eastAsia="Times New Roman" w:cs="Calibri"/>
                <w:color w:val="auto"/>
              </w:rPr>
            </w:pPr>
            <w:r>
              <w:rPr>
                <w:rFonts w:hint="eastAsia" w:cs="Calibri" w:eastAsiaTheme="minorEastAsia"/>
                <w:color w:val="auto"/>
              </w:rPr>
              <w:t>6</w:t>
            </w:r>
            <w:r>
              <w:rPr>
                <w:rFonts w:cs="Calibri" w:eastAsiaTheme="minorEastAsia"/>
                <w:color w:val="auto"/>
              </w:rPr>
              <w:t>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硫酸</w:t>
            </w:r>
          </w:p>
        </w:tc>
        <w:tc>
          <w:tcPr>
            <w:tcW w:w="1851" w:type="dxa"/>
          </w:tcPr>
          <w:p>
            <w:pPr>
              <w:jc w:val="center"/>
              <w:rPr>
                <w:rFonts w:cs="Calibri" w:eastAsiaTheme="minorEastAsia"/>
                <w:color w:val="auto"/>
              </w:rPr>
            </w:pPr>
            <w:r>
              <w:rPr>
                <w:rFonts w:hint="eastAsia" w:cs="Calibri" w:eastAsiaTheme="minorEastAsia"/>
                <w:color w:val="auto"/>
              </w:rPr>
              <w:t>2</w:t>
            </w:r>
            <w:r>
              <w:rPr>
                <w:rFonts w:cs="Calibri" w:eastAsiaTheme="minorEastAsia"/>
                <w:color w:val="auto"/>
              </w:rPr>
              <w:t>.41</w:t>
            </w:r>
          </w:p>
        </w:tc>
        <w:tc>
          <w:tcPr>
            <w:tcW w:w="1771" w:type="dxa"/>
          </w:tcPr>
          <w:p>
            <w:pPr>
              <w:jc w:val="center"/>
              <w:rPr>
                <w:rFonts w:ascii="宋体" w:hAnsi="宋体" w:eastAsia="Times New Roman"/>
                <w:color w:val="auto"/>
              </w:rPr>
            </w:pPr>
            <w:r>
              <w:rPr>
                <w:rFonts w:hint="eastAsia" w:ascii="宋体" w:hAnsi="宋体" w:eastAsia="Times New Roman" w:cs="宋体"/>
                <w:color w:val="auto"/>
              </w:rPr>
              <w:t>回用二氯甲烷</w:t>
            </w:r>
          </w:p>
        </w:tc>
        <w:tc>
          <w:tcPr>
            <w:tcW w:w="2563" w:type="dxa"/>
          </w:tcPr>
          <w:p>
            <w:pPr>
              <w:jc w:val="center"/>
              <w:rPr>
                <w:rFonts w:eastAsia="Times New Roman" w:cs="Calibri"/>
                <w:color w:val="auto"/>
              </w:rPr>
            </w:pPr>
            <w:r>
              <w:rPr>
                <w:rFonts w:hint="eastAsia" w:cs="Calibri" w:eastAsiaTheme="minorEastAsia"/>
                <w:color w:val="auto"/>
              </w:rPr>
              <w:t>5</w:t>
            </w:r>
            <w:r>
              <w:rPr>
                <w:rFonts w:cs="Calibri" w:eastAsiaTheme="minorEastAsia"/>
                <w:color w:val="auto"/>
              </w:rPr>
              <w:t>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金属锂</w:t>
            </w:r>
          </w:p>
        </w:tc>
        <w:tc>
          <w:tcPr>
            <w:tcW w:w="1851" w:type="dxa"/>
          </w:tcPr>
          <w:p>
            <w:pPr>
              <w:jc w:val="center"/>
              <w:rPr>
                <w:rFonts w:eastAsia="Times New Roman"/>
                <w:color w:val="auto"/>
              </w:rPr>
            </w:pPr>
            <w:r>
              <w:rPr>
                <w:rFonts w:eastAsia="Times New Roman" w:cs="Calibri"/>
                <w:color w:val="auto"/>
              </w:rPr>
              <w:t>0.196</w:t>
            </w:r>
          </w:p>
        </w:tc>
        <w:tc>
          <w:tcPr>
            <w:tcW w:w="1771" w:type="dxa"/>
          </w:tcPr>
          <w:p>
            <w:pPr>
              <w:jc w:val="center"/>
              <w:rPr>
                <w:rFonts w:eastAsia="Times New Roman"/>
                <w:color w:val="auto"/>
              </w:rPr>
            </w:pPr>
            <w:r>
              <w:rPr>
                <w:rFonts w:hint="eastAsia" w:ascii="宋体" w:hAnsi="宋体" w:eastAsia="Times New Roman" w:cs="宋体"/>
                <w:color w:val="auto"/>
              </w:rPr>
              <w:t>回用奎尼丁</w:t>
            </w:r>
          </w:p>
        </w:tc>
        <w:tc>
          <w:tcPr>
            <w:tcW w:w="2563" w:type="dxa"/>
          </w:tcPr>
          <w:p>
            <w:pPr>
              <w:jc w:val="center"/>
              <w:rPr>
                <w:rFonts w:eastAsia="Times New Roman"/>
                <w:color w:val="auto"/>
              </w:rPr>
            </w:pPr>
            <w:r>
              <w:rPr>
                <w:rFonts w:hint="eastAsia" w:cs="Calibri" w:eastAsiaTheme="minorEastAsia"/>
                <w:color w:val="auto"/>
              </w:rPr>
              <w:t>1</w:t>
            </w:r>
            <w:r>
              <w:rPr>
                <w:rFonts w:cs="Calibri" w:eastAsiaTheme="minorEastAsia"/>
                <w:color w:val="auto"/>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乙酸乙酯</w:t>
            </w:r>
          </w:p>
        </w:tc>
        <w:tc>
          <w:tcPr>
            <w:tcW w:w="1851" w:type="dxa"/>
          </w:tcPr>
          <w:p>
            <w:pPr>
              <w:jc w:val="center"/>
              <w:rPr>
                <w:rFonts w:eastAsia="Times New Roman"/>
                <w:color w:val="auto"/>
              </w:rPr>
            </w:pPr>
            <w:r>
              <w:rPr>
                <w:rFonts w:eastAsia="Times New Roman" w:cs="Calibri"/>
                <w:color w:val="auto"/>
              </w:rPr>
              <w:t>3.086</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widowControl/>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液氨</w:t>
            </w:r>
          </w:p>
        </w:tc>
        <w:tc>
          <w:tcPr>
            <w:tcW w:w="1851" w:type="dxa"/>
          </w:tcPr>
          <w:p>
            <w:pPr>
              <w:jc w:val="center"/>
              <w:rPr>
                <w:rFonts w:eastAsia="Times New Roman"/>
                <w:color w:val="auto"/>
              </w:rPr>
            </w:pPr>
            <w:r>
              <w:rPr>
                <w:rFonts w:eastAsia="Times New Roman" w:cs="Calibri"/>
                <w:color w:val="auto"/>
              </w:rPr>
              <w:t>9.8</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氯化铵</w:t>
            </w:r>
          </w:p>
        </w:tc>
        <w:tc>
          <w:tcPr>
            <w:tcW w:w="1851" w:type="dxa"/>
          </w:tcPr>
          <w:p>
            <w:pPr>
              <w:jc w:val="center"/>
              <w:rPr>
                <w:rFonts w:eastAsia="Times New Roman"/>
                <w:color w:val="auto"/>
              </w:rPr>
            </w:pPr>
            <w:r>
              <w:rPr>
                <w:rFonts w:eastAsia="Times New Roman" w:cs="Calibri"/>
                <w:color w:val="auto"/>
              </w:rPr>
              <w:t>6.125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eastAsia="Times New Roman" w:cs="Calibri"/>
                <w:color w:val="auto"/>
              </w:rPr>
              <w:t>DMF</w:t>
            </w:r>
          </w:p>
        </w:tc>
        <w:tc>
          <w:tcPr>
            <w:tcW w:w="1851" w:type="dxa"/>
          </w:tcPr>
          <w:p>
            <w:pPr>
              <w:jc w:val="center"/>
              <w:rPr>
                <w:rFonts w:eastAsia="Times New Roman"/>
                <w:color w:val="auto"/>
              </w:rPr>
            </w:pPr>
            <w:r>
              <w:rPr>
                <w:rFonts w:eastAsia="Times New Roman" w:cs="Calibri"/>
                <w:color w:val="auto"/>
              </w:rPr>
              <w:t>1.35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溴化钠</w:t>
            </w:r>
          </w:p>
        </w:tc>
        <w:tc>
          <w:tcPr>
            <w:tcW w:w="1851" w:type="dxa"/>
          </w:tcPr>
          <w:p>
            <w:pPr>
              <w:jc w:val="center"/>
              <w:rPr>
                <w:rFonts w:eastAsia="Times New Roman"/>
                <w:color w:val="auto"/>
              </w:rPr>
            </w:pPr>
            <w:r>
              <w:rPr>
                <w:rFonts w:eastAsia="Times New Roman" w:cs="Calibri"/>
                <w:color w:val="auto"/>
              </w:rPr>
              <w:t>0.245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对甲苯磺酸</w:t>
            </w:r>
          </w:p>
        </w:tc>
        <w:tc>
          <w:tcPr>
            <w:tcW w:w="1851" w:type="dxa"/>
          </w:tcPr>
          <w:p>
            <w:pPr>
              <w:jc w:val="center"/>
              <w:rPr>
                <w:rFonts w:eastAsia="Times New Roman"/>
                <w:color w:val="auto"/>
              </w:rPr>
            </w:pPr>
            <w:r>
              <w:rPr>
                <w:rFonts w:eastAsia="Times New Roman" w:cs="Calibri"/>
                <w:color w:val="auto"/>
              </w:rPr>
              <w:t>0.294</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叔丁醇</w:t>
            </w:r>
          </w:p>
        </w:tc>
        <w:tc>
          <w:tcPr>
            <w:tcW w:w="1851" w:type="dxa"/>
          </w:tcPr>
          <w:p>
            <w:pPr>
              <w:jc w:val="center"/>
              <w:rPr>
                <w:rFonts w:eastAsia="Times New Roman"/>
                <w:color w:val="auto"/>
              </w:rPr>
            </w:pPr>
            <w:r>
              <w:rPr>
                <w:rFonts w:eastAsia="Times New Roman" w:cs="Calibri"/>
                <w:color w:val="auto"/>
              </w:rPr>
              <w:t>3.19</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铁氰化钾</w:t>
            </w:r>
          </w:p>
        </w:tc>
        <w:tc>
          <w:tcPr>
            <w:tcW w:w="1851" w:type="dxa"/>
          </w:tcPr>
          <w:p>
            <w:pPr>
              <w:jc w:val="center"/>
              <w:rPr>
                <w:rFonts w:eastAsia="Times New Roman"/>
                <w:color w:val="auto"/>
              </w:rPr>
            </w:pPr>
            <w:r>
              <w:rPr>
                <w:rFonts w:eastAsia="Times New Roman" w:cs="Calibri"/>
                <w:color w:val="auto"/>
              </w:rPr>
              <w:t>7.35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碳酸钾</w:t>
            </w:r>
          </w:p>
        </w:tc>
        <w:tc>
          <w:tcPr>
            <w:tcW w:w="1851" w:type="dxa"/>
          </w:tcPr>
          <w:p>
            <w:pPr>
              <w:jc w:val="center"/>
              <w:rPr>
                <w:rFonts w:eastAsia="Times New Roman"/>
                <w:color w:val="auto"/>
              </w:rPr>
            </w:pPr>
            <w:r>
              <w:rPr>
                <w:rFonts w:eastAsia="Times New Roman" w:cs="Calibri"/>
                <w:color w:val="auto"/>
              </w:rPr>
              <w:t>2.842</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olor w:val="auto"/>
              </w:rPr>
            </w:pPr>
            <w:r>
              <w:rPr>
                <w:rFonts w:hint="eastAsia" w:ascii="宋体" w:hAnsi="宋体" w:eastAsia="Times New Roman" w:cs="宋体"/>
                <w:color w:val="auto"/>
              </w:rPr>
              <w:t>锇酸钾</w:t>
            </w:r>
          </w:p>
        </w:tc>
        <w:tc>
          <w:tcPr>
            <w:tcW w:w="1851" w:type="dxa"/>
          </w:tcPr>
          <w:p>
            <w:pPr>
              <w:jc w:val="center"/>
              <w:rPr>
                <w:rFonts w:cs="Calibri" w:eastAsiaTheme="minorEastAsia"/>
                <w:color w:val="auto"/>
              </w:rPr>
            </w:pPr>
            <w:r>
              <w:rPr>
                <w:rFonts w:hint="eastAsia" w:cs="Calibri" w:eastAsiaTheme="minorEastAsia"/>
                <w:color w:val="auto"/>
              </w:rPr>
              <w:t>0</w:t>
            </w:r>
            <w:r>
              <w:rPr>
                <w:rFonts w:cs="Calibri" w:eastAsiaTheme="minorEastAsia"/>
                <w:color w:val="auto"/>
              </w:rPr>
              <w:t>.088</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甲基磺酰胺</w:t>
            </w:r>
          </w:p>
        </w:tc>
        <w:tc>
          <w:tcPr>
            <w:tcW w:w="1851" w:type="dxa"/>
          </w:tcPr>
          <w:p>
            <w:pPr>
              <w:jc w:val="center"/>
              <w:rPr>
                <w:rFonts w:eastAsia="Times New Roman"/>
                <w:color w:val="auto"/>
              </w:rPr>
            </w:pPr>
            <w:r>
              <w:rPr>
                <w:rFonts w:eastAsia="Times New Roman" w:cs="Calibri"/>
                <w:color w:val="auto"/>
              </w:rPr>
              <w:t>2.94</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s="宋体"/>
                <w:color w:val="auto"/>
              </w:rPr>
              <w:t>硅胶</w:t>
            </w:r>
          </w:p>
        </w:tc>
        <w:tc>
          <w:tcPr>
            <w:tcW w:w="1851" w:type="dxa"/>
          </w:tcPr>
          <w:p>
            <w:pPr>
              <w:jc w:val="center"/>
              <w:rPr>
                <w:rFonts w:eastAsiaTheme="minorEastAsia"/>
                <w:color w:val="auto"/>
              </w:rPr>
            </w:pPr>
            <w:r>
              <w:rPr>
                <w:rFonts w:hint="eastAsia" w:eastAsiaTheme="minorEastAsia"/>
                <w:color w:val="auto"/>
              </w:rPr>
              <w:t>6</w:t>
            </w:r>
            <w:r>
              <w:rPr>
                <w:rFonts w:eastAsiaTheme="minorEastAsia"/>
                <w:color w:val="auto"/>
              </w:rPr>
              <w:t>.615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亚硫酸氢钠</w:t>
            </w:r>
          </w:p>
        </w:tc>
        <w:tc>
          <w:tcPr>
            <w:tcW w:w="1851" w:type="dxa"/>
          </w:tcPr>
          <w:p>
            <w:pPr>
              <w:jc w:val="center"/>
              <w:rPr>
                <w:rFonts w:eastAsia="Times New Roman"/>
                <w:color w:val="auto"/>
              </w:rPr>
            </w:pPr>
            <w:r>
              <w:rPr>
                <w:rFonts w:eastAsia="Times New Roman" w:cs="Calibri"/>
                <w:color w:val="auto"/>
              </w:rPr>
              <w:t>7.35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奎尼丁</w:t>
            </w:r>
          </w:p>
        </w:tc>
        <w:tc>
          <w:tcPr>
            <w:tcW w:w="1851" w:type="dxa"/>
          </w:tcPr>
          <w:p>
            <w:pPr>
              <w:jc w:val="center"/>
              <w:rPr>
                <w:rFonts w:eastAsia="Times New Roman"/>
                <w:color w:val="auto"/>
              </w:rPr>
            </w:pPr>
            <w:r>
              <w:rPr>
                <w:rFonts w:eastAsia="Times New Roman" w:cs="Calibri"/>
                <w:color w:val="auto"/>
              </w:rPr>
              <w:t>0.073</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三氟乙酸酐</w:t>
            </w:r>
          </w:p>
        </w:tc>
        <w:tc>
          <w:tcPr>
            <w:tcW w:w="1851" w:type="dxa"/>
          </w:tcPr>
          <w:p>
            <w:pPr>
              <w:jc w:val="center"/>
              <w:rPr>
                <w:rFonts w:eastAsia="Times New Roman"/>
                <w:color w:val="auto"/>
              </w:rPr>
            </w:pPr>
            <w:r>
              <w:rPr>
                <w:rFonts w:eastAsia="Times New Roman" w:cs="Calibri"/>
                <w:color w:val="auto"/>
              </w:rPr>
              <w:t>0.878</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二氯甲烷</w:t>
            </w:r>
          </w:p>
        </w:tc>
        <w:tc>
          <w:tcPr>
            <w:tcW w:w="1851" w:type="dxa"/>
          </w:tcPr>
          <w:p>
            <w:pPr>
              <w:jc w:val="center"/>
              <w:rPr>
                <w:rFonts w:eastAsia="Times New Roman"/>
                <w:color w:val="auto"/>
              </w:rPr>
            </w:pPr>
            <w:r>
              <w:rPr>
                <w:rFonts w:eastAsia="Times New Roman" w:cs="Calibri"/>
                <w:color w:val="auto"/>
              </w:rPr>
              <w:t>4.115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ascii="宋体" w:hAnsi="宋体" w:eastAsia="Times New Roman"/>
                <w:color w:val="auto"/>
              </w:rPr>
              <w:t>碳酸钾</w:t>
            </w:r>
            <w:r>
              <w:rPr>
                <w:rFonts w:hint="eastAsia" w:ascii="宋体" w:hAnsi="宋体" w:eastAsia="Times New Roman" w:cs="宋体"/>
                <w:color w:val="auto"/>
              </w:rPr>
              <w:t>水溶液</w:t>
            </w:r>
          </w:p>
        </w:tc>
        <w:tc>
          <w:tcPr>
            <w:tcW w:w="1851" w:type="dxa"/>
          </w:tcPr>
          <w:p>
            <w:pPr>
              <w:jc w:val="center"/>
              <w:rPr>
                <w:rFonts w:eastAsia="Times New Roman"/>
                <w:color w:val="auto"/>
              </w:rPr>
            </w:pPr>
            <w:r>
              <w:rPr>
                <w:rFonts w:eastAsia="Times New Roman" w:cs="Calibri"/>
                <w:color w:val="auto"/>
              </w:rPr>
              <w:t>7.35</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olor w:val="auto"/>
              </w:rPr>
            </w:pPr>
            <w:r>
              <w:rPr>
                <w:rFonts w:hint="eastAsia" w:eastAsia="Times New Roman" w:cs="Calibri"/>
                <w:color w:val="auto"/>
              </w:rPr>
              <w:t>50%</w:t>
            </w:r>
            <w:r>
              <w:rPr>
                <w:rFonts w:hint="eastAsia" w:ascii="宋体" w:hAnsi="宋体" w:eastAsia="Times New Roman"/>
                <w:color w:val="auto"/>
              </w:rPr>
              <w:t>双氧水</w:t>
            </w:r>
          </w:p>
        </w:tc>
        <w:tc>
          <w:tcPr>
            <w:tcW w:w="1851" w:type="dxa"/>
          </w:tcPr>
          <w:p>
            <w:pPr>
              <w:jc w:val="center"/>
              <w:rPr>
                <w:rFonts w:eastAsia="Times New Roman"/>
                <w:color w:val="auto"/>
              </w:rPr>
            </w:pPr>
            <w:r>
              <w:rPr>
                <w:rFonts w:eastAsia="Times New Roman" w:cs="Calibri"/>
                <w:color w:val="auto"/>
              </w:rPr>
              <w:t>3.92</w:t>
            </w:r>
          </w:p>
        </w:tc>
        <w:tc>
          <w:tcPr>
            <w:tcW w:w="1771" w:type="dxa"/>
          </w:tcPr>
          <w:p>
            <w:pPr>
              <w:jc w:val="center"/>
              <w:rPr>
                <w:rFonts w:eastAsia="Times New Roman"/>
                <w:color w:val="auto"/>
              </w:rPr>
            </w:pPr>
          </w:p>
        </w:tc>
        <w:tc>
          <w:tcPr>
            <w:tcW w:w="2563" w:type="dxa"/>
          </w:tcPr>
          <w:p>
            <w:pPr>
              <w:jc w:val="center"/>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eastAsia="Times New Roman" w:cs="Calibri"/>
                <w:color w:val="auto"/>
              </w:rPr>
            </w:pPr>
            <w:r>
              <w:rPr>
                <w:rFonts w:hint="eastAsia" w:ascii="宋体" w:hAnsi="宋体" w:eastAsia="Times New Roman" w:cs="宋体"/>
                <w:color w:val="auto"/>
              </w:rPr>
              <w:t>亚硫酸氢钠水溶液</w:t>
            </w:r>
          </w:p>
        </w:tc>
        <w:tc>
          <w:tcPr>
            <w:tcW w:w="1851" w:type="dxa"/>
          </w:tcPr>
          <w:p>
            <w:pPr>
              <w:jc w:val="center"/>
              <w:rPr>
                <w:rFonts w:cs="Calibri" w:eastAsiaTheme="minorEastAsia"/>
                <w:color w:val="auto"/>
              </w:rPr>
            </w:pPr>
            <w:r>
              <w:rPr>
                <w:rFonts w:hint="eastAsia" w:cs="Calibri" w:eastAsiaTheme="minorEastAsia"/>
                <w:color w:val="auto"/>
              </w:rPr>
              <w:t>9</w:t>
            </w:r>
            <w:r>
              <w:rPr>
                <w:rFonts w:cs="Calibri" w:eastAsiaTheme="minorEastAsia"/>
                <w:color w:val="auto"/>
              </w:rPr>
              <w:t>.8</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水</w:t>
            </w:r>
          </w:p>
        </w:tc>
        <w:tc>
          <w:tcPr>
            <w:tcW w:w="1851" w:type="dxa"/>
          </w:tcPr>
          <w:p>
            <w:pPr>
              <w:jc w:val="center"/>
              <w:rPr>
                <w:rFonts w:cs="Calibri" w:eastAsiaTheme="minorEastAsia"/>
                <w:color w:val="auto"/>
              </w:rPr>
            </w:pPr>
            <w:r>
              <w:rPr>
                <w:rFonts w:hint="eastAsia" w:cs="Calibri" w:eastAsiaTheme="minorEastAsia"/>
                <w:color w:val="auto"/>
              </w:rPr>
              <w:t>3</w:t>
            </w:r>
            <w:r>
              <w:rPr>
                <w:rFonts w:cs="Calibri" w:eastAsiaTheme="minorEastAsia"/>
                <w:color w:val="auto"/>
              </w:rPr>
              <w:t>03.37</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回用四氢呋喃</w:t>
            </w:r>
          </w:p>
        </w:tc>
        <w:tc>
          <w:tcPr>
            <w:tcW w:w="1851" w:type="dxa"/>
          </w:tcPr>
          <w:p>
            <w:pPr>
              <w:jc w:val="center"/>
              <w:rPr>
                <w:rFonts w:cs="Calibri" w:eastAsiaTheme="minorEastAsia"/>
                <w:color w:val="auto"/>
              </w:rPr>
            </w:pPr>
            <w:r>
              <w:rPr>
                <w:rFonts w:hint="eastAsia" w:cs="Calibri" w:eastAsiaTheme="minorEastAsia"/>
                <w:color w:val="auto"/>
              </w:rPr>
              <w:t>5</w:t>
            </w:r>
            <w:r>
              <w:rPr>
                <w:rFonts w:cs="Calibri" w:eastAsiaTheme="minorEastAsia"/>
                <w:color w:val="auto"/>
              </w:rPr>
              <w:t>5.46</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回用丙酮</w:t>
            </w:r>
          </w:p>
        </w:tc>
        <w:tc>
          <w:tcPr>
            <w:tcW w:w="1851" w:type="dxa"/>
          </w:tcPr>
          <w:p>
            <w:pPr>
              <w:jc w:val="center"/>
              <w:rPr>
                <w:rFonts w:cs="Calibri" w:eastAsiaTheme="minorEastAsia"/>
                <w:color w:val="auto"/>
              </w:rPr>
            </w:pPr>
            <w:r>
              <w:rPr>
                <w:rFonts w:hint="eastAsia" w:cs="Calibri" w:eastAsiaTheme="minorEastAsia"/>
                <w:color w:val="auto"/>
              </w:rPr>
              <w:t>2</w:t>
            </w:r>
            <w:r>
              <w:rPr>
                <w:rFonts w:cs="Calibri" w:eastAsiaTheme="minorEastAsia"/>
                <w:color w:val="auto"/>
              </w:rPr>
              <w:t>8.39</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回用甲苯</w:t>
            </w:r>
          </w:p>
        </w:tc>
        <w:tc>
          <w:tcPr>
            <w:tcW w:w="1851" w:type="dxa"/>
          </w:tcPr>
          <w:p>
            <w:pPr>
              <w:jc w:val="center"/>
              <w:rPr>
                <w:rFonts w:cs="Calibri" w:eastAsiaTheme="minorEastAsia"/>
                <w:color w:val="auto"/>
              </w:rPr>
            </w:pPr>
            <w:r>
              <w:rPr>
                <w:rFonts w:hint="eastAsia" w:cs="Calibri" w:eastAsiaTheme="minorEastAsia"/>
                <w:color w:val="auto"/>
              </w:rPr>
              <w:t>2</w:t>
            </w:r>
            <w:r>
              <w:rPr>
                <w:rFonts w:cs="Calibri" w:eastAsiaTheme="minorEastAsia"/>
                <w:color w:val="auto"/>
              </w:rPr>
              <w:t>8.07</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回用甲醇</w:t>
            </w:r>
          </w:p>
        </w:tc>
        <w:tc>
          <w:tcPr>
            <w:tcW w:w="1851" w:type="dxa"/>
          </w:tcPr>
          <w:p>
            <w:pPr>
              <w:jc w:val="center"/>
              <w:rPr>
                <w:rFonts w:cs="Calibri" w:eastAsiaTheme="minorEastAsia"/>
                <w:color w:val="auto"/>
              </w:rPr>
            </w:pPr>
            <w:r>
              <w:rPr>
                <w:rFonts w:hint="eastAsia" w:cs="Calibri" w:eastAsiaTheme="minorEastAsia"/>
                <w:color w:val="auto"/>
              </w:rPr>
              <w:t>0</w:t>
            </w:r>
            <w:r>
              <w:rPr>
                <w:rFonts w:cs="Calibri" w:eastAsiaTheme="minorEastAsia"/>
                <w:color w:val="auto"/>
              </w:rPr>
              <w:t>.48</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回用乙酸乙酯</w:t>
            </w:r>
          </w:p>
        </w:tc>
        <w:tc>
          <w:tcPr>
            <w:tcW w:w="1851" w:type="dxa"/>
          </w:tcPr>
          <w:p>
            <w:pPr>
              <w:jc w:val="center"/>
              <w:rPr>
                <w:rFonts w:cs="Calibri" w:eastAsiaTheme="minorEastAsia"/>
                <w:color w:val="auto"/>
              </w:rPr>
            </w:pPr>
            <w:r>
              <w:rPr>
                <w:rFonts w:hint="eastAsia" w:cs="Calibri" w:eastAsiaTheme="minorEastAsia"/>
                <w:color w:val="auto"/>
              </w:rPr>
              <w:t>4</w:t>
            </w:r>
            <w:r>
              <w:rPr>
                <w:rFonts w:cs="Calibri" w:eastAsiaTheme="minorEastAsia"/>
                <w:color w:val="auto"/>
              </w:rPr>
              <w:t>0.81</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回用DMF</w:t>
            </w:r>
          </w:p>
        </w:tc>
        <w:tc>
          <w:tcPr>
            <w:tcW w:w="1851" w:type="dxa"/>
          </w:tcPr>
          <w:p>
            <w:pPr>
              <w:jc w:val="center"/>
              <w:rPr>
                <w:rFonts w:cs="Calibri" w:eastAsiaTheme="minorEastAsia"/>
                <w:color w:val="auto"/>
              </w:rPr>
            </w:pPr>
            <w:r>
              <w:rPr>
                <w:rFonts w:hint="eastAsia" w:cs="Calibri" w:eastAsiaTheme="minorEastAsia"/>
                <w:color w:val="auto"/>
              </w:rPr>
              <w:t>2</w:t>
            </w:r>
            <w:r>
              <w:rPr>
                <w:rFonts w:cs="Calibri" w:eastAsiaTheme="minorEastAsia"/>
                <w:color w:val="auto"/>
              </w:rPr>
              <w:t>8.02</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回用叔丁醇</w:t>
            </w:r>
          </w:p>
        </w:tc>
        <w:tc>
          <w:tcPr>
            <w:tcW w:w="1851" w:type="dxa"/>
          </w:tcPr>
          <w:p>
            <w:pPr>
              <w:jc w:val="center"/>
              <w:rPr>
                <w:rFonts w:cs="Calibri" w:eastAsiaTheme="minorEastAsia"/>
                <w:color w:val="auto"/>
              </w:rPr>
            </w:pPr>
            <w:r>
              <w:rPr>
                <w:rFonts w:hint="eastAsia" w:cs="Calibri" w:eastAsiaTheme="minorEastAsia"/>
                <w:color w:val="auto"/>
              </w:rPr>
              <w:t>6</w:t>
            </w:r>
            <w:r>
              <w:rPr>
                <w:rFonts w:cs="Calibri" w:eastAsiaTheme="minorEastAsia"/>
                <w:color w:val="auto"/>
              </w:rPr>
              <w:t>9.95</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回用二氯甲烷</w:t>
            </w:r>
          </w:p>
        </w:tc>
        <w:tc>
          <w:tcPr>
            <w:tcW w:w="1851" w:type="dxa"/>
          </w:tcPr>
          <w:p>
            <w:pPr>
              <w:jc w:val="center"/>
              <w:rPr>
                <w:rFonts w:cs="Calibri" w:eastAsiaTheme="minorEastAsia"/>
                <w:color w:val="auto"/>
              </w:rPr>
            </w:pPr>
            <w:r>
              <w:rPr>
                <w:rFonts w:hint="eastAsia" w:cs="Calibri" w:eastAsiaTheme="minorEastAsia"/>
                <w:color w:val="auto"/>
              </w:rPr>
              <w:t>5</w:t>
            </w:r>
            <w:r>
              <w:rPr>
                <w:rFonts w:cs="Calibri" w:eastAsiaTheme="minorEastAsia"/>
                <w:color w:val="auto"/>
              </w:rPr>
              <w:t>9.25</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numPr>
                <w:ilvl w:val="0"/>
                <w:numId w:val="4"/>
              </w:numPr>
              <w:jc w:val="center"/>
              <w:rPr>
                <w:rFonts w:eastAsia="Times New Roman"/>
                <w:color w:val="auto"/>
              </w:rPr>
            </w:pPr>
          </w:p>
        </w:tc>
        <w:tc>
          <w:tcPr>
            <w:tcW w:w="1504" w:type="dxa"/>
          </w:tcPr>
          <w:p>
            <w:pPr>
              <w:jc w:val="center"/>
              <w:rPr>
                <w:rFonts w:ascii="宋体" w:hAnsi="宋体" w:eastAsia="Times New Roman" w:cs="宋体"/>
                <w:color w:val="auto"/>
              </w:rPr>
            </w:pPr>
            <w:r>
              <w:rPr>
                <w:rFonts w:hint="eastAsia" w:ascii="宋体" w:hAnsi="宋体" w:eastAsia="Times New Roman" w:cs="宋体"/>
                <w:color w:val="auto"/>
              </w:rPr>
              <w:t>回用奎尼丁</w:t>
            </w:r>
          </w:p>
        </w:tc>
        <w:tc>
          <w:tcPr>
            <w:tcW w:w="1851" w:type="dxa"/>
          </w:tcPr>
          <w:p>
            <w:pPr>
              <w:jc w:val="center"/>
              <w:rPr>
                <w:rFonts w:cs="Calibri" w:eastAsiaTheme="minorEastAsia"/>
                <w:color w:val="auto"/>
              </w:rPr>
            </w:pPr>
            <w:r>
              <w:rPr>
                <w:rFonts w:hint="eastAsia" w:cs="Calibri" w:eastAsiaTheme="minorEastAsia"/>
                <w:color w:val="auto"/>
              </w:rPr>
              <w:t>1</w:t>
            </w:r>
            <w:r>
              <w:rPr>
                <w:rFonts w:cs="Calibri" w:eastAsiaTheme="minorEastAsia"/>
                <w:color w:val="auto"/>
              </w:rPr>
              <w:t>.63</w:t>
            </w:r>
          </w:p>
        </w:tc>
        <w:tc>
          <w:tcPr>
            <w:tcW w:w="1771" w:type="dxa"/>
          </w:tcPr>
          <w:p>
            <w:pPr>
              <w:jc w:val="center"/>
              <w:rPr>
                <w:rFonts w:ascii="宋体" w:hAnsi="宋体" w:eastAsia="Times New Roman"/>
                <w:color w:val="auto"/>
              </w:rPr>
            </w:pPr>
          </w:p>
        </w:tc>
        <w:tc>
          <w:tcPr>
            <w:tcW w:w="2563" w:type="dxa"/>
          </w:tcPr>
          <w:p>
            <w:pPr>
              <w:jc w:val="center"/>
              <w:rPr>
                <w:rFonts w:eastAsia="Times New Roman" w:cs="Calibri"/>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Pr>
          <w:p>
            <w:pPr>
              <w:jc w:val="center"/>
              <w:rPr>
                <w:rFonts w:eastAsia="Times New Roman"/>
                <w:color w:val="auto"/>
              </w:rPr>
            </w:pPr>
          </w:p>
        </w:tc>
        <w:tc>
          <w:tcPr>
            <w:tcW w:w="1504" w:type="dxa"/>
          </w:tcPr>
          <w:p>
            <w:pPr>
              <w:jc w:val="center"/>
              <w:rPr>
                <w:rFonts w:eastAsia="Times New Roman"/>
                <w:color w:val="auto"/>
              </w:rPr>
            </w:pPr>
            <w:r>
              <w:rPr>
                <w:rFonts w:ascii="宋体" w:hAnsi="宋体" w:eastAsia="Times New Roman"/>
                <w:color w:val="auto"/>
              </w:rPr>
              <w:t>总计</w:t>
            </w:r>
          </w:p>
        </w:tc>
        <w:tc>
          <w:tcPr>
            <w:tcW w:w="1851" w:type="dxa"/>
          </w:tcPr>
          <w:p>
            <w:pPr>
              <w:jc w:val="center"/>
              <w:rPr>
                <w:rFonts w:eastAsiaTheme="minorEastAsia"/>
                <w:color w:val="auto"/>
              </w:rPr>
            </w:pPr>
            <w:r>
              <w:rPr>
                <w:rFonts w:eastAsiaTheme="minorEastAsia"/>
                <w:color w:val="auto"/>
              </w:rPr>
              <w:t>740.942</w:t>
            </w:r>
          </w:p>
        </w:tc>
        <w:tc>
          <w:tcPr>
            <w:tcW w:w="1771" w:type="dxa"/>
          </w:tcPr>
          <w:p>
            <w:pPr>
              <w:jc w:val="center"/>
              <w:rPr>
                <w:rFonts w:eastAsia="Times New Roman"/>
                <w:color w:val="auto"/>
              </w:rPr>
            </w:pPr>
          </w:p>
        </w:tc>
        <w:tc>
          <w:tcPr>
            <w:tcW w:w="2563" w:type="dxa"/>
          </w:tcPr>
          <w:p>
            <w:pPr>
              <w:jc w:val="center"/>
              <w:rPr>
                <w:rFonts w:eastAsiaTheme="minorEastAsia"/>
                <w:color w:val="auto"/>
              </w:rPr>
            </w:pPr>
            <w:r>
              <w:rPr>
                <w:rFonts w:eastAsiaTheme="minorEastAsia"/>
                <w:color w:val="auto"/>
              </w:rPr>
              <w:t>740.942</w:t>
            </w:r>
          </w:p>
        </w:tc>
      </w:tr>
    </w:tbl>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2、2</w:t>
      </w:r>
      <w:r>
        <w:rPr>
          <w:rFonts w:ascii="宋体" w:hAnsi="宋体"/>
          <w:b/>
          <w:color w:val="auto"/>
          <w:sz w:val="28"/>
          <w:szCs w:val="28"/>
        </w:rPr>
        <w:t>8-</w:t>
      </w:r>
      <w:r>
        <w:rPr>
          <w:rFonts w:hint="eastAsia" w:ascii="宋体" w:hAnsi="宋体"/>
          <w:b/>
          <w:color w:val="auto"/>
          <w:sz w:val="28"/>
          <w:szCs w:val="28"/>
        </w:rPr>
        <w:t>高芸苔素内酯</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1）反应原理</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①磺酰化反应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rPr>
          <w:rFonts w:ascii="宋体" w:hAnsi="宋体"/>
          <w:bCs/>
          <w:color w:val="auto"/>
          <w:sz w:val="28"/>
          <w:szCs w:val="28"/>
        </w:rPr>
      </w:pPr>
      <w:r>
        <w:rPr>
          <w:color w:val="auto"/>
        </w:rPr>
        <w:drawing>
          <wp:inline distT="0" distB="0" distL="0" distR="0">
            <wp:extent cx="5935345" cy="1258570"/>
            <wp:effectExtent l="0" t="0" r="8255" b="0"/>
            <wp:docPr id="1916939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39227" name="图片 1"/>
                    <pic:cNvPicPr>
                      <a:picLocks noChangeAspect="1"/>
                    </pic:cNvPicPr>
                  </pic:nvPicPr>
                  <pic:blipFill>
                    <a:blip r:embed="rId38"/>
                    <a:stretch>
                      <a:fillRect/>
                    </a:stretch>
                  </pic:blipFill>
                  <pic:spPr>
                    <a:xfrm>
                      <a:off x="0" y="0"/>
                      <a:ext cx="5980651" cy="1268282"/>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2885440" cy="1806575"/>
            <wp:effectExtent l="0" t="0" r="0" b="3175"/>
            <wp:docPr id="2" name="图片 2" descr="S1副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1副反应"/>
                    <pic:cNvPicPr>
                      <a:picLocks noChangeAspect="1"/>
                    </pic:cNvPicPr>
                  </pic:nvPicPr>
                  <pic:blipFill>
                    <a:blip r:embed="rId39"/>
                    <a:stretch>
                      <a:fillRect/>
                    </a:stretch>
                  </pic:blipFill>
                  <pic:spPr>
                    <a:xfrm>
                      <a:off x="0" y="0"/>
                      <a:ext cx="2890071" cy="1809823"/>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②水解反应</w:t>
      </w:r>
    </w:p>
    <w:p>
      <w:pPr>
        <w:pStyle w:val="11"/>
        <w:spacing w:line="360" w:lineRule="auto"/>
        <w:rPr>
          <w:rFonts w:ascii="宋体" w:hAnsi="宋体"/>
          <w:bCs/>
          <w:color w:val="auto"/>
          <w:sz w:val="28"/>
          <w:szCs w:val="28"/>
        </w:rPr>
      </w:pPr>
      <w:r>
        <w:rPr>
          <w:color w:val="auto"/>
        </w:rPr>
        <w:drawing>
          <wp:inline distT="0" distB="0" distL="0" distR="0">
            <wp:extent cx="5937250" cy="1587500"/>
            <wp:effectExtent l="0" t="0" r="6350" b="0"/>
            <wp:docPr id="3" name="图片 3" descr="S2主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2主反应"/>
                    <pic:cNvPicPr>
                      <a:picLocks noChangeAspect="1"/>
                    </pic:cNvPicPr>
                  </pic:nvPicPr>
                  <pic:blipFill>
                    <a:blip r:embed="rId40"/>
                    <a:stretch>
                      <a:fillRect/>
                    </a:stretch>
                  </pic:blipFill>
                  <pic:spPr>
                    <a:xfrm>
                      <a:off x="0" y="0"/>
                      <a:ext cx="5958533" cy="1593511"/>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③氧化反应</w:t>
      </w:r>
    </w:p>
    <w:p>
      <w:pPr>
        <w:pStyle w:val="11"/>
        <w:spacing w:line="360" w:lineRule="auto"/>
        <w:jc w:val="center"/>
        <w:rPr>
          <w:rFonts w:ascii="宋体" w:hAnsi="宋体"/>
          <w:bCs/>
          <w:color w:val="auto"/>
          <w:sz w:val="28"/>
          <w:szCs w:val="28"/>
        </w:rPr>
      </w:pPr>
      <w:r>
        <w:rPr>
          <w:color w:val="auto"/>
        </w:rPr>
        <w:drawing>
          <wp:inline distT="0" distB="0" distL="0" distR="0">
            <wp:extent cx="5759450" cy="1558290"/>
            <wp:effectExtent l="0" t="0" r="0" b="3810"/>
            <wp:docPr id="4740020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02096" name="图片 1"/>
                    <pic:cNvPicPr>
                      <a:picLocks noChangeAspect="1"/>
                    </pic:cNvPicPr>
                  </pic:nvPicPr>
                  <pic:blipFill>
                    <a:blip r:embed="rId41"/>
                    <a:stretch>
                      <a:fillRect/>
                    </a:stretch>
                  </pic:blipFill>
                  <pic:spPr>
                    <a:xfrm>
                      <a:off x="0" y="0"/>
                      <a:ext cx="5759450" cy="1558290"/>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④开环反应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4666615" cy="1921510"/>
            <wp:effectExtent l="0" t="0" r="635" b="2540"/>
            <wp:docPr id="44" name="图片 44" descr="S4主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S4主反应"/>
                    <pic:cNvPicPr>
                      <a:picLocks noChangeAspect="1"/>
                    </pic:cNvPicPr>
                  </pic:nvPicPr>
                  <pic:blipFill>
                    <a:blip r:embed="rId42"/>
                    <a:stretch>
                      <a:fillRect/>
                    </a:stretch>
                  </pic:blipFill>
                  <pic:spPr>
                    <a:xfrm>
                      <a:off x="0" y="0"/>
                      <a:ext cx="4674438" cy="1924768"/>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⑤双羟化反应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5759450" cy="1365250"/>
            <wp:effectExtent l="0" t="0" r="0" b="6350"/>
            <wp:docPr id="1676171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71086" name="图片 1"/>
                    <pic:cNvPicPr>
                      <a:picLocks noChangeAspect="1"/>
                    </pic:cNvPicPr>
                  </pic:nvPicPr>
                  <pic:blipFill>
                    <a:blip r:embed="rId43"/>
                    <a:stretch>
                      <a:fillRect/>
                    </a:stretch>
                  </pic:blipFill>
                  <pic:spPr>
                    <a:xfrm>
                      <a:off x="0" y="0"/>
                      <a:ext cx="5763867" cy="1366709"/>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3847465" cy="566420"/>
            <wp:effectExtent l="0" t="0" r="635" b="5080"/>
            <wp:docPr id="45" name="图片 45" descr="S5副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S5副反应"/>
                    <pic:cNvPicPr>
                      <a:picLocks noChangeAspect="1"/>
                    </pic:cNvPicPr>
                  </pic:nvPicPr>
                  <pic:blipFill>
                    <a:blip r:embed="rId44"/>
                    <a:stretch>
                      <a:fillRect/>
                    </a:stretch>
                  </pic:blipFill>
                  <pic:spPr>
                    <a:xfrm>
                      <a:off x="0" y="0"/>
                      <a:ext cx="3855186" cy="567922"/>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⑥内酯化反应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4690745" cy="3248025"/>
            <wp:effectExtent l="0" t="0" r="0" b="9525"/>
            <wp:docPr id="9" name="图片 9" descr="S6主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6主反应"/>
                    <pic:cNvPicPr>
                      <a:picLocks noChangeAspect="1"/>
                    </pic:cNvPicPr>
                  </pic:nvPicPr>
                  <pic:blipFill>
                    <a:blip r:embed="rId45"/>
                    <a:stretch>
                      <a:fillRect/>
                    </a:stretch>
                  </pic:blipFill>
                  <pic:spPr>
                    <a:xfrm>
                      <a:off x="0" y="0"/>
                      <a:ext cx="4694870" cy="3251113"/>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4737735" cy="3233420"/>
            <wp:effectExtent l="0" t="0" r="5715" b="5080"/>
            <wp:docPr id="46" name="图片 46" descr="S6副反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S6副反应-1"/>
                    <pic:cNvPicPr>
                      <a:picLocks noChangeAspect="1"/>
                    </pic:cNvPicPr>
                  </pic:nvPicPr>
                  <pic:blipFill>
                    <a:blip r:embed="rId46"/>
                    <a:stretch>
                      <a:fillRect/>
                    </a:stretch>
                  </pic:blipFill>
                  <pic:spPr>
                    <a:xfrm>
                      <a:off x="0" y="0"/>
                      <a:ext cx="4741613" cy="3235880"/>
                    </a:xfrm>
                    <a:prstGeom prst="rect">
                      <a:avLst/>
                    </a:prstGeom>
                  </pic:spPr>
                </pic:pic>
              </a:graphicData>
            </a:graphic>
          </wp:inline>
        </w:drawing>
      </w:r>
    </w:p>
    <w:p>
      <w:pPr>
        <w:jc w:val="center"/>
        <w:rPr>
          <w:color w:val="auto"/>
          <w:sz w:val="24"/>
          <w:szCs w:val="24"/>
        </w:rPr>
      </w:pPr>
      <w:r>
        <w:rPr>
          <w:rFonts w:hint="eastAsia"/>
          <w:color w:val="auto"/>
          <w:sz w:val="24"/>
          <w:szCs w:val="24"/>
        </w:rPr>
        <w:t>（CF</w:t>
      </w:r>
      <w:r>
        <w:rPr>
          <w:color w:val="auto"/>
          <w:sz w:val="24"/>
          <w:szCs w:val="24"/>
          <w:vertAlign w:val="subscript"/>
        </w:rPr>
        <w:t>3</w:t>
      </w:r>
      <w:r>
        <w:rPr>
          <w:rFonts w:hint="eastAsia"/>
          <w:color w:val="auto"/>
          <w:sz w:val="24"/>
          <w:szCs w:val="24"/>
        </w:rPr>
        <w:t>CO）</w:t>
      </w:r>
      <w:r>
        <w:rPr>
          <w:rFonts w:hint="eastAsia"/>
          <w:color w:val="auto"/>
          <w:sz w:val="24"/>
          <w:szCs w:val="24"/>
          <w:vertAlign w:val="subscript"/>
        </w:rPr>
        <w:t>2</w:t>
      </w:r>
      <w:r>
        <w:rPr>
          <w:rFonts w:hint="eastAsia"/>
          <w:color w:val="auto"/>
          <w:sz w:val="24"/>
          <w:szCs w:val="24"/>
        </w:rPr>
        <w:t>O</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r>
        <w:rPr>
          <w:color w:val="auto"/>
          <w:sz w:val="24"/>
          <w:szCs w:val="24"/>
          <w:vertAlign w:val="subscript"/>
        </w:rPr>
        <w:t>2</w:t>
      </w:r>
      <w:r>
        <w:rPr>
          <w:rFonts w:hint="eastAsia"/>
          <w:color w:val="auto"/>
          <w:sz w:val="24"/>
          <w:szCs w:val="24"/>
        </w:rPr>
        <w:t>→CF</w:t>
      </w:r>
      <w:r>
        <w:rPr>
          <w:color w:val="auto"/>
          <w:sz w:val="24"/>
          <w:szCs w:val="24"/>
          <w:vertAlign w:val="subscript"/>
        </w:rPr>
        <w:t>3</w:t>
      </w:r>
      <w:r>
        <w:rPr>
          <w:rFonts w:hint="eastAsia"/>
          <w:color w:val="auto"/>
          <w:sz w:val="24"/>
          <w:szCs w:val="24"/>
        </w:rPr>
        <w:t>COOOH（过氧三氟乙酸）+CF</w:t>
      </w:r>
      <w:r>
        <w:rPr>
          <w:color w:val="auto"/>
          <w:sz w:val="24"/>
          <w:szCs w:val="24"/>
          <w:vertAlign w:val="subscript"/>
        </w:rPr>
        <w:t>3</w:t>
      </w:r>
      <w:r>
        <w:rPr>
          <w:rFonts w:hint="eastAsia"/>
          <w:color w:val="auto"/>
          <w:sz w:val="24"/>
          <w:szCs w:val="24"/>
        </w:rPr>
        <w:t>COOH</w:t>
      </w:r>
    </w:p>
    <w:p>
      <w:pPr>
        <w:jc w:val="center"/>
        <w:rPr>
          <w:color w:val="auto"/>
          <w:sz w:val="24"/>
          <w:szCs w:val="24"/>
        </w:rPr>
      </w:pPr>
      <w:r>
        <w:rPr>
          <w:rFonts w:hint="eastAsia"/>
          <w:color w:val="auto"/>
          <w:sz w:val="24"/>
          <w:szCs w:val="24"/>
        </w:rPr>
        <w:t>2CF</w:t>
      </w:r>
      <w:r>
        <w:rPr>
          <w:color w:val="auto"/>
          <w:sz w:val="24"/>
          <w:szCs w:val="24"/>
          <w:vertAlign w:val="subscript"/>
        </w:rPr>
        <w:t>3</w:t>
      </w:r>
      <w:r>
        <w:rPr>
          <w:rFonts w:hint="eastAsia"/>
          <w:color w:val="auto"/>
          <w:sz w:val="24"/>
          <w:szCs w:val="24"/>
        </w:rPr>
        <w:t>COOH</w:t>
      </w:r>
      <w:r>
        <w:rPr>
          <w:color w:val="auto"/>
          <w:sz w:val="24"/>
          <w:szCs w:val="24"/>
        </w:rPr>
        <w:t>+</w:t>
      </w:r>
      <w:r>
        <w:rPr>
          <w:rFonts w:hint="eastAsia"/>
          <w:color w:val="auto"/>
          <w:sz w:val="24"/>
          <w:szCs w:val="24"/>
        </w:rPr>
        <w:t>K</w:t>
      </w:r>
      <w:r>
        <w:rPr>
          <w:color w:val="auto"/>
          <w:sz w:val="24"/>
          <w:szCs w:val="24"/>
          <w:vertAlign w:val="subscript"/>
        </w:rPr>
        <w:t>2</w:t>
      </w:r>
      <w:r>
        <w:rPr>
          <w:rFonts w:hint="eastAsia"/>
          <w:color w:val="auto"/>
          <w:sz w:val="24"/>
          <w:szCs w:val="24"/>
        </w:rPr>
        <w:t>CO</w:t>
      </w:r>
      <w:r>
        <w:rPr>
          <w:color w:val="auto"/>
          <w:sz w:val="24"/>
          <w:szCs w:val="24"/>
          <w:vertAlign w:val="subscript"/>
        </w:rPr>
        <w:t>3</w:t>
      </w:r>
      <w:r>
        <w:rPr>
          <w:rFonts w:hint="eastAsia"/>
          <w:color w:val="auto"/>
          <w:sz w:val="24"/>
          <w:szCs w:val="24"/>
        </w:rPr>
        <w:t>→2CF</w:t>
      </w:r>
      <w:r>
        <w:rPr>
          <w:color w:val="auto"/>
          <w:sz w:val="24"/>
          <w:szCs w:val="24"/>
          <w:vertAlign w:val="subscript"/>
        </w:rPr>
        <w:t>3</w:t>
      </w:r>
      <w:r>
        <w:rPr>
          <w:rFonts w:hint="eastAsia"/>
          <w:color w:val="auto"/>
          <w:sz w:val="24"/>
          <w:szCs w:val="24"/>
        </w:rPr>
        <w:t>COOK</w:t>
      </w:r>
      <w:r>
        <w:rPr>
          <w:color w:val="auto"/>
          <w:sz w:val="24"/>
          <w:szCs w:val="24"/>
        </w:rPr>
        <w:t>+</w:t>
      </w:r>
      <w:r>
        <w:rPr>
          <w:rFonts w:hint="eastAsia"/>
          <w:color w:val="auto"/>
          <w:sz w:val="24"/>
          <w:szCs w:val="24"/>
        </w:rPr>
        <w:t>CO</w:t>
      </w:r>
      <w:r>
        <w:rPr>
          <w:color w:val="auto"/>
          <w:sz w:val="24"/>
          <w:szCs w:val="24"/>
          <w:vertAlign w:val="subscript"/>
        </w:rPr>
        <w:t>2</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p>
    <w:p>
      <w:pPr>
        <w:jc w:val="center"/>
        <w:rPr>
          <w:color w:val="auto"/>
          <w:sz w:val="24"/>
          <w:szCs w:val="24"/>
        </w:rPr>
      </w:pPr>
      <w:r>
        <w:rPr>
          <w:rFonts w:hint="eastAsia"/>
          <w:color w:val="auto"/>
          <w:sz w:val="24"/>
          <w:szCs w:val="24"/>
        </w:rPr>
        <w:t>2NaHSO</w:t>
      </w:r>
      <w:r>
        <w:rPr>
          <w:color w:val="auto"/>
          <w:sz w:val="24"/>
          <w:szCs w:val="24"/>
          <w:vertAlign w:val="subscript"/>
        </w:rPr>
        <w:t>4</w:t>
      </w:r>
      <w:r>
        <w:rPr>
          <w:color w:val="auto"/>
          <w:sz w:val="24"/>
          <w:szCs w:val="24"/>
        </w:rPr>
        <w:t>+</w:t>
      </w:r>
      <w:r>
        <w:rPr>
          <w:rFonts w:hint="eastAsia"/>
          <w:color w:val="auto"/>
          <w:sz w:val="24"/>
          <w:szCs w:val="24"/>
        </w:rPr>
        <w:t>H</w:t>
      </w:r>
      <w:r>
        <w:rPr>
          <w:color w:val="auto"/>
          <w:sz w:val="24"/>
          <w:szCs w:val="24"/>
          <w:vertAlign w:val="subscript"/>
        </w:rPr>
        <w:t>2</w:t>
      </w:r>
      <w:r>
        <w:rPr>
          <w:rFonts w:hint="eastAsia"/>
          <w:color w:val="auto"/>
          <w:sz w:val="24"/>
          <w:szCs w:val="24"/>
        </w:rPr>
        <w:t>O</w:t>
      </w:r>
      <w:r>
        <w:rPr>
          <w:color w:val="auto"/>
          <w:sz w:val="24"/>
          <w:szCs w:val="24"/>
          <w:vertAlign w:val="subscript"/>
        </w:rPr>
        <w:t>2</w:t>
      </w:r>
      <w:r>
        <w:rPr>
          <w:rFonts w:hint="eastAsia"/>
          <w:color w:val="auto"/>
          <w:sz w:val="24"/>
          <w:szCs w:val="24"/>
        </w:rPr>
        <w:t>→2</w:t>
      </w:r>
      <w:r>
        <w:rPr>
          <w:color w:val="auto"/>
          <w:sz w:val="24"/>
          <w:szCs w:val="24"/>
        </w:rPr>
        <w:t>Na</w:t>
      </w:r>
      <w:r>
        <w:rPr>
          <w:color w:val="auto"/>
          <w:sz w:val="24"/>
          <w:szCs w:val="24"/>
          <w:vertAlign w:val="subscript"/>
        </w:rPr>
        <w:t>2</w:t>
      </w:r>
      <w:r>
        <w:rPr>
          <w:color w:val="auto"/>
          <w:sz w:val="24"/>
          <w:szCs w:val="24"/>
        </w:rPr>
        <w:t>SO</w:t>
      </w:r>
      <w:r>
        <w:rPr>
          <w:color w:val="auto"/>
          <w:sz w:val="24"/>
          <w:szCs w:val="24"/>
          <w:vertAlign w:val="subscript"/>
        </w:rPr>
        <w:t>4</w:t>
      </w:r>
      <w:r>
        <w:rPr>
          <w:color w:val="auto"/>
          <w:sz w:val="24"/>
          <w:szCs w:val="24"/>
        </w:rPr>
        <w:t>+SO</w:t>
      </w:r>
      <w:r>
        <w:rPr>
          <w:rFonts w:hint="eastAsia"/>
          <w:color w:val="auto"/>
          <w:sz w:val="24"/>
          <w:szCs w:val="24"/>
          <w:vertAlign w:val="subscript"/>
        </w:rPr>
        <w:t>2</w:t>
      </w:r>
      <w:r>
        <w:rPr>
          <w:color w:val="auto"/>
          <w:sz w:val="24"/>
          <w:szCs w:val="24"/>
        </w:rPr>
        <w:t>+2H</w:t>
      </w:r>
      <w:r>
        <w:rPr>
          <w:color w:val="auto"/>
          <w:sz w:val="24"/>
          <w:szCs w:val="24"/>
          <w:vertAlign w:val="subscript"/>
        </w:rPr>
        <w:t>2</w:t>
      </w:r>
      <w:r>
        <w:rPr>
          <w:color w:val="auto"/>
          <w:sz w:val="24"/>
          <w:szCs w:val="24"/>
        </w:rPr>
        <w:t>O</w:t>
      </w:r>
    </w:p>
    <w:p>
      <w:pPr>
        <w:pStyle w:val="11"/>
        <w:spacing w:line="360" w:lineRule="auto"/>
        <w:ind w:firstLine="480" w:firstLineChars="200"/>
        <w:jc w:val="center"/>
        <w:rPr>
          <w:rFonts w:ascii="宋体" w:hAnsi="宋体"/>
          <w:bCs/>
          <w:color w:val="auto"/>
          <w:sz w:val="28"/>
          <w:szCs w:val="28"/>
        </w:rPr>
      </w:pPr>
      <w:r>
        <w:rPr>
          <w:rFonts w:hint="eastAsia"/>
          <w:color w:val="auto"/>
          <w:sz w:val="24"/>
          <w:szCs w:val="24"/>
        </w:rPr>
        <w:t>S</w:t>
      </w:r>
      <w:r>
        <w:rPr>
          <w:color w:val="auto"/>
          <w:sz w:val="24"/>
          <w:szCs w:val="24"/>
        </w:rPr>
        <w:t>O</w:t>
      </w:r>
      <w:r>
        <w:rPr>
          <w:color w:val="auto"/>
          <w:sz w:val="24"/>
          <w:szCs w:val="24"/>
          <w:vertAlign w:val="subscript"/>
        </w:rPr>
        <w:t>2</w:t>
      </w:r>
      <w:r>
        <w:rPr>
          <w:color w:val="auto"/>
          <w:sz w:val="24"/>
          <w:szCs w:val="24"/>
        </w:rPr>
        <w:t>+2K</w:t>
      </w:r>
      <w:r>
        <w:rPr>
          <w:color w:val="auto"/>
          <w:sz w:val="24"/>
          <w:szCs w:val="24"/>
          <w:vertAlign w:val="subscript"/>
        </w:rPr>
        <w:t>2</w:t>
      </w:r>
      <w:r>
        <w:rPr>
          <w:color w:val="auto"/>
          <w:sz w:val="24"/>
          <w:szCs w:val="24"/>
        </w:rPr>
        <w:t>CO</w:t>
      </w:r>
      <w:r>
        <w:rPr>
          <w:color w:val="auto"/>
          <w:sz w:val="24"/>
          <w:szCs w:val="24"/>
          <w:vertAlign w:val="subscript"/>
        </w:rPr>
        <w:t>3</w:t>
      </w:r>
      <w:r>
        <w:rPr>
          <w:color w:val="auto"/>
          <w:sz w:val="24"/>
          <w:szCs w:val="24"/>
        </w:rPr>
        <w:t>+H</w:t>
      </w:r>
      <w:r>
        <w:rPr>
          <w:color w:val="auto"/>
          <w:sz w:val="24"/>
          <w:szCs w:val="24"/>
          <w:vertAlign w:val="subscript"/>
        </w:rPr>
        <w:t>2</w:t>
      </w:r>
      <w:r>
        <w:rPr>
          <w:color w:val="auto"/>
          <w:sz w:val="24"/>
          <w:szCs w:val="24"/>
        </w:rPr>
        <w:t>O</w:t>
      </w:r>
      <w:r>
        <w:rPr>
          <w:rFonts w:hint="eastAsia"/>
          <w:color w:val="auto"/>
          <w:sz w:val="24"/>
          <w:szCs w:val="24"/>
        </w:rPr>
        <w:t>→K</w:t>
      </w:r>
      <w:r>
        <w:rPr>
          <w:color w:val="auto"/>
          <w:sz w:val="24"/>
          <w:szCs w:val="24"/>
          <w:vertAlign w:val="subscript"/>
        </w:rPr>
        <w:t>2</w:t>
      </w:r>
      <w:r>
        <w:rPr>
          <w:color w:val="auto"/>
          <w:sz w:val="24"/>
          <w:szCs w:val="24"/>
        </w:rPr>
        <w:t>SO</w:t>
      </w:r>
      <w:r>
        <w:rPr>
          <w:color w:val="auto"/>
          <w:sz w:val="24"/>
          <w:szCs w:val="24"/>
          <w:vertAlign w:val="subscript"/>
        </w:rPr>
        <w:t>3</w:t>
      </w:r>
      <w:r>
        <w:rPr>
          <w:color w:val="auto"/>
          <w:sz w:val="24"/>
          <w:szCs w:val="24"/>
        </w:rPr>
        <w:t>+KHCO</w:t>
      </w:r>
      <w:r>
        <w:rPr>
          <w:color w:val="auto"/>
          <w:sz w:val="24"/>
          <w:szCs w:val="24"/>
          <w:vertAlign w:val="subscript"/>
        </w:rPr>
        <w:t>3</w:t>
      </w:r>
    </w:p>
    <w:p>
      <w:pPr>
        <w:pStyle w:val="11"/>
        <w:spacing w:line="360" w:lineRule="auto"/>
        <w:ind w:firstLine="562" w:firstLineChars="200"/>
        <w:rPr>
          <w:rFonts w:ascii="宋体" w:hAnsi="宋体"/>
          <w:b/>
          <w:color w:val="auto"/>
          <w:sz w:val="28"/>
          <w:szCs w:val="28"/>
        </w:rPr>
      </w:pPr>
      <w:r>
        <w:rPr>
          <w:rFonts w:ascii="宋体" w:hAnsi="宋体"/>
          <w:b/>
          <w:color w:val="auto"/>
          <w:sz w:val="28"/>
          <w:szCs w:val="28"/>
        </w:rPr>
        <w:t>2</w:t>
      </w:r>
      <w:r>
        <w:rPr>
          <w:rFonts w:hint="eastAsia" w:ascii="宋体" w:hAnsi="宋体"/>
          <w:b/>
          <w:color w:val="auto"/>
          <w:sz w:val="28"/>
          <w:szCs w:val="28"/>
        </w:rPr>
        <w:t>）生产工艺简述</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（1）磺酰化反应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暂存罐中的丁酮自流至计量罐，在通过计量罐自流至反应釜，将豆甾醇溶解在丁酮溶剂中，搅拌下通过三乙胺计量罐加入三乙胺，继续降温至0℃以下，缓慢甲基磺酰氯计量罐滴加甲基磺酰氯，控温反应温度不超过5℃，滴加完后，在同样的温度下常压搅拌反应1h。</w:t>
      </w:r>
    </w:p>
    <w:p>
      <w:pPr>
        <w:pStyle w:val="78"/>
        <w:widowControl w:val="0"/>
        <w:ind w:firstLine="560" w:firstLineChars="200"/>
        <w:jc w:val="both"/>
        <w:rPr>
          <w:rFonts w:ascii="宋体" w:hAnsi="宋体"/>
          <w:color w:val="auto"/>
        </w:rPr>
      </w:pPr>
      <w:r>
        <w:rPr>
          <w:rFonts w:hint="eastAsia" w:ascii="宋体" w:hAnsi="宋体"/>
          <w:color w:val="auto"/>
          <w:sz w:val="28"/>
          <w:szCs w:val="28"/>
        </w:rPr>
        <w:t>②后处理：反应结束后，加入15%NaCl水溶液洗涤，搅拌后静置分层，溶剂层转入下步反应，水层作为废水收集后去污水处理。</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（2）水解反应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①反应：称取所需碳酸氢钾投入加有水的配置釜中溶解，与上步溶剂层混合，搅拌升温</w:t>
      </w:r>
      <w:r>
        <w:rPr>
          <w:rFonts w:ascii="宋体" w:hAnsi="宋体"/>
          <w:color w:val="auto"/>
          <w:sz w:val="28"/>
          <w:szCs w:val="28"/>
        </w:rPr>
        <w:t>65</w:t>
      </w:r>
      <w:r>
        <w:rPr>
          <w:rFonts w:hint="eastAsia" w:ascii="宋体" w:hAnsi="宋体"/>
          <w:color w:val="auto"/>
          <w:sz w:val="28"/>
          <w:szCs w:val="28"/>
        </w:rPr>
        <w:t>℃，常压回流反应5h以上。</w:t>
      </w:r>
    </w:p>
    <w:p>
      <w:pPr>
        <w:pStyle w:val="78"/>
        <w:widowControl w:val="0"/>
        <w:ind w:firstLine="560" w:firstLineChars="200"/>
        <w:jc w:val="both"/>
        <w:rPr>
          <w:rFonts w:ascii="宋体" w:hAnsi="宋体"/>
          <w:color w:val="auto"/>
        </w:rPr>
      </w:pPr>
      <w:r>
        <w:rPr>
          <w:rFonts w:hint="eastAsia" w:ascii="宋体" w:hAnsi="宋体"/>
          <w:color w:val="auto"/>
          <w:sz w:val="28"/>
          <w:szCs w:val="28"/>
        </w:rPr>
        <w:t>②后处理：反应结束，冷却至室温，静置分层，分出水层作为废水收集后去污水处理。溶剂层用15%NaCl水溶液洗涤，搅拌后静置分层，溶剂层转入下步反应，水层作为废水收集后去污水处理。</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（3）氧化反应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①反应：将上步溶剂层降温至5℃以下，开启搅拌，并加入TEMPO和4</w:t>
      </w:r>
      <w:r>
        <w:rPr>
          <w:rFonts w:ascii="宋体" w:hAnsi="宋体"/>
          <w:color w:val="auto"/>
          <w:sz w:val="28"/>
          <w:szCs w:val="28"/>
        </w:rPr>
        <w:t>0%</w:t>
      </w:r>
      <w:r>
        <w:rPr>
          <w:rFonts w:hint="eastAsia" w:ascii="宋体" w:hAnsi="宋体"/>
          <w:color w:val="auto"/>
          <w:sz w:val="28"/>
          <w:szCs w:val="28"/>
        </w:rPr>
        <w:t>碳酸氢钠水溶液，逐渐滴加1</w:t>
      </w:r>
      <w:r>
        <w:rPr>
          <w:rFonts w:ascii="宋体" w:hAnsi="宋体"/>
          <w:color w:val="auto"/>
          <w:sz w:val="28"/>
          <w:szCs w:val="28"/>
        </w:rPr>
        <w:t>1%</w:t>
      </w:r>
      <w:r>
        <w:rPr>
          <w:rFonts w:hint="eastAsia" w:ascii="宋体" w:hAnsi="宋体"/>
          <w:color w:val="auto"/>
          <w:sz w:val="28"/>
          <w:szCs w:val="28"/>
        </w:rPr>
        <w:t>次氯酸钠水溶液，控制温度10</w:t>
      </w:r>
      <w:r>
        <w:rPr>
          <w:rFonts w:ascii="宋体" w:hAnsi="宋体"/>
          <w:color w:val="auto"/>
          <w:sz w:val="28"/>
          <w:szCs w:val="28"/>
        </w:rPr>
        <w:t>-15</w:t>
      </w:r>
      <w:r>
        <w:rPr>
          <w:rFonts w:hint="eastAsia" w:ascii="宋体" w:hAnsi="宋体"/>
          <w:color w:val="auto"/>
          <w:sz w:val="28"/>
          <w:szCs w:val="28"/>
        </w:rPr>
        <w:t>℃，滴加完后再常压反应30分钟。</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②后处理：反应结束后，静置分层，水层作为废水收集后去污水处理；有机层用1</w:t>
      </w:r>
      <w:r>
        <w:rPr>
          <w:rFonts w:ascii="宋体" w:hAnsi="宋体"/>
          <w:color w:val="auto"/>
          <w:sz w:val="28"/>
          <w:szCs w:val="28"/>
        </w:rPr>
        <w:t>5%</w:t>
      </w:r>
      <w:r>
        <w:rPr>
          <w:rFonts w:hint="eastAsia" w:ascii="宋体" w:hAnsi="宋体"/>
          <w:color w:val="auto"/>
          <w:sz w:val="28"/>
          <w:szCs w:val="28"/>
        </w:rPr>
        <w:t>NaCl溶液洗涤，搅拌后静置分层。水层作为废水收集后去污水处理，有机层进行脱溶，脱溶条件为-</w:t>
      </w:r>
      <w:r>
        <w:rPr>
          <w:rFonts w:ascii="宋体" w:hAnsi="宋体"/>
          <w:color w:val="auto"/>
          <w:sz w:val="28"/>
          <w:szCs w:val="28"/>
        </w:rPr>
        <w:t>0.08</w:t>
      </w:r>
      <w:r>
        <w:rPr>
          <w:rFonts w:hint="eastAsia" w:ascii="宋体" w:hAnsi="宋体"/>
          <w:color w:val="auto"/>
          <w:sz w:val="28"/>
          <w:szCs w:val="28"/>
        </w:rPr>
        <w:t>MPa、8</w:t>
      </w:r>
      <w:r>
        <w:rPr>
          <w:rFonts w:ascii="宋体" w:hAnsi="宋体"/>
          <w:color w:val="auto"/>
          <w:sz w:val="28"/>
          <w:szCs w:val="28"/>
        </w:rPr>
        <w:t>0</w:t>
      </w:r>
      <w:r>
        <w:rPr>
          <w:rFonts w:hint="eastAsia" w:ascii="宋体" w:hAnsi="宋体"/>
          <w:color w:val="auto"/>
          <w:sz w:val="28"/>
          <w:szCs w:val="28"/>
        </w:rPr>
        <w:t>℃，二级冷凝回收丁酮回收套用。固体产物转下一步。</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（4）开环反应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①反应：将暂存于DMF暂存罐的DMF自流至计量罐，在通过计量罐自流至反应釜，将上步固体产物溶于DMF中，搅拌溶解。再加入40%氢溴酸和NaBr搅拌，加热1</w:t>
      </w:r>
      <w:r>
        <w:rPr>
          <w:rFonts w:ascii="宋体" w:hAnsi="宋体"/>
          <w:color w:val="auto"/>
          <w:sz w:val="28"/>
          <w:szCs w:val="28"/>
        </w:rPr>
        <w:t>47</w:t>
      </w:r>
      <w:r>
        <w:rPr>
          <w:rFonts w:hint="eastAsia" w:ascii="宋体" w:hAnsi="宋体"/>
          <w:color w:val="auto"/>
          <w:sz w:val="28"/>
          <w:szCs w:val="28"/>
        </w:rPr>
        <w:t>℃回流常压反应5h，两级冷凝回收废气作为危废处理。</w:t>
      </w:r>
    </w:p>
    <w:p>
      <w:pPr>
        <w:pStyle w:val="78"/>
        <w:widowControl w:val="0"/>
        <w:ind w:left="120" w:leftChars="57" w:firstLine="420"/>
        <w:jc w:val="both"/>
        <w:rPr>
          <w:rFonts w:ascii="宋体" w:hAnsi="宋体"/>
          <w:color w:val="auto"/>
          <w:sz w:val="28"/>
          <w:szCs w:val="28"/>
        </w:rPr>
      </w:pPr>
      <w:r>
        <w:rPr>
          <w:rFonts w:hint="eastAsia" w:ascii="宋体" w:hAnsi="宋体"/>
          <w:color w:val="auto"/>
          <w:sz w:val="28"/>
          <w:szCs w:val="28"/>
        </w:rPr>
        <w:t>②后处理：反应结束后，进行脱溶，脱溶条件-</w:t>
      </w:r>
      <w:r>
        <w:rPr>
          <w:rFonts w:ascii="宋体" w:hAnsi="宋体"/>
          <w:color w:val="auto"/>
          <w:sz w:val="28"/>
          <w:szCs w:val="28"/>
        </w:rPr>
        <w:t>0.08</w:t>
      </w:r>
      <w:r>
        <w:rPr>
          <w:rFonts w:hint="eastAsia" w:ascii="宋体" w:hAnsi="宋体"/>
          <w:color w:val="auto"/>
          <w:sz w:val="28"/>
          <w:szCs w:val="28"/>
        </w:rPr>
        <w:t>MPa、1</w:t>
      </w:r>
      <w:r>
        <w:rPr>
          <w:rFonts w:ascii="宋体" w:hAnsi="宋体"/>
          <w:color w:val="auto"/>
          <w:sz w:val="28"/>
          <w:szCs w:val="28"/>
        </w:rPr>
        <w:t>47</w:t>
      </w:r>
      <w:r>
        <w:rPr>
          <w:rFonts w:hint="eastAsia" w:ascii="宋体" w:hAnsi="宋体"/>
          <w:color w:val="auto"/>
          <w:sz w:val="28"/>
          <w:szCs w:val="28"/>
        </w:rPr>
        <w:t>℃，二级冷凝回收DMF、氢溴酸、溴化钠用于下批次套用。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后，冷却至室温，将暂存罐中乙酸乙酯自流至计量罐，在通过计量罐将乙酸乙酯自流至反应釜，同时通过计量罐加入水，搅拌溶解至透明，静置分层。下层转入萃取釜，加乙酸乙酯萃取一次，水层作为废水收集后去污水处理；溶剂层合并，用15%NaCl水溶液洗涤。搅拌静置分层，水层作为废水去污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溶剂层脱溶，脱溶条件为-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℃，二级冷凝回收乙酸乙酯用于下批次套用；脱溶后粗产物去纯化处理。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③粗品纯化：将上步粗品溶于石油醚溶剂中，搅拌下加热溶解后装柱层析分离，</w:t>
      </w:r>
      <w:r>
        <w:rPr>
          <w:rFonts w:hint="eastAsia"/>
          <w:color w:val="auto"/>
          <w:sz w:val="28"/>
          <w:szCs w:val="28"/>
        </w:rPr>
        <w:t>柱层析直径3</w:t>
      </w:r>
      <w:r>
        <w:rPr>
          <w:color w:val="auto"/>
          <w:sz w:val="28"/>
          <w:szCs w:val="28"/>
        </w:rPr>
        <w:t>0</w:t>
      </w:r>
      <w:r>
        <w:rPr>
          <w:rFonts w:hint="eastAsia"/>
          <w:color w:val="auto"/>
          <w:sz w:val="28"/>
          <w:szCs w:val="28"/>
        </w:rPr>
        <w:t>cm、高度1</w:t>
      </w:r>
      <w:r>
        <w:rPr>
          <w:color w:val="auto"/>
          <w:sz w:val="28"/>
          <w:szCs w:val="28"/>
        </w:rPr>
        <w:t>50</w:t>
      </w:r>
      <w:r>
        <w:rPr>
          <w:rFonts w:hint="eastAsia"/>
          <w:color w:val="auto"/>
          <w:sz w:val="28"/>
          <w:szCs w:val="28"/>
        </w:rPr>
        <w:t>cm</w:t>
      </w:r>
      <w:r>
        <w:rPr>
          <w:color w:val="auto"/>
          <w:sz w:val="28"/>
          <w:szCs w:val="28"/>
        </w:rPr>
        <w:t>，柱层析用硅胶填柱，</w:t>
      </w:r>
      <w:r>
        <w:rPr>
          <w:rFonts w:hint="eastAsia"/>
          <w:color w:val="auto"/>
          <w:sz w:val="28"/>
          <w:szCs w:val="28"/>
        </w:rPr>
        <w:t>通过氮气加压洗脱，</w:t>
      </w:r>
      <w:r>
        <w:rPr>
          <w:color w:val="auto"/>
          <w:sz w:val="28"/>
          <w:szCs w:val="28"/>
        </w:rPr>
        <w:t>硅胶柱</w:t>
      </w:r>
      <w:r>
        <w:rPr>
          <w:rFonts w:hint="eastAsia"/>
          <w:color w:val="auto"/>
          <w:sz w:val="28"/>
          <w:szCs w:val="28"/>
        </w:rPr>
        <w:t>作</w:t>
      </w:r>
      <w:r>
        <w:rPr>
          <w:color w:val="auto"/>
          <w:sz w:val="28"/>
          <w:szCs w:val="28"/>
        </w:rPr>
        <w:t>为固废，委托有资质单位处置</w:t>
      </w:r>
      <w:r>
        <w:rPr>
          <w:rFonts w:hint="eastAsia" w:ascii="宋体" w:hAnsi="宋体"/>
          <w:color w:val="auto"/>
          <w:sz w:val="28"/>
          <w:szCs w:val="28"/>
        </w:rPr>
        <w:t>；过柱后收集到含杂质石油醚和含产物石油醚，含杂质石油醚脱溶（-</w:t>
      </w:r>
      <w:r>
        <w:rPr>
          <w:rFonts w:ascii="宋体" w:hAnsi="宋体"/>
          <w:color w:val="auto"/>
          <w:sz w:val="28"/>
          <w:szCs w:val="28"/>
        </w:rPr>
        <w:t>0.08</w:t>
      </w:r>
      <w:r>
        <w:rPr>
          <w:rFonts w:hint="eastAsia" w:ascii="宋体" w:hAnsi="宋体"/>
          <w:color w:val="auto"/>
          <w:sz w:val="28"/>
          <w:szCs w:val="28"/>
        </w:rPr>
        <w:t>MPa、</w:t>
      </w:r>
      <w:r>
        <w:rPr>
          <w:rFonts w:ascii="宋体" w:hAnsi="宋体"/>
          <w:color w:val="auto"/>
          <w:sz w:val="28"/>
          <w:szCs w:val="28"/>
        </w:rPr>
        <w:t>60</w:t>
      </w:r>
      <w:r>
        <w:rPr>
          <w:rFonts w:hint="eastAsia" w:ascii="宋体" w:hAnsi="宋体"/>
          <w:color w:val="auto"/>
          <w:sz w:val="28"/>
          <w:szCs w:val="28"/>
        </w:rPr>
        <w:t>℃），二级冷凝回收石油醚下批次套用，蒸馏残渣作为固废，委托有资质单位处置；含产物石油醚脱溶（-</w:t>
      </w:r>
      <w:r>
        <w:rPr>
          <w:rFonts w:ascii="宋体" w:hAnsi="宋体"/>
          <w:color w:val="auto"/>
          <w:sz w:val="28"/>
          <w:szCs w:val="28"/>
        </w:rPr>
        <w:t>0.08</w:t>
      </w:r>
      <w:r>
        <w:rPr>
          <w:rFonts w:hint="eastAsia" w:ascii="宋体" w:hAnsi="宋体"/>
          <w:color w:val="auto"/>
          <w:sz w:val="28"/>
          <w:szCs w:val="28"/>
        </w:rPr>
        <w:t>MPa、</w:t>
      </w:r>
      <w:r>
        <w:rPr>
          <w:rFonts w:ascii="宋体" w:hAnsi="宋体"/>
          <w:color w:val="auto"/>
          <w:sz w:val="28"/>
          <w:szCs w:val="28"/>
        </w:rPr>
        <w:t>60</w:t>
      </w:r>
      <w:r>
        <w:rPr>
          <w:rFonts w:hint="eastAsia" w:ascii="宋体" w:hAnsi="宋体"/>
          <w:color w:val="auto"/>
          <w:sz w:val="28"/>
          <w:szCs w:val="28"/>
        </w:rPr>
        <w:t>℃），二级冷凝回收石油醚循环套用；产物经热风烘干（5</w:t>
      </w:r>
      <w:r>
        <w:rPr>
          <w:rFonts w:ascii="宋体" w:hAnsi="宋体"/>
          <w:color w:val="auto"/>
          <w:sz w:val="28"/>
          <w:szCs w:val="28"/>
        </w:rPr>
        <w:t>5</w:t>
      </w:r>
      <w:r>
        <w:rPr>
          <w:rFonts w:hint="eastAsia" w:ascii="宋体" w:hAnsi="宋体"/>
          <w:color w:val="auto"/>
          <w:sz w:val="28"/>
          <w:szCs w:val="28"/>
        </w:rPr>
        <w:t>℃）后转入下步反应。</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（5）双羟化反应</w:t>
      </w:r>
    </w:p>
    <w:p>
      <w:pPr>
        <w:pStyle w:val="78"/>
        <w:widowControl w:val="0"/>
        <w:ind w:left="239" w:leftChars="114" w:firstLine="280" w:firstLineChars="100"/>
        <w:jc w:val="both"/>
        <w:rPr>
          <w:rFonts w:ascii="宋体" w:hAnsi="宋体"/>
          <w:color w:val="auto"/>
          <w:sz w:val="28"/>
          <w:szCs w:val="28"/>
        </w:rPr>
      </w:pPr>
      <w:r>
        <w:rPr>
          <w:rFonts w:hint="eastAsia" w:ascii="宋体" w:hAnsi="宋体"/>
          <w:color w:val="auto"/>
          <w:sz w:val="28"/>
          <w:szCs w:val="28"/>
        </w:rPr>
        <w:t>①反应：将叔丁醇自流至反应釜，并投入上步产物，升温至5</w:t>
      </w:r>
      <w:r>
        <w:rPr>
          <w:rFonts w:ascii="宋体" w:hAnsi="宋体"/>
          <w:color w:val="auto"/>
          <w:sz w:val="28"/>
          <w:szCs w:val="28"/>
        </w:rPr>
        <w:t>0</w:t>
      </w:r>
      <w:r>
        <w:rPr>
          <w:rFonts w:hint="eastAsia" w:ascii="宋体" w:hAnsi="宋体"/>
          <w:color w:val="auto"/>
          <w:sz w:val="28"/>
          <w:szCs w:val="28"/>
        </w:rPr>
        <w:t>℃搅拌溶解。然后再加入铁氰化钾和碳酸钾和水，搅拌混合，再向反应釜中投入甲基磺酰胺、奎尼丁，室温下常压连续搅拌5天。</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②后处理：反应结束后，边搅拌边压滤放料，滤渣作为固废，委托有资质单位处置；滤液静置分层，水层作为废水收集后去污水处理；溶剂层分次加入35%NaHSO</w:t>
      </w:r>
      <w:r>
        <w:rPr>
          <w:rFonts w:hint="eastAsia" w:ascii="宋体" w:hAnsi="宋体"/>
          <w:color w:val="auto"/>
          <w:sz w:val="28"/>
          <w:szCs w:val="28"/>
          <w:vertAlign w:val="subscript"/>
        </w:rPr>
        <w:t>3</w:t>
      </w:r>
      <w:r>
        <w:rPr>
          <w:rFonts w:hint="eastAsia" w:ascii="宋体" w:hAnsi="宋体"/>
          <w:color w:val="auto"/>
          <w:sz w:val="28"/>
          <w:szCs w:val="28"/>
        </w:rPr>
        <w:t>水溶液和</w:t>
      </w:r>
      <w:r>
        <w:rPr>
          <w:rFonts w:ascii="宋体" w:hAnsi="宋体"/>
          <w:color w:val="auto"/>
          <w:sz w:val="28"/>
          <w:szCs w:val="28"/>
        </w:rPr>
        <w:t>15%</w:t>
      </w:r>
      <w:r>
        <w:rPr>
          <w:rFonts w:hint="eastAsia" w:ascii="宋体" w:hAnsi="宋体"/>
          <w:color w:val="auto"/>
          <w:sz w:val="28"/>
          <w:szCs w:val="28"/>
        </w:rPr>
        <w:t>NaCl水溶液搅拌洗涤，水层作为废水收集后去污水处理。洗涤后溶剂层脱溶，脱溶条件为-</w:t>
      </w:r>
      <w:r>
        <w:rPr>
          <w:rFonts w:ascii="宋体" w:hAnsi="宋体"/>
          <w:color w:val="auto"/>
          <w:sz w:val="28"/>
          <w:szCs w:val="28"/>
        </w:rPr>
        <w:t>0.08</w:t>
      </w:r>
      <w:r>
        <w:rPr>
          <w:rFonts w:hint="eastAsia" w:ascii="宋体" w:hAnsi="宋体"/>
          <w:color w:val="auto"/>
          <w:sz w:val="28"/>
          <w:szCs w:val="28"/>
        </w:rPr>
        <w:t>MPa、</w:t>
      </w:r>
      <w:r>
        <w:rPr>
          <w:rFonts w:ascii="宋体" w:hAnsi="宋体"/>
          <w:color w:val="auto"/>
          <w:sz w:val="28"/>
          <w:szCs w:val="28"/>
        </w:rPr>
        <w:t>90</w:t>
      </w:r>
      <w:r>
        <w:rPr>
          <w:rFonts w:hint="eastAsia" w:ascii="宋体" w:hAnsi="宋体"/>
          <w:color w:val="auto"/>
          <w:sz w:val="28"/>
          <w:szCs w:val="28"/>
        </w:rPr>
        <w:t>℃，二级冷凝回收叔丁醇套用。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③粗品纯化：将脱溶后的粗产品加入至脱溶结晶釜中，将暂存罐中乙酸乙酯自流至计量罐，在通过计量罐将乙酸乙酯加入至反应釜，同时通过计量罐加入水，搅拌溶解至透明，静置分层，水层作为废水处理；有机层在结晶釜中冷却至0</w:t>
      </w:r>
      <w:r>
        <w:rPr>
          <w:rFonts w:ascii="宋体" w:hAnsi="宋体"/>
          <w:color w:val="auto"/>
          <w:sz w:val="28"/>
          <w:szCs w:val="28"/>
        </w:rPr>
        <w:t>~5</w:t>
      </w:r>
      <w:r>
        <w:rPr>
          <w:rFonts w:hint="eastAsia" w:ascii="宋体" w:hAnsi="宋体"/>
          <w:color w:val="auto"/>
          <w:sz w:val="28"/>
          <w:szCs w:val="28"/>
        </w:rPr>
        <w:t>℃搅拌结晶，析出固体中间产物抽滤待用。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结晶母液装柱，柱层析用硅胶填柱，硅胶柱作为固废委托有资质单位处置；过柱后分别收集到含奎尼丁母液、含杂质母液和含产物母液分别脱溶，脱溶条件为-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℃，二级冷凝回收奎尼丁、乙酸乙酯下批次套用。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脱溶回收产物与结晶产物一并经热风烘干（5</w:t>
      </w:r>
      <w:r>
        <w:rPr>
          <w:rFonts w:ascii="宋体" w:hAnsi="宋体"/>
          <w:color w:val="auto"/>
          <w:sz w:val="28"/>
          <w:szCs w:val="28"/>
        </w:rPr>
        <w:t>5</w:t>
      </w:r>
      <w:r>
        <w:rPr>
          <w:rFonts w:hint="eastAsia" w:ascii="宋体" w:hAnsi="宋体"/>
          <w:color w:val="auto"/>
          <w:sz w:val="28"/>
          <w:szCs w:val="28"/>
        </w:rPr>
        <w:t>℃）后转入下步反应。</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（6）内酯化反应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①反应：将暂存于暂存罐的二氯甲烷自流至计量罐，再通过计量罐将二氯甲烷自流至反应釜中，并通过物料泵泵入三氟乙酸酐，随后投入上步固体产物，搅拌降温至0℃以下，缓慢滴加3</w:t>
      </w:r>
      <w:r>
        <w:rPr>
          <w:rFonts w:ascii="宋体" w:hAnsi="宋体"/>
          <w:color w:val="auto"/>
          <w:sz w:val="28"/>
          <w:szCs w:val="28"/>
        </w:rPr>
        <w:t>0%</w:t>
      </w:r>
      <w:r>
        <w:rPr>
          <w:rFonts w:hint="eastAsia" w:ascii="宋体" w:hAnsi="宋体"/>
          <w:color w:val="auto"/>
          <w:sz w:val="28"/>
          <w:szCs w:val="28"/>
        </w:rPr>
        <w:t>H</w:t>
      </w:r>
      <w:r>
        <w:rPr>
          <w:rFonts w:hint="eastAsia" w:ascii="宋体" w:hAnsi="宋体"/>
          <w:color w:val="auto"/>
          <w:sz w:val="28"/>
          <w:szCs w:val="28"/>
          <w:vertAlign w:val="subscript"/>
        </w:rPr>
        <w:t>2</w:t>
      </w:r>
      <w:r>
        <w:rPr>
          <w:rFonts w:hint="eastAsia" w:ascii="宋体" w:hAnsi="宋体"/>
          <w:color w:val="auto"/>
          <w:sz w:val="28"/>
          <w:szCs w:val="28"/>
        </w:rPr>
        <w:t>O</w:t>
      </w:r>
      <w:r>
        <w:rPr>
          <w:rFonts w:hint="eastAsia" w:ascii="宋体" w:hAnsi="宋体"/>
          <w:color w:val="auto"/>
          <w:sz w:val="28"/>
          <w:szCs w:val="28"/>
          <w:vertAlign w:val="subscript"/>
        </w:rPr>
        <w:t>2</w:t>
      </w:r>
      <w:r>
        <w:rPr>
          <w:rFonts w:hint="eastAsia" w:ascii="宋体" w:hAnsi="宋体"/>
          <w:color w:val="auto"/>
          <w:sz w:val="28"/>
          <w:szCs w:val="28"/>
        </w:rPr>
        <w:t>，并控制釜内温度不超过0℃，常压搅拌反应3h。该步反应的主反应收率8</w:t>
      </w:r>
      <w:r>
        <w:rPr>
          <w:rFonts w:ascii="宋体" w:hAnsi="宋体"/>
          <w:color w:val="auto"/>
          <w:sz w:val="28"/>
          <w:szCs w:val="28"/>
        </w:rPr>
        <w:t>0%</w:t>
      </w:r>
      <w:r>
        <w:rPr>
          <w:rFonts w:hint="eastAsia" w:ascii="宋体" w:hAnsi="宋体"/>
          <w:color w:val="auto"/>
          <w:sz w:val="28"/>
          <w:szCs w:val="28"/>
        </w:rPr>
        <w:t>，副反应收率1</w:t>
      </w:r>
      <w:r>
        <w:rPr>
          <w:rFonts w:ascii="宋体" w:hAnsi="宋体"/>
          <w:color w:val="auto"/>
          <w:sz w:val="28"/>
          <w:szCs w:val="28"/>
        </w:rPr>
        <w:t>0%</w:t>
      </w:r>
      <w:r>
        <w:rPr>
          <w:rFonts w:hint="eastAsia" w:ascii="宋体" w:hAnsi="宋体"/>
          <w:color w:val="auto"/>
          <w:sz w:val="28"/>
          <w:szCs w:val="28"/>
        </w:rPr>
        <w:t>。</w:t>
      </w:r>
    </w:p>
    <w:p>
      <w:pPr>
        <w:pStyle w:val="78"/>
        <w:widowControl w:val="0"/>
        <w:ind w:firstLine="560" w:firstLineChars="200"/>
        <w:jc w:val="both"/>
        <w:rPr>
          <w:rFonts w:ascii="宋体" w:hAnsi="宋体"/>
          <w:color w:val="auto"/>
          <w:sz w:val="28"/>
          <w:szCs w:val="28"/>
          <w:vertAlign w:val="subscript"/>
        </w:rPr>
      </w:pPr>
      <w:r>
        <w:rPr>
          <w:rFonts w:hint="eastAsia" w:ascii="宋体" w:hAnsi="宋体"/>
          <w:color w:val="auto"/>
          <w:sz w:val="28"/>
          <w:szCs w:val="28"/>
        </w:rPr>
        <w:t>②后处理：反应完全后，向反应釜中加水搅拌，静置分层，水层作为废水处理。溶剂层在搅拌下加入35%K</w:t>
      </w:r>
      <w:r>
        <w:rPr>
          <w:rFonts w:hint="eastAsia" w:ascii="宋体" w:hAnsi="宋体"/>
          <w:color w:val="auto"/>
          <w:sz w:val="28"/>
          <w:szCs w:val="28"/>
          <w:vertAlign w:val="subscript"/>
        </w:rPr>
        <w:t>2</w:t>
      </w:r>
      <w:r>
        <w:rPr>
          <w:rFonts w:hint="eastAsia" w:ascii="宋体" w:hAnsi="宋体"/>
          <w:color w:val="auto"/>
          <w:sz w:val="28"/>
          <w:szCs w:val="28"/>
        </w:rPr>
        <w:t>CO</w:t>
      </w:r>
      <w:r>
        <w:rPr>
          <w:rFonts w:hint="eastAsia" w:ascii="宋体" w:hAnsi="宋体"/>
          <w:color w:val="auto"/>
          <w:sz w:val="28"/>
          <w:szCs w:val="28"/>
          <w:vertAlign w:val="subscript"/>
        </w:rPr>
        <w:t>3</w:t>
      </w:r>
      <w:r>
        <w:rPr>
          <w:rFonts w:hint="eastAsia" w:ascii="宋体" w:hAnsi="宋体"/>
          <w:color w:val="auto"/>
          <w:sz w:val="28"/>
          <w:szCs w:val="28"/>
        </w:rPr>
        <w:t>水溶液和饱和NaCl水溶液，搅拌使之溶解，静置结晶（0</w:t>
      </w:r>
      <w:r>
        <w:rPr>
          <w:rFonts w:ascii="宋体" w:hAnsi="宋体"/>
          <w:color w:val="auto"/>
          <w:sz w:val="28"/>
          <w:szCs w:val="28"/>
        </w:rPr>
        <w:t>~5</w:t>
      </w:r>
      <w:r>
        <w:rPr>
          <w:rFonts w:hint="eastAsia" w:ascii="宋体" w:hAnsi="宋体"/>
          <w:color w:val="auto"/>
          <w:sz w:val="28"/>
          <w:szCs w:val="28"/>
        </w:rPr>
        <w:t>℃）。</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③纯化处理：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结晶釜中的上层为水层，通过物料泵转移至萃取釜，并加入二氯甲烷进行萃取，溶剂层待处理，水层作为废水处理；结晶层为产物层，边加水边离心甩干，离心后液合并至水层萃取；下层为溶剂层，合并溶剂层分次用20%亚硫酸氢钠溶液、15%NaCl水溶液洗涤，水层作为废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洗涤后的溶剂层脱溶，脱溶条件为-</w:t>
      </w:r>
      <w:r>
        <w:rPr>
          <w:rFonts w:ascii="宋体" w:hAnsi="宋体"/>
          <w:color w:val="auto"/>
          <w:sz w:val="28"/>
          <w:szCs w:val="28"/>
        </w:rPr>
        <w:t>0.08</w:t>
      </w:r>
      <w:r>
        <w:rPr>
          <w:rFonts w:hint="eastAsia" w:ascii="宋体" w:hAnsi="宋体"/>
          <w:color w:val="auto"/>
          <w:sz w:val="28"/>
          <w:szCs w:val="28"/>
        </w:rPr>
        <w:t>MP</w:t>
      </w:r>
      <w:r>
        <w:rPr>
          <w:rFonts w:ascii="宋体" w:hAnsi="宋体"/>
          <w:color w:val="auto"/>
          <w:sz w:val="28"/>
          <w:szCs w:val="28"/>
        </w:rPr>
        <w:t>a</w:t>
      </w:r>
      <w:r>
        <w:rPr>
          <w:rFonts w:hint="eastAsia" w:ascii="宋体" w:hAnsi="宋体"/>
          <w:color w:val="auto"/>
          <w:sz w:val="28"/>
          <w:szCs w:val="28"/>
        </w:rPr>
        <w:t>、5</w:t>
      </w:r>
      <w:r>
        <w:rPr>
          <w:rFonts w:ascii="宋体" w:hAnsi="宋体"/>
          <w:color w:val="auto"/>
          <w:sz w:val="28"/>
          <w:szCs w:val="28"/>
        </w:rPr>
        <w:t>0</w:t>
      </w:r>
      <w:r>
        <w:rPr>
          <w:rFonts w:hint="eastAsia" w:ascii="宋体" w:hAnsi="宋体"/>
          <w:color w:val="auto"/>
          <w:sz w:val="28"/>
          <w:szCs w:val="28"/>
        </w:rPr>
        <w:t>℃，二级冷凝回收二氯甲烷下批次套用；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后的粗产物加入至后处理釜中，将暂存于暂存罐中的乙酸乙酯自流至计量罐，在通过计量罐自流至后处理釜，搅拌溶解至透明后装柱，柱层析用硅胶填柱，硅胶柱作为固废，委托有资质单位处置。过柱后收集到含产物乙酸乙酯和含杂质乙酸乙酯，分别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℃，二级冷凝回收乙酸乙酯套用。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脱溶回收产物和水洗离心后的结晶产物一并经热风烘干（5</w:t>
      </w:r>
      <w:r>
        <w:rPr>
          <w:rFonts w:ascii="宋体" w:hAnsi="宋体"/>
          <w:color w:val="auto"/>
          <w:sz w:val="28"/>
          <w:szCs w:val="28"/>
        </w:rPr>
        <w:t>5</w:t>
      </w:r>
      <w:r>
        <w:rPr>
          <w:rFonts w:hint="eastAsia" w:ascii="宋体" w:hAnsi="宋体"/>
          <w:color w:val="auto"/>
          <w:sz w:val="28"/>
          <w:szCs w:val="28"/>
        </w:rPr>
        <w:t>℃）后得最终产品28-高芸苔素内酯。</w:t>
      </w:r>
    </w:p>
    <w:p>
      <w:pPr>
        <w:pStyle w:val="11"/>
        <w:spacing w:line="360" w:lineRule="auto"/>
        <w:ind w:firstLine="562" w:firstLineChars="200"/>
        <w:rPr>
          <w:rFonts w:ascii="宋体" w:hAnsi="宋体"/>
          <w:b/>
          <w:color w:val="auto"/>
          <w:sz w:val="28"/>
          <w:szCs w:val="28"/>
        </w:rPr>
        <w:sectPr>
          <w:headerReference r:id="rId8" w:type="default"/>
          <w:footerReference r:id="rId9" w:type="default"/>
          <w:pgSz w:w="11906" w:h="16838"/>
          <w:pgMar w:top="1418" w:right="1418" w:bottom="1440" w:left="1418" w:header="851" w:footer="992" w:gutter="0"/>
          <w:cols w:space="425" w:num="1"/>
          <w:docGrid w:type="lines" w:linePitch="312" w:charSpace="0"/>
        </w:sectPr>
      </w:pPr>
      <w:r>
        <w:rPr>
          <w:rFonts w:hint="eastAsia" w:ascii="宋体" w:hAnsi="宋体"/>
          <w:b/>
          <w:color w:val="auto"/>
          <w:sz w:val="28"/>
          <w:szCs w:val="28"/>
        </w:rPr>
        <w:t>3）工艺流程图</w:t>
      </w:r>
    </w:p>
    <w:p>
      <w:pPr>
        <w:pStyle w:val="11"/>
        <w:spacing w:line="360" w:lineRule="auto"/>
        <w:rPr>
          <w:rFonts w:ascii="宋体" w:hAnsi="宋体"/>
          <w:b/>
          <w:color w:val="auto"/>
          <w:sz w:val="28"/>
          <w:szCs w:val="28"/>
        </w:rPr>
      </w:pPr>
      <w:r>
        <w:rPr>
          <w:color w:val="auto"/>
        </w:rPr>
        <w:drawing>
          <wp:inline distT="0" distB="0" distL="0" distR="0">
            <wp:extent cx="8877300" cy="4998720"/>
            <wp:effectExtent l="0" t="0" r="0" b="0"/>
            <wp:docPr id="1167862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2502" name="图片 1"/>
                    <pic:cNvPicPr>
                      <a:picLocks noChangeAspect="1"/>
                    </pic:cNvPicPr>
                  </pic:nvPicPr>
                  <pic:blipFill>
                    <a:blip r:embed="rId47"/>
                    <a:stretch>
                      <a:fillRect/>
                    </a:stretch>
                  </pic:blipFill>
                  <pic:spPr>
                    <a:xfrm>
                      <a:off x="0" y="0"/>
                      <a:ext cx="8877300" cy="4998720"/>
                    </a:xfrm>
                    <a:prstGeom prst="rect">
                      <a:avLst/>
                    </a:prstGeom>
                  </pic:spPr>
                </pic:pic>
              </a:graphicData>
            </a:graphic>
          </wp:inline>
        </w:drawing>
      </w:r>
      <w:r>
        <w:rPr>
          <w:color w:val="auto"/>
        </w:rPr>
        <w:t xml:space="preserve"> </w:t>
      </w:r>
      <w:r>
        <w:rPr>
          <w:color w:val="auto"/>
        </w:rPr>
        <w:drawing>
          <wp:inline distT="0" distB="0" distL="0" distR="0">
            <wp:extent cx="8877300" cy="4983480"/>
            <wp:effectExtent l="0" t="0" r="0" b="7620"/>
            <wp:docPr id="421617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17829" name="图片 1"/>
                    <pic:cNvPicPr>
                      <a:picLocks noChangeAspect="1"/>
                    </pic:cNvPicPr>
                  </pic:nvPicPr>
                  <pic:blipFill>
                    <a:blip r:embed="rId48"/>
                    <a:stretch>
                      <a:fillRect/>
                    </a:stretch>
                  </pic:blipFill>
                  <pic:spPr>
                    <a:xfrm>
                      <a:off x="0" y="0"/>
                      <a:ext cx="8877300" cy="4983480"/>
                    </a:xfrm>
                    <a:prstGeom prst="rect">
                      <a:avLst/>
                    </a:prstGeom>
                  </pic:spPr>
                </pic:pic>
              </a:graphicData>
            </a:graphic>
          </wp:inline>
        </w:drawing>
      </w:r>
    </w:p>
    <w:p>
      <w:pPr>
        <w:pStyle w:val="11"/>
        <w:spacing w:line="360" w:lineRule="auto"/>
        <w:jc w:val="center"/>
        <w:rPr>
          <w:rFonts w:ascii="宋体" w:hAnsi="宋体"/>
          <w:color w:val="auto"/>
          <w:sz w:val="24"/>
          <w:szCs w:val="24"/>
        </w:rPr>
        <w:sectPr>
          <w:headerReference r:id="rId10" w:type="default"/>
          <w:footerReference r:id="rId11" w:type="default"/>
          <w:pgSz w:w="16838" w:h="11906" w:orient="landscape"/>
          <w:pgMar w:top="1418" w:right="1418" w:bottom="1418" w:left="1440" w:header="851" w:footer="992" w:gutter="0"/>
          <w:cols w:space="425" w:num="1"/>
          <w:docGrid w:type="lines" w:linePitch="312" w:charSpace="0"/>
        </w:sectPr>
      </w:pPr>
      <w:r>
        <w:rPr>
          <w:rFonts w:hint="eastAsia" w:ascii="宋体" w:hAnsi="宋体"/>
          <w:color w:val="auto"/>
          <w:sz w:val="24"/>
          <w:szCs w:val="24"/>
        </w:rPr>
        <w:t>图2</w:t>
      </w:r>
      <w:r>
        <w:rPr>
          <w:rFonts w:ascii="宋体" w:hAnsi="宋体"/>
          <w:color w:val="auto"/>
          <w:sz w:val="24"/>
          <w:szCs w:val="24"/>
        </w:rPr>
        <w:t>.4-2  28-</w:t>
      </w:r>
      <w:r>
        <w:rPr>
          <w:rFonts w:hint="eastAsia" w:ascii="宋体" w:hAnsi="宋体"/>
          <w:color w:val="auto"/>
          <w:sz w:val="24"/>
          <w:szCs w:val="24"/>
        </w:rPr>
        <w:t>高芸苔素内酯生产工艺流程</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4）物料平衡</w:t>
      </w:r>
    </w:p>
    <w:p>
      <w:pPr>
        <w:pStyle w:val="11"/>
        <w:jc w:val="center"/>
        <w:rPr>
          <w:rFonts w:ascii="宋体" w:hAnsi="宋体"/>
          <w:bCs/>
          <w:color w:val="auto"/>
        </w:rPr>
      </w:pPr>
      <w:r>
        <w:rPr>
          <w:rFonts w:hint="eastAsia" w:ascii="宋体" w:hAnsi="宋体"/>
          <w:bCs/>
          <w:color w:val="auto"/>
        </w:rPr>
        <w:t>表2</w:t>
      </w:r>
      <w:r>
        <w:rPr>
          <w:rFonts w:ascii="宋体" w:hAnsi="宋体"/>
          <w:bCs/>
          <w:color w:val="auto"/>
        </w:rPr>
        <w:t>.4-2 28-</w:t>
      </w:r>
      <w:r>
        <w:rPr>
          <w:rFonts w:hint="eastAsia" w:ascii="宋体" w:hAnsi="宋体"/>
          <w:bCs/>
          <w:color w:val="auto"/>
        </w:rPr>
        <w:t>高芸苔素内酯物料平衡表</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6"/>
        <w:gridCol w:w="1384"/>
        <w:gridCol w:w="1971"/>
        <w:gridCol w:w="1771"/>
        <w:gridCol w:w="25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vMerge w:val="restart"/>
            <w:tcBorders>
              <w:top w:val="single" w:color="auto" w:sz="4" w:space="0"/>
              <w:left w:val="single" w:color="auto" w:sz="4" w:space="0"/>
              <w:bottom w:val="single" w:color="auto" w:sz="6" w:space="0"/>
              <w:right w:val="single" w:color="auto" w:sz="6" w:space="0"/>
            </w:tcBorders>
            <w:vAlign w:val="center"/>
          </w:tcPr>
          <w:p>
            <w:pPr>
              <w:jc w:val="center"/>
              <w:rPr>
                <w:b/>
                <w:color w:val="auto"/>
              </w:rPr>
            </w:pPr>
            <w:r>
              <w:rPr>
                <w:rFonts w:ascii="宋体" w:hAnsi="宋体"/>
                <w:b/>
                <w:color w:val="auto"/>
              </w:rPr>
              <w:t>序号</w:t>
            </w:r>
          </w:p>
        </w:tc>
        <w:tc>
          <w:tcPr>
            <w:tcW w:w="3355" w:type="dxa"/>
            <w:gridSpan w:val="2"/>
            <w:tcBorders>
              <w:top w:val="single" w:color="auto" w:sz="4" w:space="0"/>
              <w:left w:val="single" w:color="auto" w:sz="6" w:space="0"/>
              <w:bottom w:val="single" w:color="auto" w:sz="6" w:space="0"/>
              <w:right w:val="single" w:color="auto" w:sz="6" w:space="0"/>
            </w:tcBorders>
            <w:vAlign w:val="center"/>
          </w:tcPr>
          <w:p>
            <w:pPr>
              <w:jc w:val="center"/>
              <w:rPr>
                <w:b/>
                <w:color w:val="auto"/>
              </w:rPr>
            </w:pPr>
            <w:r>
              <w:rPr>
                <w:rFonts w:hint="eastAsia" w:ascii="宋体" w:hAnsi="宋体"/>
                <w:b/>
                <w:color w:val="auto"/>
              </w:rPr>
              <w:t>投入</w:t>
            </w:r>
          </w:p>
        </w:tc>
        <w:tc>
          <w:tcPr>
            <w:tcW w:w="4334" w:type="dxa"/>
            <w:gridSpan w:val="2"/>
            <w:tcBorders>
              <w:top w:val="single" w:color="auto" w:sz="4" w:space="0"/>
              <w:left w:val="single" w:color="auto" w:sz="6" w:space="0"/>
              <w:bottom w:val="single" w:color="auto" w:sz="6" w:space="0"/>
              <w:right w:val="single" w:color="auto" w:sz="4" w:space="0"/>
            </w:tcBorders>
            <w:vAlign w:val="center"/>
          </w:tcPr>
          <w:p>
            <w:pPr>
              <w:jc w:val="center"/>
              <w:rPr>
                <w:rFonts w:hAnsi="宋体"/>
                <w:b/>
                <w:color w:val="auto"/>
              </w:rPr>
            </w:pPr>
            <w:r>
              <w:rPr>
                <w:rFonts w:hint="eastAsia" w:ascii="宋体" w:hAnsi="宋体"/>
                <w:b/>
                <w:color w:val="auto"/>
              </w:rPr>
              <w:t>产出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vMerge w:val="continue"/>
            <w:tcBorders>
              <w:top w:val="single" w:color="auto" w:sz="4" w:space="0"/>
              <w:left w:val="single" w:color="auto" w:sz="4" w:space="0"/>
              <w:bottom w:val="single" w:color="auto" w:sz="6" w:space="0"/>
              <w:right w:val="single" w:color="auto" w:sz="6" w:space="0"/>
            </w:tcBorders>
            <w:vAlign w:val="center"/>
          </w:tcPr>
          <w:p>
            <w:pPr>
              <w:widowControl/>
              <w:jc w:val="left"/>
              <w:rPr>
                <w:rFonts w:ascii="Calibri" w:hAnsi="Calibri"/>
                <w:b/>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rFonts w:hAnsi="Calibri"/>
                <w:b/>
                <w:color w:val="auto"/>
              </w:rPr>
            </w:pPr>
            <w:r>
              <w:rPr>
                <w:rFonts w:ascii="宋体" w:hAnsi="宋体"/>
                <w:b/>
                <w:color w:val="auto"/>
              </w:rPr>
              <w:t>物料名称</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b/>
                <w:color w:val="auto"/>
              </w:rPr>
            </w:pPr>
            <w:r>
              <w:rPr>
                <w:rFonts w:ascii="宋体" w:hAnsi="宋体"/>
                <w:b/>
                <w:color w:val="auto"/>
              </w:rPr>
              <w:t>投加量</w:t>
            </w:r>
            <w:r>
              <w:rPr>
                <w:rFonts w:hint="eastAsia" w:cs="Calibri"/>
                <w:b/>
                <w:color w:val="auto"/>
              </w:rPr>
              <w:t>t/a</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hAnsi="宋体"/>
                <w:b/>
                <w:color w:val="auto"/>
              </w:rPr>
            </w:pPr>
            <w:r>
              <w:rPr>
                <w:rFonts w:hint="eastAsia" w:ascii="宋体" w:hAnsi="宋体"/>
                <w:b/>
                <w:color w:val="auto"/>
              </w:rPr>
              <w:t>物料名称</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hAnsi="宋体"/>
                <w:b/>
                <w:color w:val="auto"/>
              </w:rPr>
            </w:pPr>
            <w:r>
              <w:rPr>
                <w:rFonts w:hint="eastAsia" w:ascii="宋体" w:hAnsi="宋体"/>
                <w:b/>
                <w:color w:val="auto"/>
              </w:rPr>
              <w:t>产出量</w:t>
            </w:r>
            <w:r>
              <w:rPr>
                <w:rFonts w:hint="eastAsia" w:cs="Calibri"/>
                <w:b/>
                <w:color w:val="auto"/>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rFonts w:hAnsi="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豆甾醇</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5.2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s="Calibri"/>
                <w:color w:val="auto"/>
              </w:rPr>
              <w:t>28-</w:t>
            </w:r>
            <w:r>
              <w:rPr>
                <w:rFonts w:hint="eastAsia" w:ascii="宋体" w:hAnsi="宋体"/>
                <w:color w:val="auto"/>
              </w:rPr>
              <w:t>高芸苔素内酯</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甲基磺酰氯</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4.13</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废气</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olor w:val="auto"/>
              </w:rPr>
              <w:t>1</w:t>
            </w:r>
            <w:r>
              <w:rPr>
                <w:color w:val="auto"/>
              </w:rPr>
              <w:t>2.3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丁酮</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3.23</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废水</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olor w:val="auto"/>
              </w:rPr>
              <w:t>3</w:t>
            </w:r>
            <w:r>
              <w:rPr>
                <w:color w:val="auto"/>
              </w:rPr>
              <w:t>69.79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三乙胺</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5</w:t>
            </w:r>
            <w:r>
              <w:rPr>
                <w:rFonts w:cs="宋体"/>
                <w:color w:val="auto"/>
              </w:rPr>
              <w:t>.65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固废</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r>
              <w:rPr>
                <w:rFonts w:hint="eastAsia" w:cs="Calibri"/>
                <w:color w:val="auto"/>
              </w:rPr>
              <w:t>2</w:t>
            </w:r>
            <w:r>
              <w:rPr>
                <w:rFonts w:cs="Calibri"/>
                <w:color w:val="auto"/>
              </w:rPr>
              <w:t>2.</w:t>
            </w:r>
            <w:r>
              <w:rPr>
                <w:rFonts w:hint="eastAsia" w:cs="Calibri"/>
                <w:color w:val="auto"/>
              </w:rPr>
              <w:t>3</w:t>
            </w:r>
            <w:r>
              <w:rPr>
                <w:rFonts w:cs="Calibri"/>
                <w:color w:val="auto"/>
              </w:rPr>
              <w:t>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NaCl</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cs="宋体"/>
                <w:color w:val="auto"/>
              </w:rPr>
              <w:t>12.48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color w:val="auto"/>
              </w:rPr>
              <w:t>回用丁酮</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r>
              <w:rPr>
                <w:rFonts w:hint="eastAsia" w:cs="宋体"/>
                <w:color w:val="auto"/>
              </w:rPr>
              <w:t>2</w:t>
            </w:r>
            <w:r>
              <w:rPr>
                <w:rFonts w:cs="宋体"/>
                <w:color w:val="auto"/>
              </w:rPr>
              <w:t>5.84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碳酸氢钾</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5.2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回用DMF</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2</w:t>
            </w:r>
            <w:r>
              <w:rPr>
                <w:rFonts w:cs="宋体"/>
                <w:color w:val="auto"/>
              </w:rPr>
              <w:t>4.69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次氯酸钠水溶液</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Calibri"/>
                <w:color w:val="auto"/>
              </w:rPr>
              <w:t>15.6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回用石油醚</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3</w:t>
            </w:r>
            <w:r>
              <w:rPr>
                <w:rFonts w:cs="宋体"/>
                <w:color w:val="auto"/>
              </w:rPr>
              <w:t>9.27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s="Calibri"/>
                <w:color w:val="auto"/>
              </w:rPr>
              <w:t>TEMPO</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Calibri"/>
                <w:color w:val="auto"/>
              </w:rPr>
              <w:t>0.05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回用乙酸乙酯</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5</w:t>
            </w:r>
            <w:r>
              <w:rPr>
                <w:rFonts w:cs="宋体"/>
                <w:color w:val="auto"/>
              </w:rPr>
              <w:t>1.36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碳酸氢钠</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Calibri"/>
                <w:color w:val="auto"/>
              </w:rPr>
              <w:t>4.16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回用叔丁醇</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5</w:t>
            </w:r>
            <w:r>
              <w:rPr>
                <w:rFonts w:cs="宋体"/>
                <w:color w:val="auto"/>
              </w:rPr>
              <w:t>9.38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溴化钠</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0.42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回用二氯甲烷</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4</w:t>
            </w:r>
            <w:r>
              <w:rPr>
                <w:rFonts w:cs="宋体"/>
                <w:color w:val="auto"/>
              </w:rPr>
              <w:t>4.37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二甲基甲酰胺（DMF）</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1.29</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回用奎尼丁</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宋体"/>
                <w:color w:val="auto"/>
              </w:rPr>
              <w:t>0</w:t>
            </w:r>
            <w:r>
              <w:rPr>
                <w:rFonts w:cs="宋体"/>
                <w:color w:val="auto"/>
              </w:rPr>
              <w:t>.98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氢溴酸</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cs="宋体"/>
                <w:color w:val="auto"/>
              </w:rPr>
              <w:t>0.36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乙酸乙酯</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2.98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碳酸钾</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7.8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铁氰化钾</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19.76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叔丁醇</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2.72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奎尼丁</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0.06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甲磺酰胺</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3</w:t>
            </w:r>
            <w:r>
              <w:rPr>
                <w:color w:val="auto"/>
              </w:rPr>
              <w:t>0%</w:t>
            </w:r>
            <w:r>
              <w:rPr>
                <w:rFonts w:hint="eastAsia"/>
                <w:color w:val="auto"/>
              </w:rPr>
              <w:t>双氧水</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4.42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二氯甲烷</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2.39</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三氟乙酸酐</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13</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color w:val="auto"/>
              </w:rPr>
            </w:pPr>
            <w:r>
              <w:rPr>
                <w:rFonts w:hint="eastAsia"/>
                <w:color w:val="auto"/>
              </w:rPr>
              <w:t>石油醚</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2.34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硅胶</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14.04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亚硫酸氢钠</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9.36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水</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cs="宋体"/>
                <w:color w:val="auto"/>
              </w:rPr>
              <w:t>267.8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回用丁酮</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2</w:t>
            </w:r>
            <w:r>
              <w:rPr>
                <w:rFonts w:cs="宋体"/>
                <w:color w:val="auto"/>
              </w:rPr>
              <w:t>5.84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回用DMF</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2</w:t>
            </w:r>
            <w:r>
              <w:rPr>
                <w:rFonts w:cs="宋体"/>
                <w:color w:val="auto"/>
              </w:rPr>
              <w:t>4.69</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回用石油醚</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3</w:t>
            </w:r>
            <w:r>
              <w:rPr>
                <w:rFonts w:cs="宋体"/>
                <w:color w:val="auto"/>
              </w:rPr>
              <w:t>9.27</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回用乙酸乙酯</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5</w:t>
            </w:r>
            <w:r>
              <w:rPr>
                <w:rFonts w:cs="宋体"/>
                <w:color w:val="auto"/>
              </w:rPr>
              <w:t>1.36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回用叔丁醇</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5</w:t>
            </w:r>
            <w:r>
              <w:rPr>
                <w:rFonts w:cs="宋体"/>
                <w:color w:val="auto"/>
              </w:rPr>
              <w:t>9.38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回用二氯甲烷</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4</w:t>
            </w:r>
            <w:r>
              <w:rPr>
                <w:rFonts w:cs="宋体"/>
                <w:color w:val="auto"/>
              </w:rPr>
              <w:t>4.37</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widowControl/>
              <w:numPr>
                <w:ilvl w:val="0"/>
                <w:numId w:val="5"/>
              </w:numPr>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color w:val="auto"/>
              </w:rPr>
            </w:pPr>
            <w:r>
              <w:rPr>
                <w:rFonts w:hint="eastAsia"/>
                <w:color w:val="auto"/>
              </w:rPr>
              <w:t>回用奎尼丁</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rFonts w:cs="宋体"/>
                <w:color w:val="auto"/>
              </w:rPr>
            </w:pPr>
            <w:r>
              <w:rPr>
                <w:rFonts w:hint="eastAsia" w:cs="宋体"/>
                <w:color w:val="auto"/>
              </w:rPr>
              <w:t>0</w:t>
            </w:r>
            <w:r>
              <w:rPr>
                <w:rFonts w:cs="宋体"/>
                <w:color w:val="auto"/>
              </w:rPr>
              <w:t>.98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4" w:space="0"/>
              <w:right w:val="single" w:color="auto" w:sz="6" w:space="0"/>
            </w:tcBorders>
            <w:vAlign w:val="center"/>
          </w:tcPr>
          <w:p>
            <w:pPr>
              <w:jc w:val="center"/>
              <w:rPr>
                <w:color w:val="auto"/>
              </w:rPr>
            </w:pPr>
            <w:r>
              <w:rPr>
                <w:rFonts w:hint="eastAsia" w:cs="Calibri"/>
                <w:color w:val="auto"/>
              </w:rPr>
              <w:t>7</w:t>
            </w:r>
          </w:p>
        </w:tc>
        <w:tc>
          <w:tcPr>
            <w:tcW w:w="1384" w:type="dxa"/>
            <w:tcBorders>
              <w:top w:val="single" w:color="auto" w:sz="6" w:space="0"/>
              <w:left w:val="single" w:color="auto" w:sz="6" w:space="0"/>
              <w:bottom w:val="single" w:color="auto" w:sz="4" w:space="0"/>
              <w:right w:val="single" w:color="auto" w:sz="6" w:space="0"/>
            </w:tcBorders>
            <w:vAlign w:val="center"/>
          </w:tcPr>
          <w:p>
            <w:pPr>
              <w:jc w:val="center"/>
              <w:rPr>
                <w:color w:val="auto"/>
              </w:rPr>
            </w:pPr>
            <w:r>
              <w:rPr>
                <w:rFonts w:ascii="宋体" w:hAnsi="宋体"/>
                <w:color w:val="auto"/>
              </w:rPr>
              <w:t>总计</w:t>
            </w:r>
          </w:p>
        </w:tc>
        <w:tc>
          <w:tcPr>
            <w:tcW w:w="1971" w:type="dxa"/>
            <w:tcBorders>
              <w:top w:val="single" w:color="auto" w:sz="6" w:space="0"/>
              <w:left w:val="single" w:color="auto" w:sz="6" w:space="0"/>
              <w:bottom w:val="single" w:color="auto" w:sz="4" w:space="0"/>
              <w:right w:val="single" w:color="auto" w:sz="6" w:space="0"/>
            </w:tcBorders>
            <w:vAlign w:val="center"/>
          </w:tcPr>
          <w:p>
            <w:pPr>
              <w:jc w:val="center"/>
              <w:rPr>
                <w:color w:val="auto"/>
              </w:rPr>
            </w:pPr>
            <w:r>
              <w:rPr>
                <w:color w:val="auto"/>
              </w:rPr>
              <w:t>651.37</w:t>
            </w:r>
          </w:p>
        </w:tc>
        <w:tc>
          <w:tcPr>
            <w:tcW w:w="1771" w:type="dxa"/>
            <w:tcBorders>
              <w:top w:val="single" w:color="auto" w:sz="6" w:space="0"/>
              <w:left w:val="single" w:color="auto" w:sz="6" w:space="0"/>
              <w:bottom w:val="single" w:color="auto" w:sz="4"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4" w:space="0"/>
              <w:right w:val="single" w:color="auto" w:sz="4" w:space="0"/>
            </w:tcBorders>
            <w:vAlign w:val="center"/>
          </w:tcPr>
          <w:p>
            <w:pPr>
              <w:jc w:val="center"/>
              <w:rPr>
                <w:color w:val="auto"/>
              </w:rPr>
            </w:pPr>
            <w:r>
              <w:rPr>
                <w:color w:val="auto"/>
              </w:rPr>
              <w:t>651.37</w:t>
            </w:r>
          </w:p>
        </w:tc>
      </w:tr>
    </w:tbl>
    <w:p>
      <w:pPr>
        <w:pStyle w:val="11"/>
        <w:jc w:val="center"/>
        <w:rPr>
          <w:rFonts w:ascii="宋体" w:hAnsi="宋体"/>
          <w:bCs/>
          <w:color w:val="auto"/>
        </w:rPr>
      </w:pP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3、丙酰芸苔素内酯</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1）反应原理</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（1）磺酰化反应</w:t>
      </w:r>
    </w:p>
    <w:p>
      <w:pPr>
        <w:pStyle w:val="11"/>
        <w:spacing w:line="360" w:lineRule="auto"/>
        <w:rPr>
          <w:color w:val="auto"/>
        </w:rPr>
      </w:pPr>
      <w:r>
        <w:rPr>
          <w:rFonts w:hint="eastAsia" w:ascii="宋体" w:hAnsi="宋体"/>
          <w:bCs/>
          <w:color w:val="auto"/>
          <w:sz w:val="28"/>
          <w:szCs w:val="28"/>
        </w:rPr>
        <w:t>主反应：</w:t>
      </w:r>
    </w:p>
    <w:p>
      <w:pPr>
        <w:pStyle w:val="11"/>
        <w:spacing w:line="360" w:lineRule="auto"/>
        <w:jc w:val="center"/>
        <w:rPr>
          <w:rFonts w:ascii="宋体" w:hAnsi="宋体"/>
          <w:bCs/>
          <w:color w:val="auto"/>
          <w:sz w:val="28"/>
          <w:szCs w:val="28"/>
        </w:rPr>
      </w:pPr>
      <w:r>
        <w:rPr>
          <w:color w:val="auto"/>
        </w:rPr>
        <w:drawing>
          <wp:inline distT="0" distB="0" distL="0" distR="0">
            <wp:extent cx="5759450" cy="1246505"/>
            <wp:effectExtent l="0" t="0" r="0" b="0"/>
            <wp:docPr id="1276418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18278" name="图片 1"/>
                    <pic:cNvPicPr>
                      <a:picLocks noChangeAspect="1"/>
                    </pic:cNvPicPr>
                  </pic:nvPicPr>
                  <pic:blipFill>
                    <a:blip r:embed="rId38"/>
                    <a:stretch>
                      <a:fillRect/>
                    </a:stretch>
                  </pic:blipFill>
                  <pic:spPr>
                    <a:xfrm>
                      <a:off x="0" y="0"/>
                      <a:ext cx="5770770" cy="1249360"/>
                    </a:xfrm>
                    <a:prstGeom prst="rect">
                      <a:avLst/>
                    </a:prstGeom>
                  </pic:spPr>
                </pic:pic>
              </a:graphicData>
            </a:graphic>
          </wp:inline>
        </w:drawing>
      </w:r>
    </w:p>
    <w:p>
      <w:pPr>
        <w:pStyle w:val="11"/>
        <w:spacing w:line="360" w:lineRule="auto"/>
        <w:rPr>
          <w:rFonts w:ascii="宋体" w:hAnsi="宋体"/>
          <w:bCs/>
          <w:color w:val="auto"/>
          <w:sz w:val="28"/>
          <w:szCs w:val="28"/>
        </w:rPr>
      </w:pPr>
      <w:r>
        <w:rPr>
          <w:rFonts w:hint="eastAsia" w:ascii="宋体" w:hAnsi="宋体"/>
          <w:bCs/>
          <w:color w:val="auto"/>
          <w:sz w:val="28"/>
          <w:szCs w:val="28"/>
        </w:rPr>
        <w:t>副反应：</w:t>
      </w:r>
    </w:p>
    <w:p>
      <w:pPr>
        <w:pStyle w:val="11"/>
        <w:spacing w:line="360" w:lineRule="auto"/>
        <w:jc w:val="center"/>
        <w:rPr>
          <w:rFonts w:ascii="宋体" w:hAnsi="宋体"/>
          <w:bCs/>
          <w:color w:val="auto"/>
          <w:sz w:val="28"/>
          <w:szCs w:val="28"/>
        </w:rPr>
      </w:pPr>
      <w:r>
        <w:rPr>
          <w:color w:val="auto"/>
        </w:rPr>
        <w:drawing>
          <wp:inline distT="0" distB="0" distL="0" distR="0">
            <wp:extent cx="3491230" cy="2186305"/>
            <wp:effectExtent l="0" t="0" r="0" b="4445"/>
            <wp:docPr id="14" name="图片 14" descr="S1副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1副反应"/>
                    <pic:cNvPicPr>
                      <a:picLocks noChangeAspect="1"/>
                    </pic:cNvPicPr>
                  </pic:nvPicPr>
                  <pic:blipFill>
                    <a:blip r:embed="rId39"/>
                    <a:stretch>
                      <a:fillRect/>
                    </a:stretch>
                  </pic:blipFill>
                  <pic:spPr>
                    <a:xfrm>
                      <a:off x="0" y="0"/>
                      <a:ext cx="3509779" cy="2197896"/>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（2）水解重排反应</w:t>
      </w:r>
    </w:p>
    <w:p>
      <w:pPr>
        <w:pStyle w:val="11"/>
        <w:spacing w:line="360" w:lineRule="auto"/>
        <w:jc w:val="center"/>
        <w:rPr>
          <w:rFonts w:ascii="宋体" w:hAnsi="宋体"/>
          <w:bCs/>
          <w:color w:val="auto"/>
          <w:sz w:val="28"/>
          <w:szCs w:val="28"/>
        </w:rPr>
      </w:pPr>
      <w:r>
        <w:rPr>
          <w:color w:val="auto"/>
        </w:rPr>
        <w:drawing>
          <wp:inline distT="0" distB="0" distL="0" distR="0">
            <wp:extent cx="5772150" cy="1543685"/>
            <wp:effectExtent l="0" t="0" r="0" b="0"/>
            <wp:docPr id="15" name="图片 15" descr="S2主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2主反应"/>
                    <pic:cNvPicPr>
                      <a:picLocks noChangeAspect="1"/>
                    </pic:cNvPicPr>
                  </pic:nvPicPr>
                  <pic:blipFill>
                    <a:blip r:embed="rId40"/>
                    <a:stretch>
                      <a:fillRect/>
                    </a:stretch>
                  </pic:blipFill>
                  <pic:spPr>
                    <a:xfrm>
                      <a:off x="0" y="0"/>
                      <a:ext cx="5822478" cy="1557125"/>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（3）氧化反应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jc w:val="center"/>
        <w:rPr>
          <w:rFonts w:ascii="宋体" w:hAnsi="宋体"/>
          <w:bCs/>
          <w:color w:val="auto"/>
          <w:sz w:val="28"/>
          <w:szCs w:val="28"/>
        </w:rPr>
      </w:pPr>
      <w:r>
        <w:rPr>
          <w:color w:val="auto"/>
        </w:rPr>
        <w:drawing>
          <wp:inline distT="0" distB="0" distL="0" distR="0">
            <wp:extent cx="5759450" cy="1558290"/>
            <wp:effectExtent l="0" t="0" r="0" b="3810"/>
            <wp:docPr id="1038740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40835" name="图片 1"/>
                    <pic:cNvPicPr>
                      <a:picLocks noChangeAspect="1"/>
                    </pic:cNvPicPr>
                  </pic:nvPicPr>
                  <pic:blipFill>
                    <a:blip r:embed="rId41"/>
                    <a:stretch>
                      <a:fillRect/>
                    </a:stretch>
                  </pic:blipFill>
                  <pic:spPr>
                    <a:xfrm>
                      <a:off x="0" y="0"/>
                      <a:ext cx="5759450" cy="1558290"/>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（4）开环反应</w:t>
      </w:r>
    </w:p>
    <w:p>
      <w:pPr>
        <w:pStyle w:val="11"/>
        <w:spacing w:line="360" w:lineRule="auto"/>
        <w:jc w:val="center"/>
        <w:rPr>
          <w:rFonts w:ascii="宋体" w:hAnsi="宋体"/>
          <w:bCs/>
          <w:color w:val="auto"/>
          <w:sz w:val="28"/>
          <w:szCs w:val="28"/>
        </w:rPr>
      </w:pPr>
      <w:r>
        <w:rPr>
          <w:color w:val="auto"/>
        </w:rPr>
        <w:drawing>
          <wp:inline distT="0" distB="0" distL="0" distR="0">
            <wp:extent cx="4832985" cy="1990090"/>
            <wp:effectExtent l="0" t="0" r="5715" b="0"/>
            <wp:docPr id="18" name="图片 18" descr="S4主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4主反应"/>
                    <pic:cNvPicPr>
                      <a:picLocks noChangeAspect="1"/>
                    </pic:cNvPicPr>
                  </pic:nvPicPr>
                  <pic:blipFill>
                    <a:blip r:embed="rId42"/>
                    <a:stretch>
                      <a:fillRect/>
                    </a:stretch>
                  </pic:blipFill>
                  <pic:spPr>
                    <a:xfrm>
                      <a:off x="0" y="0"/>
                      <a:ext cx="4842789" cy="1994089"/>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（5）A环双羟化反应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jc w:val="center"/>
        <w:rPr>
          <w:rFonts w:ascii="宋体" w:hAnsi="宋体"/>
          <w:bCs/>
          <w:color w:val="auto"/>
          <w:sz w:val="28"/>
          <w:szCs w:val="28"/>
        </w:rPr>
      </w:pPr>
      <w:r>
        <w:rPr>
          <w:color w:val="auto"/>
        </w:rPr>
        <w:drawing>
          <wp:inline distT="0" distB="0" distL="0" distR="0">
            <wp:extent cx="5867400" cy="1757045"/>
            <wp:effectExtent l="0" t="0" r="0" b="0"/>
            <wp:docPr id="19" name="图片 19" descr="166130820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61308204890"/>
                    <pic:cNvPicPr>
                      <a:picLocks noChangeAspect="1"/>
                    </pic:cNvPicPr>
                  </pic:nvPicPr>
                  <pic:blipFill>
                    <a:blip r:embed="rId49"/>
                    <a:stretch>
                      <a:fillRect/>
                    </a:stretch>
                  </pic:blipFill>
                  <pic:spPr>
                    <a:xfrm>
                      <a:off x="0" y="0"/>
                      <a:ext cx="5891835" cy="1764855"/>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ind w:firstLine="420" w:firstLineChars="200"/>
        <w:jc w:val="center"/>
        <w:rPr>
          <w:rFonts w:ascii="宋体" w:hAnsi="宋体"/>
          <w:bCs/>
          <w:color w:val="auto"/>
          <w:sz w:val="28"/>
          <w:szCs w:val="28"/>
        </w:rPr>
      </w:pPr>
      <w:r>
        <w:rPr>
          <w:color w:val="auto"/>
        </w:rPr>
        <w:drawing>
          <wp:inline distT="0" distB="0" distL="0" distR="0">
            <wp:extent cx="3912870" cy="520065"/>
            <wp:effectExtent l="0" t="0" r="0" b="0"/>
            <wp:docPr id="20" name="图片 20" descr="166130918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61309183480"/>
                    <pic:cNvPicPr>
                      <a:picLocks noChangeAspect="1"/>
                    </pic:cNvPicPr>
                  </pic:nvPicPr>
                  <pic:blipFill>
                    <a:blip r:embed="rId50"/>
                    <a:stretch>
                      <a:fillRect/>
                    </a:stretch>
                  </pic:blipFill>
                  <pic:spPr>
                    <a:xfrm>
                      <a:off x="0" y="0"/>
                      <a:ext cx="3912870" cy="520065"/>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（6）丙酰化反应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jc w:val="center"/>
        <w:rPr>
          <w:rFonts w:ascii="宋体" w:hAnsi="宋体"/>
          <w:bCs/>
          <w:color w:val="auto"/>
          <w:sz w:val="28"/>
          <w:szCs w:val="28"/>
        </w:rPr>
      </w:pPr>
      <w:r>
        <w:rPr>
          <w:color w:val="auto"/>
        </w:rPr>
        <w:drawing>
          <wp:inline distT="0" distB="0" distL="0" distR="0">
            <wp:extent cx="5942965" cy="1258570"/>
            <wp:effectExtent l="0" t="0" r="635" b="0"/>
            <wp:docPr id="21" name="图片 21" descr="166133231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61332318519"/>
                    <pic:cNvPicPr>
                      <a:picLocks noChangeAspect="1"/>
                    </pic:cNvPicPr>
                  </pic:nvPicPr>
                  <pic:blipFill>
                    <a:blip r:embed="rId51"/>
                    <a:stretch>
                      <a:fillRect/>
                    </a:stretch>
                  </pic:blipFill>
                  <pic:spPr>
                    <a:xfrm>
                      <a:off x="0" y="0"/>
                      <a:ext cx="5985189" cy="1267639"/>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jc w:val="center"/>
        <w:rPr>
          <w:rFonts w:ascii="宋体" w:hAnsi="宋体"/>
          <w:bCs/>
          <w:color w:val="auto"/>
          <w:sz w:val="28"/>
          <w:szCs w:val="28"/>
        </w:rPr>
      </w:pPr>
      <w:r>
        <w:rPr>
          <w:color w:val="auto"/>
        </w:rPr>
        <w:drawing>
          <wp:inline distT="0" distB="0" distL="0" distR="0">
            <wp:extent cx="5210810" cy="925830"/>
            <wp:effectExtent l="0" t="0" r="0" b="7620"/>
            <wp:docPr id="22" name="图片 22" descr="166132672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61326726732"/>
                    <pic:cNvPicPr>
                      <a:picLocks noChangeAspect="1"/>
                    </pic:cNvPicPr>
                  </pic:nvPicPr>
                  <pic:blipFill>
                    <a:blip r:embed="rId52"/>
                    <a:stretch>
                      <a:fillRect/>
                    </a:stretch>
                  </pic:blipFill>
                  <pic:spPr>
                    <a:xfrm>
                      <a:off x="0" y="0"/>
                      <a:ext cx="5245378" cy="932354"/>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（7）环氧和内酯化反应</w:t>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主反应：</w:t>
      </w:r>
    </w:p>
    <w:p>
      <w:pPr>
        <w:pStyle w:val="11"/>
        <w:spacing w:line="360" w:lineRule="auto"/>
        <w:rPr>
          <w:rFonts w:ascii="宋体" w:hAnsi="宋体"/>
          <w:bCs/>
          <w:color w:val="auto"/>
          <w:sz w:val="28"/>
          <w:szCs w:val="28"/>
        </w:rPr>
      </w:pPr>
      <w:r>
        <w:rPr>
          <w:color w:val="auto"/>
        </w:rPr>
        <w:drawing>
          <wp:inline distT="0" distB="0" distL="0" distR="0">
            <wp:extent cx="5759450" cy="1414780"/>
            <wp:effectExtent l="0" t="0" r="0" b="0"/>
            <wp:docPr id="548714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14871" name="图片 1"/>
                    <pic:cNvPicPr>
                      <a:picLocks noChangeAspect="1"/>
                    </pic:cNvPicPr>
                  </pic:nvPicPr>
                  <pic:blipFill>
                    <a:blip r:embed="rId53"/>
                    <a:stretch>
                      <a:fillRect/>
                    </a:stretch>
                  </pic:blipFill>
                  <pic:spPr>
                    <a:xfrm>
                      <a:off x="0" y="0"/>
                      <a:ext cx="5759450" cy="1414780"/>
                    </a:xfrm>
                    <a:prstGeom prst="rect">
                      <a:avLst/>
                    </a:prstGeom>
                  </pic:spPr>
                </pic:pic>
              </a:graphicData>
            </a:graphic>
          </wp:inline>
        </w:drawing>
      </w:r>
    </w:p>
    <w:p>
      <w:pPr>
        <w:pStyle w:val="11"/>
        <w:spacing w:line="360" w:lineRule="auto"/>
        <w:ind w:firstLine="560" w:firstLineChars="200"/>
        <w:rPr>
          <w:rFonts w:ascii="宋体" w:hAnsi="宋体"/>
          <w:bCs/>
          <w:color w:val="auto"/>
          <w:sz w:val="28"/>
          <w:szCs w:val="28"/>
        </w:rPr>
      </w:pPr>
      <w:r>
        <w:rPr>
          <w:rFonts w:hint="eastAsia" w:ascii="宋体" w:hAnsi="宋体"/>
          <w:bCs/>
          <w:color w:val="auto"/>
          <w:sz w:val="28"/>
          <w:szCs w:val="28"/>
        </w:rPr>
        <w:t>副反应：</w:t>
      </w:r>
    </w:p>
    <w:p>
      <w:pPr>
        <w:pStyle w:val="11"/>
        <w:spacing w:line="360" w:lineRule="auto"/>
        <w:jc w:val="center"/>
        <w:rPr>
          <w:rFonts w:ascii="宋体" w:hAnsi="宋体"/>
          <w:bCs/>
          <w:color w:val="auto"/>
          <w:sz w:val="28"/>
          <w:szCs w:val="28"/>
        </w:rPr>
      </w:pPr>
      <w:r>
        <w:rPr>
          <w:color w:val="auto"/>
        </w:rPr>
        <w:drawing>
          <wp:inline distT="0" distB="0" distL="0" distR="0">
            <wp:extent cx="5759450" cy="730885"/>
            <wp:effectExtent l="0" t="0" r="0" b="0"/>
            <wp:docPr id="1847158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58679" name="图片 1"/>
                    <pic:cNvPicPr>
                      <a:picLocks noChangeAspect="1"/>
                    </pic:cNvPicPr>
                  </pic:nvPicPr>
                  <pic:blipFill>
                    <a:blip r:embed="rId54"/>
                    <a:stretch>
                      <a:fillRect/>
                    </a:stretch>
                  </pic:blipFill>
                  <pic:spPr>
                    <a:xfrm>
                      <a:off x="0" y="0"/>
                      <a:ext cx="5759450" cy="730885"/>
                    </a:xfrm>
                    <a:prstGeom prst="rect">
                      <a:avLst/>
                    </a:prstGeom>
                  </pic:spPr>
                </pic:pic>
              </a:graphicData>
            </a:graphic>
          </wp:inline>
        </w:drawing>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2）反应工艺简述</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（1）磺酰化反应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暂存于暂存罐的丁酮自流至计量罐，在通过计量罐将丁酮自流至反应釜，再投入豆甾醇溶解在丁酮溶剂中，搅拌下通过计量罐加入三乙胺，继续降温至0℃以下，缓慢滴加甲基磺酰氯，控温反应温度不超过5℃，滴加完后，在同样的温度下常压搅拌反应1h。</w:t>
      </w:r>
    </w:p>
    <w:p>
      <w:pPr>
        <w:pStyle w:val="78"/>
        <w:widowControl w:val="0"/>
        <w:ind w:firstLine="560" w:firstLineChars="200"/>
        <w:jc w:val="both"/>
        <w:rPr>
          <w:rFonts w:ascii="宋体" w:hAnsi="宋体"/>
          <w:color w:val="auto"/>
        </w:rPr>
      </w:pPr>
      <w:r>
        <w:rPr>
          <w:rFonts w:hint="eastAsia" w:ascii="宋体" w:hAnsi="宋体"/>
          <w:color w:val="auto"/>
          <w:sz w:val="28"/>
          <w:szCs w:val="28"/>
        </w:rPr>
        <w:t>②后处理：反应结束后，通过计量罐加入15%NaCl水溶液洗涤，搅拌后静置分层，溶剂层转入下步反应，水层作为废水处理。</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（2）水解重排反应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①反应：称取所需碳酸氢钾溶于配置釜水中，将配置好的碳酸氢钾溶液与上步溶剂层混合，搅拌升温至</w:t>
      </w:r>
      <w:r>
        <w:rPr>
          <w:rFonts w:ascii="宋体" w:hAnsi="宋体"/>
          <w:color w:val="auto"/>
          <w:sz w:val="28"/>
          <w:szCs w:val="28"/>
        </w:rPr>
        <w:t>65</w:t>
      </w:r>
      <w:r>
        <w:rPr>
          <w:rFonts w:hint="eastAsia" w:ascii="宋体" w:hAnsi="宋体"/>
          <w:color w:val="auto"/>
          <w:sz w:val="28"/>
          <w:szCs w:val="28"/>
        </w:rPr>
        <w:t>℃，常压回流反应5h以上。</w:t>
      </w:r>
    </w:p>
    <w:p>
      <w:pPr>
        <w:pStyle w:val="78"/>
        <w:widowControl w:val="0"/>
        <w:ind w:firstLine="560" w:firstLineChars="200"/>
        <w:jc w:val="both"/>
        <w:rPr>
          <w:rFonts w:ascii="宋体" w:hAnsi="宋体"/>
          <w:color w:val="auto"/>
        </w:rPr>
      </w:pPr>
      <w:r>
        <w:rPr>
          <w:rFonts w:hint="eastAsia" w:ascii="宋体" w:hAnsi="宋体"/>
          <w:color w:val="auto"/>
          <w:sz w:val="28"/>
          <w:szCs w:val="28"/>
        </w:rPr>
        <w:t>②后处理：反应结束后，冷却至室温，静置分层，分出水层作为废水处理。溶剂层用15%NaCl水溶液洗涤，搅拌后静置分层，溶剂层转入下步反应，水层作为废水处理。</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（3）氧化反应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①反应：将上步溶剂层降温至5℃以下，开启搅拌，并加入TEMPO催化剂和碳酸氢钠水溶液，逐滴加入1</w:t>
      </w:r>
      <w:r>
        <w:rPr>
          <w:rFonts w:ascii="宋体" w:hAnsi="宋体"/>
          <w:color w:val="auto"/>
          <w:sz w:val="28"/>
          <w:szCs w:val="28"/>
        </w:rPr>
        <w:t>1%</w:t>
      </w:r>
      <w:r>
        <w:rPr>
          <w:rFonts w:hint="eastAsia" w:ascii="宋体" w:hAnsi="宋体"/>
          <w:color w:val="auto"/>
          <w:sz w:val="28"/>
          <w:szCs w:val="28"/>
        </w:rPr>
        <w:t>次氯酸钠水溶液，控制温度为10</w:t>
      </w:r>
      <w:r>
        <w:rPr>
          <w:rFonts w:ascii="宋体" w:hAnsi="宋体"/>
          <w:color w:val="auto"/>
          <w:sz w:val="28"/>
          <w:szCs w:val="28"/>
        </w:rPr>
        <w:t>-15</w:t>
      </w:r>
      <w:r>
        <w:rPr>
          <w:rFonts w:hint="eastAsia" w:ascii="宋体" w:hAnsi="宋体"/>
          <w:color w:val="auto"/>
          <w:sz w:val="28"/>
          <w:szCs w:val="28"/>
        </w:rPr>
        <w:t>℃，滴加完后再常压反应30分钟。</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②后处理：反应结束后，静置分层，水层作为废水处理，溶剂层用1</w:t>
      </w:r>
      <w:r>
        <w:rPr>
          <w:rFonts w:ascii="宋体" w:hAnsi="宋体"/>
          <w:color w:val="auto"/>
          <w:sz w:val="28"/>
          <w:szCs w:val="28"/>
        </w:rPr>
        <w:t>5%</w:t>
      </w:r>
      <w:r>
        <w:rPr>
          <w:rFonts w:hint="eastAsia" w:ascii="宋体" w:hAnsi="宋体"/>
          <w:color w:val="auto"/>
          <w:sz w:val="28"/>
          <w:szCs w:val="28"/>
        </w:rPr>
        <w:t>NaCl溶液进行洗涤，搅拌后静置分层。溶剂层转入下步反应，水层作为废水处理。</w:t>
      </w:r>
    </w:p>
    <w:p>
      <w:pPr>
        <w:pStyle w:val="78"/>
        <w:widowControl w:val="0"/>
        <w:ind w:firstLine="560" w:firstLineChars="200"/>
        <w:jc w:val="both"/>
        <w:rPr>
          <w:rFonts w:ascii="宋体" w:hAnsi="宋体"/>
          <w:color w:val="auto"/>
          <w:vertAlign w:val="subscript"/>
        </w:rPr>
      </w:pPr>
      <w:r>
        <w:rPr>
          <w:rFonts w:hint="eastAsia" w:ascii="宋体" w:hAnsi="宋体"/>
          <w:color w:val="auto"/>
          <w:sz w:val="28"/>
          <w:szCs w:val="28"/>
        </w:rPr>
        <w:t>③脱溶：溶剂层进行脱溶，脱溶条件为-</w:t>
      </w:r>
      <w:r>
        <w:rPr>
          <w:rFonts w:ascii="宋体" w:hAnsi="宋体"/>
          <w:color w:val="auto"/>
          <w:sz w:val="28"/>
          <w:szCs w:val="28"/>
        </w:rPr>
        <w:t>0.08</w:t>
      </w:r>
      <w:r>
        <w:rPr>
          <w:rFonts w:hint="eastAsia" w:ascii="宋体" w:hAnsi="宋体"/>
          <w:color w:val="auto"/>
          <w:sz w:val="28"/>
          <w:szCs w:val="28"/>
        </w:rPr>
        <w:t>MPa、8</w:t>
      </w:r>
      <w:r>
        <w:rPr>
          <w:rFonts w:ascii="宋体" w:hAnsi="宋体"/>
          <w:color w:val="auto"/>
          <w:sz w:val="28"/>
          <w:szCs w:val="28"/>
        </w:rPr>
        <w:t>0</w:t>
      </w:r>
      <w:r>
        <w:rPr>
          <w:rFonts w:hint="eastAsia" w:ascii="宋体" w:hAnsi="宋体"/>
          <w:color w:val="auto"/>
          <w:sz w:val="28"/>
          <w:szCs w:val="28"/>
        </w:rPr>
        <w:t>℃，二级冷凝回收丁酮用于下批次套用。</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（4）开环反应</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①反应：将暂存于暂存罐的DMF自流至计量罐，再通过计量罐自流至反应釜，将上步固体产物溶于反应釜DMF中，溶解后再加入40%氢溴酸和 NaBr搅拌，加热至1</w:t>
      </w:r>
      <w:r>
        <w:rPr>
          <w:rFonts w:ascii="宋体" w:hAnsi="宋体"/>
          <w:color w:val="auto"/>
          <w:sz w:val="28"/>
          <w:szCs w:val="28"/>
        </w:rPr>
        <w:t>47</w:t>
      </w:r>
      <w:r>
        <w:rPr>
          <w:rFonts w:hint="eastAsia" w:ascii="宋体" w:hAnsi="宋体"/>
          <w:color w:val="auto"/>
          <w:sz w:val="28"/>
          <w:szCs w:val="28"/>
        </w:rPr>
        <w:t>℃常压回流反应5h。</w:t>
      </w:r>
    </w:p>
    <w:p>
      <w:pPr>
        <w:pStyle w:val="78"/>
        <w:widowControl w:val="0"/>
        <w:ind w:left="120" w:leftChars="57" w:firstLine="420"/>
        <w:jc w:val="both"/>
        <w:rPr>
          <w:rFonts w:ascii="宋体" w:hAnsi="宋体"/>
          <w:color w:val="auto"/>
          <w:sz w:val="28"/>
          <w:szCs w:val="28"/>
        </w:rPr>
      </w:pPr>
      <w:r>
        <w:rPr>
          <w:rFonts w:hint="eastAsia" w:ascii="宋体" w:hAnsi="宋体"/>
          <w:color w:val="auto"/>
          <w:sz w:val="28"/>
          <w:szCs w:val="28"/>
        </w:rPr>
        <w:t>②后处理：反应结束后，脱溶回收DMF、HBr，脱溶条件为-</w:t>
      </w:r>
      <w:r>
        <w:rPr>
          <w:rFonts w:ascii="宋体" w:hAnsi="宋体"/>
          <w:color w:val="auto"/>
          <w:sz w:val="28"/>
          <w:szCs w:val="28"/>
        </w:rPr>
        <w:t>0.08</w:t>
      </w:r>
      <w:r>
        <w:rPr>
          <w:rFonts w:hint="eastAsia" w:ascii="宋体" w:hAnsi="宋体"/>
          <w:color w:val="auto"/>
          <w:sz w:val="28"/>
          <w:szCs w:val="28"/>
        </w:rPr>
        <w:t>MPa、1</w:t>
      </w:r>
      <w:r>
        <w:rPr>
          <w:rFonts w:ascii="宋体" w:hAnsi="宋体"/>
          <w:color w:val="auto"/>
          <w:sz w:val="28"/>
          <w:szCs w:val="28"/>
        </w:rPr>
        <w:t>47</w:t>
      </w:r>
      <w:r>
        <w:rPr>
          <w:rFonts w:hint="eastAsia" w:ascii="宋体" w:hAnsi="宋体"/>
          <w:color w:val="auto"/>
          <w:sz w:val="28"/>
          <w:szCs w:val="28"/>
        </w:rPr>
        <w:t>℃，冷凝废液收集后作为危废委托有资质单位处置，二级冷凝回收DMF用于下批次套用。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后，冷却至室温，将暂存于暂存罐的乙酸乙酯自流至计量罐，再通过计量罐将乙酸乙酯自流至反应釜，同时通过计量罐加入水，搅拌溶解至透明，静置分层。下层转入萃取釜，加回用乙酸乙酯萃取一次，水层作为废水处理；溶剂层合并，用15%NaCl水溶液洗涤。搅拌静置分层，水层作为废水处理。</w:t>
      </w:r>
    </w:p>
    <w:p>
      <w:pPr>
        <w:pStyle w:val="78"/>
        <w:widowControl w:val="0"/>
        <w:ind w:firstLine="560" w:firstLineChars="200"/>
        <w:jc w:val="both"/>
        <w:rPr>
          <w:rFonts w:ascii="宋体" w:hAnsi="宋体"/>
          <w:color w:val="auto"/>
        </w:rPr>
      </w:pPr>
      <w:r>
        <w:rPr>
          <w:rFonts w:hint="eastAsia" w:ascii="宋体" w:hAnsi="宋体"/>
          <w:color w:val="auto"/>
          <w:sz w:val="28"/>
          <w:szCs w:val="28"/>
        </w:rPr>
        <w:t>溶剂层进行脱溶，脱溶条件为-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℃，二级冷凝回收乙酸乙酯用于下批次套用。</w:t>
      </w:r>
    </w:p>
    <w:p>
      <w:pPr>
        <w:pStyle w:val="79"/>
        <w:ind w:firstLine="480"/>
        <w:rPr>
          <w:color w:val="auto"/>
          <w:sz w:val="28"/>
          <w:szCs w:val="28"/>
        </w:rPr>
      </w:pPr>
      <w:r>
        <w:rPr>
          <w:rFonts w:hint="eastAsia" w:ascii="宋体" w:hAnsi="宋体"/>
          <w:color w:val="auto"/>
          <w:sz w:val="28"/>
          <w:szCs w:val="28"/>
        </w:rPr>
        <w:t>③粗品纯化：将上步粗品溶于石油醚溶剂中，搅拌下加热溶解后装柱，柱层析用硅胶填柱，硅胶柱作为固废，委托有资质单位处置；过柱后收集到含杂质石油醚和含产物石油醚，含杂质石油醚脱溶（-</w:t>
      </w:r>
      <w:r>
        <w:rPr>
          <w:rFonts w:ascii="宋体" w:hAnsi="宋体"/>
          <w:color w:val="auto"/>
          <w:sz w:val="28"/>
          <w:szCs w:val="28"/>
        </w:rPr>
        <w:t>0.08</w:t>
      </w:r>
      <w:r>
        <w:rPr>
          <w:rFonts w:hint="eastAsia" w:ascii="宋体" w:hAnsi="宋体"/>
          <w:color w:val="auto"/>
          <w:sz w:val="28"/>
          <w:szCs w:val="28"/>
        </w:rPr>
        <w:t>MPa、</w:t>
      </w:r>
      <w:r>
        <w:rPr>
          <w:rFonts w:ascii="宋体" w:hAnsi="宋体"/>
          <w:color w:val="auto"/>
          <w:sz w:val="28"/>
          <w:szCs w:val="28"/>
        </w:rPr>
        <w:t>60</w:t>
      </w:r>
      <w:r>
        <w:rPr>
          <w:rFonts w:hint="eastAsia" w:ascii="宋体" w:hAnsi="宋体"/>
          <w:color w:val="auto"/>
          <w:sz w:val="28"/>
          <w:szCs w:val="28"/>
        </w:rPr>
        <w:t>℃），二级冷凝回收石油醚下批次套用；蒸馏残渣作为固废，委托有资质单位处置；含产物石油醚脱溶（-</w:t>
      </w:r>
      <w:r>
        <w:rPr>
          <w:rFonts w:ascii="宋体" w:hAnsi="宋体"/>
          <w:color w:val="auto"/>
          <w:sz w:val="28"/>
          <w:szCs w:val="28"/>
        </w:rPr>
        <w:t>0.08</w:t>
      </w:r>
      <w:r>
        <w:rPr>
          <w:rFonts w:hint="eastAsia" w:ascii="宋体" w:hAnsi="宋体"/>
          <w:color w:val="auto"/>
          <w:sz w:val="28"/>
          <w:szCs w:val="28"/>
        </w:rPr>
        <w:t>MPa、</w:t>
      </w:r>
      <w:r>
        <w:rPr>
          <w:rFonts w:ascii="宋体" w:hAnsi="宋体"/>
          <w:color w:val="auto"/>
          <w:sz w:val="28"/>
          <w:szCs w:val="28"/>
        </w:rPr>
        <w:t>60</w:t>
      </w:r>
      <w:r>
        <w:rPr>
          <w:rFonts w:hint="eastAsia" w:ascii="宋体" w:hAnsi="宋体"/>
          <w:color w:val="auto"/>
          <w:sz w:val="28"/>
          <w:szCs w:val="28"/>
        </w:rPr>
        <w:t>℃），二级冷凝回收石油醚循环套用；产物经热风烘干（5</w:t>
      </w:r>
      <w:r>
        <w:rPr>
          <w:rFonts w:ascii="宋体" w:hAnsi="宋体"/>
          <w:color w:val="auto"/>
          <w:sz w:val="28"/>
          <w:szCs w:val="28"/>
        </w:rPr>
        <w:t>5</w:t>
      </w:r>
      <w:r>
        <w:rPr>
          <w:rFonts w:hint="eastAsia" w:ascii="宋体" w:hAnsi="宋体"/>
          <w:color w:val="auto"/>
          <w:sz w:val="28"/>
          <w:szCs w:val="28"/>
        </w:rPr>
        <w:t>℃）后转入下步反应。</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（5）A环双羟基化反应</w:t>
      </w:r>
    </w:p>
    <w:p>
      <w:pPr>
        <w:pStyle w:val="78"/>
        <w:widowControl w:val="0"/>
        <w:ind w:left="239" w:leftChars="114" w:firstLine="280" w:firstLineChars="100"/>
        <w:jc w:val="both"/>
        <w:rPr>
          <w:rFonts w:ascii="宋体" w:hAnsi="宋体"/>
          <w:color w:val="auto"/>
          <w:sz w:val="28"/>
          <w:szCs w:val="28"/>
        </w:rPr>
      </w:pPr>
      <w:r>
        <w:rPr>
          <w:rFonts w:hint="eastAsia" w:ascii="宋体" w:hAnsi="宋体"/>
          <w:color w:val="auto"/>
          <w:sz w:val="28"/>
          <w:szCs w:val="28"/>
        </w:rPr>
        <w:t>①反应：将叔丁醇、四氢呋喃通过计量罐自流至反应釜，并向反应釜中投入上步产物，升温至50℃搅拌溶解。然后通过计量罐加入水和N</w:t>
      </w:r>
      <w:r>
        <w:rPr>
          <w:rFonts w:ascii="宋体" w:hAnsi="宋体"/>
          <w:color w:val="auto"/>
          <w:sz w:val="28"/>
          <w:szCs w:val="28"/>
        </w:rPr>
        <w:t>-</w:t>
      </w:r>
      <w:r>
        <w:rPr>
          <w:rFonts w:hint="eastAsia" w:ascii="宋体" w:hAnsi="宋体"/>
          <w:color w:val="auto"/>
          <w:sz w:val="28"/>
          <w:szCs w:val="28"/>
        </w:rPr>
        <w:t>甲基氧化吗啉，降温至室温下常压连续搅拌3天。</w:t>
      </w:r>
    </w:p>
    <w:p>
      <w:pPr>
        <w:spacing w:line="360" w:lineRule="auto"/>
        <w:ind w:firstLine="560" w:firstLineChars="200"/>
        <w:rPr>
          <w:rFonts w:ascii="宋体" w:hAnsi="宋体"/>
          <w:color w:val="auto"/>
          <w:sz w:val="28"/>
          <w:szCs w:val="28"/>
        </w:rPr>
      </w:pPr>
      <w:r>
        <w:rPr>
          <w:rFonts w:hint="eastAsia" w:ascii="宋体" w:hAnsi="宋体"/>
          <w:color w:val="auto"/>
          <w:sz w:val="28"/>
          <w:szCs w:val="28"/>
        </w:rPr>
        <w:t>②后处理：反应结束后，加入35%亚硫酸钠水溶液，搅拌</w:t>
      </w:r>
      <w:r>
        <w:rPr>
          <w:rFonts w:hint="eastAsia"/>
          <w:color w:val="auto"/>
          <w:sz w:val="28"/>
          <w:szCs w:val="28"/>
        </w:rPr>
        <w:t>2</w:t>
      </w:r>
      <w:r>
        <w:rPr>
          <w:rFonts w:hint="eastAsia" w:ascii="宋体" w:hAnsi="宋体"/>
          <w:color w:val="auto"/>
          <w:sz w:val="28"/>
          <w:szCs w:val="28"/>
        </w:rPr>
        <w:t>小时，静置分层。水层作为废水处理；溶剂层加入1</w:t>
      </w:r>
      <w:r>
        <w:rPr>
          <w:rFonts w:ascii="宋体" w:hAnsi="宋体"/>
          <w:color w:val="auto"/>
          <w:sz w:val="28"/>
          <w:szCs w:val="28"/>
        </w:rPr>
        <w:t>5%</w:t>
      </w:r>
      <w:r>
        <w:rPr>
          <w:rFonts w:hint="eastAsia" w:ascii="宋体" w:hAnsi="宋体"/>
          <w:color w:val="auto"/>
          <w:sz w:val="28"/>
          <w:szCs w:val="28"/>
        </w:rPr>
        <w:t>NaCl水溶液搅拌洗涤，洗涤水作为废水处理。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洗涤后溶剂层进行脱溶，脱溶条件为-</w:t>
      </w:r>
      <w:r>
        <w:rPr>
          <w:rFonts w:ascii="宋体" w:hAnsi="宋体"/>
          <w:color w:val="auto"/>
          <w:sz w:val="28"/>
          <w:szCs w:val="28"/>
        </w:rPr>
        <w:t>0.08</w:t>
      </w:r>
      <w:r>
        <w:rPr>
          <w:rFonts w:hint="eastAsia" w:ascii="宋体" w:hAnsi="宋体"/>
          <w:color w:val="auto"/>
          <w:sz w:val="28"/>
          <w:szCs w:val="28"/>
        </w:rPr>
        <w:t>MPa、9</w:t>
      </w:r>
      <w:r>
        <w:rPr>
          <w:rFonts w:ascii="宋体" w:hAnsi="宋体"/>
          <w:color w:val="auto"/>
          <w:sz w:val="28"/>
          <w:szCs w:val="28"/>
        </w:rPr>
        <w:t>0</w:t>
      </w:r>
      <w:r>
        <w:rPr>
          <w:rFonts w:hint="eastAsia" w:ascii="宋体" w:hAnsi="宋体"/>
          <w:color w:val="auto"/>
          <w:sz w:val="28"/>
          <w:szCs w:val="28"/>
        </w:rPr>
        <w:t>℃，二级冷凝回收叔丁醇和四氢呋喃混合溶剂下批次套用。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③粗品纯化：将暂存于暂存罐的乙酸乙酯自流至计量罐，再通过计量罐将乙酸乙酯自流至反应釜，再将脱溶后的粗产品投入反应釜，同时通过计量罐加入水，搅拌溶解至透明，静置分层，水层作为废水去污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溶剂层在脱溶结晶釜中冷却结晶（0</w:t>
      </w:r>
      <w:r>
        <w:rPr>
          <w:rFonts w:ascii="宋体" w:hAnsi="宋体"/>
          <w:color w:val="auto"/>
          <w:sz w:val="28"/>
          <w:szCs w:val="28"/>
        </w:rPr>
        <w:t>~5</w:t>
      </w:r>
      <w:r>
        <w:rPr>
          <w:rFonts w:hint="eastAsia" w:ascii="宋体" w:hAnsi="宋体"/>
          <w:color w:val="auto"/>
          <w:sz w:val="28"/>
          <w:szCs w:val="28"/>
        </w:rPr>
        <w:t>℃），结晶析出固体中间产物抽滤待用。结晶母液过柱，柱层析用硅胶填柱，硅胶柱作为固废，委托有资质单位处置；过柱后分别收集到含杂质母液和含产物母液分别脱溶，脱溶条件为-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℃，二级冷凝回收乙酸乙酯下批次套用。</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脱溶回收产物与结晶产物一并经热风烘干（5</w:t>
      </w:r>
      <w:r>
        <w:rPr>
          <w:rFonts w:ascii="宋体" w:hAnsi="宋体"/>
          <w:color w:val="auto"/>
          <w:sz w:val="28"/>
          <w:szCs w:val="28"/>
        </w:rPr>
        <w:t>5</w:t>
      </w:r>
      <w:r>
        <w:rPr>
          <w:rFonts w:hint="eastAsia" w:ascii="宋体" w:hAnsi="宋体"/>
          <w:color w:val="auto"/>
          <w:sz w:val="28"/>
          <w:szCs w:val="28"/>
        </w:rPr>
        <w:t>℃）后转入下步反应。</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（6）丙酰化反应</w:t>
      </w:r>
    </w:p>
    <w:p>
      <w:pPr>
        <w:spacing w:line="360" w:lineRule="auto"/>
        <w:ind w:firstLine="560" w:firstLineChars="200"/>
        <w:rPr>
          <w:rFonts w:hAnsi="宋体"/>
          <w:color w:val="auto"/>
          <w:sz w:val="28"/>
          <w:szCs w:val="28"/>
        </w:rPr>
      </w:pPr>
      <w:r>
        <w:rPr>
          <w:rFonts w:hint="eastAsia" w:ascii="宋体" w:hAnsi="宋体"/>
          <w:color w:val="auto"/>
          <w:sz w:val="28"/>
          <w:szCs w:val="28"/>
        </w:rPr>
        <w:t>①反应：将暂存于暂存罐的二氯甲烷自流至计量罐，再通过计量罐将二氯甲烷自流至反应釜，再投入上步得到的固体，搅拌溶解。再通过计量罐加入丙酸酐和三乙胺，在</w:t>
      </w:r>
      <w:r>
        <w:rPr>
          <w:rFonts w:hint="eastAsia"/>
          <w:color w:val="auto"/>
          <w:sz w:val="28"/>
          <w:szCs w:val="28"/>
        </w:rPr>
        <w:t>40</w:t>
      </w:r>
      <w:r>
        <w:rPr>
          <w:rFonts w:hint="eastAsia" w:ascii="宋体" w:hAnsi="宋体"/>
          <w:color w:val="auto"/>
          <w:sz w:val="28"/>
          <w:szCs w:val="28"/>
        </w:rPr>
        <w:t>℃左右常压搅拌</w:t>
      </w:r>
      <w:r>
        <w:rPr>
          <w:rFonts w:hint="eastAsia"/>
          <w:color w:val="auto"/>
          <w:sz w:val="28"/>
          <w:szCs w:val="28"/>
        </w:rPr>
        <w:t>1</w:t>
      </w:r>
      <w:r>
        <w:rPr>
          <w:rFonts w:hint="eastAsia" w:ascii="宋体" w:hAnsi="宋体"/>
          <w:color w:val="auto"/>
          <w:sz w:val="28"/>
          <w:szCs w:val="28"/>
        </w:rPr>
        <w:t>天。</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②后处理：反应结束后，在反应液中分次加入水、15%NaCl水溶液洗涤，每次洗涤搅拌后静置分层，二次水层作为废水去污水处理。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溶剂层进行脱溶，脱溶条件为-</w:t>
      </w:r>
      <w:r>
        <w:rPr>
          <w:rFonts w:ascii="宋体" w:hAnsi="宋体"/>
          <w:color w:val="auto"/>
          <w:sz w:val="28"/>
          <w:szCs w:val="28"/>
        </w:rPr>
        <w:t>0.08</w:t>
      </w:r>
      <w:r>
        <w:rPr>
          <w:rFonts w:hint="eastAsia" w:ascii="宋体" w:hAnsi="宋体"/>
          <w:color w:val="auto"/>
          <w:sz w:val="28"/>
          <w:szCs w:val="28"/>
        </w:rPr>
        <w:t>MPa、5</w:t>
      </w:r>
      <w:r>
        <w:rPr>
          <w:rFonts w:ascii="宋体" w:hAnsi="宋体"/>
          <w:color w:val="auto"/>
          <w:sz w:val="28"/>
          <w:szCs w:val="28"/>
        </w:rPr>
        <w:t>0</w:t>
      </w:r>
      <w:r>
        <w:rPr>
          <w:rFonts w:hint="eastAsia" w:ascii="宋体" w:hAnsi="宋体"/>
          <w:color w:val="auto"/>
          <w:sz w:val="28"/>
          <w:szCs w:val="28"/>
        </w:rPr>
        <w:t>℃，二级冷凝回收二氯甲烷用于下批次套用。</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（7）环氧和内酯化反应</w:t>
      </w:r>
    </w:p>
    <w:p>
      <w:pPr>
        <w:spacing w:line="360" w:lineRule="auto"/>
        <w:ind w:firstLine="560" w:firstLineChars="200"/>
        <w:rPr>
          <w:color w:val="auto"/>
          <w:sz w:val="28"/>
          <w:szCs w:val="28"/>
        </w:rPr>
      </w:pPr>
      <w:r>
        <w:rPr>
          <w:rFonts w:hint="eastAsia" w:ascii="宋体" w:hAnsi="宋体"/>
          <w:color w:val="auto"/>
          <w:sz w:val="28"/>
          <w:szCs w:val="28"/>
        </w:rPr>
        <w:t>①反应：将暂存于暂存罐的二氯甲烷自流至计量罐，再将二氯甲烷从计量罐自流至反应釜，然后投入上步产物，再通过计量罐加入间氯过氧苯甲酸，常温、常压下搅拌</w:t>
      </w:r>
      <w:r>
        <w:rPr>
          <w:rFonts w:hint="eastAsia"/>
          <w:color w:val="auto"/>
          <w:sz w:val="28"/>
          <w:szCs w:val="28"/>
        </w:rPr>
        <w:t>3</w:t>
      </w:r>
      <w:r>
        <w:rPr>
          <w:rFonts w:hint="eastAsia" w:ascii="宋体" w:hAnsi="宋体"/>
          <w:color w:val="auto"/>
          <w:sz w:val="28"/>
          <w:szCs w:val="28"/>
        </w:rPr>
        <w:t>天。</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②后处理：反应结束后，在反应液中加水搅拌后静置分层，水层作为废水处理。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溶剂层分次加入35%亚硫酸氢钠水溶液、35%碳酸钾水溶液、15%NaCl水溶液洗涤，每次洗涤搅拌后静置分层，三次水层作为废水处理。</w:t>
      </w:r>
    </w:p>
    <w:p>
      <w:pPr>
        <w:pStyle w:val="78"/>
        <w:widowControl w:val="0"/>
        <w:ind w:firstLine="560" w:firstLineChars="200"/>
        <w:jc w:val="both"/>
        <w:rPr>
          <w:rFonts w:ascii="宋体" w:hAnsi="宋体"/>
          <w:color w:val="auto"/>
          <w:sz w:val="28"/>
          <w:szCs w:val="28"/>
        </w:rPr>
      </w:pPr>
      <w:r>
        <w:rPr>
          <w:rFonts w:hint="eastAsia" w:ascii="宋体" w:hAnsi="宋体"/>
          <w:color w:val="auto"/>
          <w:sz w:val="28"/>
          <w:szCs w:val="28"/>
        </w:rPr>
        <w:t>洗涤后的溶剂层脱溶，脱溶条件为-</w:t>
      </w:r>
      <w:r>
        <w:rPr>
          <w:rFonts w:ascii="宋体" w:hAnsi="宋体"/>
          <w:color w:val="auto"/>
          <w:sz w:val="28"/>
          <w:szCs w:val="28"/>
        </w:rPr>
        <w:t>0.08</w:t>
      </w:r>
      <w:r>
        <w:rPr>
          <w:rFonts w:hint="eastAsia" w:ascii="宋体" w:hAnsi="宋体"/>
          <w:color w:val="auto"/>
          <w:sz w:val="28"/>
          <w:szCs w:val="28"/>
        </w:rPr>
        <w:t>MPa、5</w:t>
      </w:r>
      <w:r>
        <w:rPr>
          <w:rFonts w:ascii="宋体" w:hAnsi="宋体"/>
          <w:color w:val="auto"/>
          <w:sz w:val="28"/>
          <w:szCs w:val="28"/>
        </w:rPr>
        <w:t>0</w:t>
      </w:r>
      <w:r>
        <w:rPr>
          <w:rFonts w:hint="eastAsia" w:ascii="宋体" w:hAnsi="宋体"/>
          <w:color w:val="auto"/>
          <w:sz w:val="28"/>
          <w:szCs w:val="28"/>
        </w:rPr>
        <w:t>℃，二级冷凝回收二氯甲烷用于下批次套用。</w:t>
      </w:r>
    </w:p>
    <w:p>
      <w:pPr>
        <w:pStyle w:val="78"/>
        <w:widowControl w:val="0"/>
        <w:ind w:firstLine="560" w:firstLineChars="200"/>
        <w:jc w:val="both"/>
        <w:rPr>
          <w:rFonts w:ascii="宋体" w:hAnsi="宋体"/>
          <w:color w:val="auto"/>
          <w:sz w:val="28"/>
          <w:szCs w:val="28"/>
        </w:rPr>
        <w:sectPr>
          <w:headerReference r:id="rId12" w:type="default"/>
          <w:footerReference r:id="rId13" w:type="default"/>
          <w:pgSz w:w="11906" w:h="16838"/>
          <w:pgMar w:top="1418" w:right="1418" w:bottom="1440" w:left="1418" w:header="851" w:footer="992" w:gutter="0"/>
          <w:cols w:space="425" w:num="1"/>
          <w:docGrid w:type="lines" w:linePitch="312" w:charSpace="0"/>
        </w:sectPr>
      </w:pPr>
      <w:r>
        <w:rPr>
          <w:rFonts w:hint="eastAsia" w:ascii="宋体" w:hAnsi="宋体"/>
          <w:color w:val="auto"/>
          <w:sz w:val="28"/>
          <w:szCs w:val="28"/>
        </w:rPr>
        <w:t>将脱溶后粗产物加入至纯化釜中，将暂存于暂存罐的乙酸乙酯自流至计量罐，再通过计量罐将乙酸乙酯自流至反应釜，搅拌溶解至透明。溶液装柱，柱层析用硅胶填柱，硅胶柱作为固废，委托有资质单位处置；过柱后分别收集到含杂质乙酸乙酯和含产物乙酸乙酯分别脱溶，脱溶条件为-</w:t>
      </w:r>
      <w:r>
        <w:rPr>
          <w:rFonts w:ascii="宋体" w:hAnsi="宋体"/>
          <w:color w:val="auto"/>
          <w:sz w:val="28"/>
          <w:szCs w:val="28"/>
        </w:rPr>
        <w:t>0.08</w:t>
      </w:r>
      <w:r>
        <w:rPr>
          <w:rFonts w:hint="eastAsia" w:ascii="宋体" w:hAnsi="宋体"/>
          <w:color w:val="auto"/>
          <w:sz w:val="28"/>
          <w:szCs w:val="28"/>
        </w:rPr>
        <w:t>MPa、7</w:t>
      </w:r>
      <w:r>
        <w:rPr>
          <w:rFonts w:ascii="宋体" w:hAnsi="宋体"/>
          <w:color w:val="auto"/>
          <w:sz w:val="28"/>
          <w:szCs w:val="28"/>
        </w:rPr>
        <w:t>8</w:t>
      </w:r>
      <w:r>
        <w:rPr>
          <w:rFonts w:hint="eastAsia" w:ascii="宋体" w:hAnsi="宋体"/>
          <w:color w:val="auto"/>
          <w:sz w:val="28"/>
          <w:szCs w:val="28"/>
        </w:rPr>
        <w:t>℃，二级冷凝回收乙酸乙酯套用；脱溶回收产物热风烘干（5</w:t>
      </w:r>
      <w:r>
        <w:rPr>
          <w:rFonts w:ascii="宋体" w:hAnsi="宋体"/>
          <w:color w:val="auto"/>
          <w:sz w:val="28"/>
          <w:szCs w:val="28"/>
        </w:rPr>
        <w:t>5</w:t>
      </w:r>
      <w:r>
        <w:rPr>
          <w:rFonts w:hint="eastAsia" w:ascii="宋体" w:hAnsi="宋体"/>
          <w:color w:val="auto"/>
          <w:sz w:val="28"/>
          <w:szCs w:val="28"/>
        </w:rPr>
        <w:t>℃）后得最终产品：丙酰芸苔素内酯。</w:t>
      </w:r>
    </w:p>
    <w:p>
      <w:pPr>
        <w:pStyle w:val="78"/>
        <w:widowControl w:val="0"/>
        <w:ind w:firstLine="562" w:firstLineChars="200"/>
        <w:jc w:val="both"/>
        <w:rPr>
          <w:rFonts w:ascii="宋体" w:hAnsi="宋体"/>
          <w:b/>
          <w:bCs/>
          <w:color w:val="auto"/>
          <w:sz w:val="28"/>
          <w:szCs w:val="28"/>
        </w:rPr>
      </w:pPr>
      <w:r>
        <w:rPr>
          <w:rFonts w:hint="eastAsia" w:ascii="宋体" w:hAnsi="宋体"/>
          <w:b/>
          <w:bCs/>
          <w:color w:val="auto"/>
          <w:sz w:val="28"/>
          <w:szCs w:val="28"/>
        </w:rPr>
        <w:t>3）工艺流程图</w:t>
      </w:r>
    </w:p>
    <w:p>
      <w:pPr>
        <w:rPr>
          <w:color w:val="auto"/>
        </w:rPr>
      </w:pPr>
      <w:r>
        <w:rPr>
          <w:color w:val="auto"/>
        </w:rPr>
        <w:drawing>
          <wp:inline distT="0" distB="0" distL="0" distR="0">
            <wp:extent cx="8877300" cy="4977130"/>
            <wp:effectExtent l="0" t="0" r="0" b="0"/>
            <wp:docPr id="1434032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32222" name="图片 1"/>
                    <pic:cNvPicPr>
                      <a:picLocks noChangeAspect="1"/>
                    </pic:cNvPicPr>
                  </pic:nvPicPr>
                  <pic:blipFill>
                    <a:blip r:embed="rId55"/>
                    <a:stretch>
                      <a:fillRect/>
                    </a:stretch>
                  </pic:blipFill>
                  <pic:spPr>
                    <a:xfrm>
                      <a:off x="0" y="0"/>
                      <a:ext cx="8877300" cy="4977130"/>
                    </a:xfrm>
                    <a:prstGeom prst="rect">
                      <a:avLst/>
                    </a:prstGeom>
                  </pic:spPr>
                </pic:pic>
              </a:graphicData>
            </a:graphic>
          </wp:inline>
        </w:drawing>
      </w:r>
      <w:r>
        <w:rPr>
          <w:color w:val="auto"/>
        </w:rPr>
        <w:t xml:space="preserve"> </w:t>
      </w:r>
      <w:r>
        <w:rPr>
          <w:color w:val="auto"/>
        </w:rPr>
        <w:drawing>
          <wp:inline distT="0" distB="0" distL="0" distR="0">
            <wp:extent cx="8877300" cy="5331460"/>
            <wp:effectExtent l="0" t="0" r="0" b="2540"/>
            <wp:docPr id="669475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75868" name="图片 1"/>
                    <pic:cNvPicPr>
                      <a:picLocks noChangeAspect="1"/>
                    </pic:cNvPicPr>
                  </pic:nvPicPr>
                  <pic:blipFill>
                    <a:blip r:embed="rId56"/>
                    <a:stretch>
                      <a:fillRect/>
                    </a:stretch>
                  </pic:blipFill>
                  <pic:spPr>
                    <a:xfrm>
                      <a:off x="0" y="0"/>
                      <a:ext cx="8877300" cy="5331460"/>
                    </a:xfrm>
                    <a:prstGeom prst="rect">
                      <a:avLst/>
                    </a:prstGeom>
                  </pic:spPr>
                </pic:pic>
              </a:graphicData>
            </a:graphic>
          </wp:inline>
        </w:drawing>
      </w:r>
    </w:p>
    <w:p>
      <w:pPr>
        <w:pStyle w:val="11"/>
        <w:spacing w:line="360" w:lineRule="auto"/>
        <w:jc w:val="center"/>
        <w:rPr>
          <w:rFonts w:ascii="宋体" w:hAnsi="宋体"/>
          <w:color w:val="auto"/>
          <w:sz w:val="24"/>
          <w:szCs w:val="24"/>
        </w:rPr>
        <w:sectPr>
          <w:headerReference r:id="rId14" w:type="default"/>
          <w:footerReference r:id="rId15" w:type="default"/>
          <w:pgSz w:w="16838" w:h="11906" w:orient="landscape"/>
          <w:pgMar w:top="1418" w:right="1418" w:bottom="1418" w:left="1440" w:header="851" w:footer="992" w:gutter="0"/>
          <w:cols w:space="425" w:num="1"/>
          <w:docGrid w:type="lines" w:linePitch="312" w:charSpace="0"/>
        </w:sectPr>
      </w:pPr>
      <w:r>
        <w:rPr>
          <w:rFonts w:hint="eastAsia" w:ascii="宋体" w:hAnsi="宋体"/>
          <w:color w:val="auto"/>
          <w:sz w:val="24"/>
          <w:szCs w:val="24"/>
        </w:rPr>
        <w:t>图2</w:t>
      </w:r>
      <w:r>
        <w:rPr>
          <w:rFonts w:ascii="宋体" w:hAnsi="宋体"/>
          <w:color w:val="auto"/>
          <w:sz w:val="24"/>
          <w:szCs w:val="24"/>
        </w:rPr>
        <w:t xml:space="preserve">.4-3  </w:t>
      </w:r>
      <w:r>
        <w:rPr>
          <w:rFonts w:hint="eastAsia" w:ascii="宋体" w:hAnsi="宋体"/>
          <w:color w:val="auto"/>
          <w:sz w:val="24"/>
          <w:szCs w:val="24"/>
        </w:rPr>
        <w:t>丙酰芸苔素内酯生产工艺流程</w:t>
      </w:r>
    </w:p>
    <w:p>
      <w:pPr>
        <w:pStyle w:val="78"/>
        <w:widowControl w:val="0"/>
        <w:ind w:firstLine="562" w:firstLineChars="200"/>
        <w:jc w:val="both"/>
        <w:rPr>
          <w:rFonts w:ascii="宋体" w:hAnsi="宋体"/>
          <w:b/>
          <w:bCs/>
          <w:color w:val="auto"/>
          <w:sz w:val="28"/>
          <w:szCs w:val="28"/>
        </w:rPr>
      </w:pPr>
      <w:r>
        <w:rPr>
          <w:rFonts w:hint="eastAsia" w:ascii="宋体" w:hAnsi="宋体"/>
          <w:b/>
          <w:bCs/>
          <w:color w:val="auto"/>
          <w:sz w:val="28"/>
          <w:szCs w:val="28"/>
        </w:rPr>
        <w:t>4）物料平衡</w:t>
      </w:r>
    </w:p>
    <w:p>
      <w:pPr>
        <w:pStyle w:val="78"/>
        <w:widowControl w:val="0"/>
        <w:ind w:firstLine="420" w:firstLineChars="200"/>
        <w:jc w:val="center"/>
        <w:rPr>
          <w:rFonts w:ascii="宋体" w:hAnsi="宋体"/>
          <w:color w:val="auto"/>
          <w:sz w:val="21"/>
          <w:szCs w:val="21"/>
        </w:rPr>
      </w:pPr>
      <w:r>
        <w:rPr>
          <w:rFonts w:hint="eastAsia" w:ascii="宋体" w:hAnsi="宋体"/>
          <w:color w:val="auto"/>
          <w:sz w:val="21"/>
          <w:szCs w:val="21"/>
        </w:rPr>
        <w:t>表</w:t>
      </w:r>
      <w:r>
        <w:rPr>
          <w:rFonts w:ascii="宋体" w:hAnsi="宋体"/>
          <w:color w:val="auto"/>
          <w:sz w:val="21"/>
          <w:szCs w:val="21"/>
        </w:rPr>
        <w:t xml:space="preserve">2.4-3 </w:t>
      </w:r>
      <w:r>
        <w:rPr>
          <w:rFonts w:hint="eastAsia" w:ascii="宋体" w:hAnsi="宋体"/>
          <w:color w:val="auto"/>
          <w:sz w:val="21"/>
          <w:szCs w:val="21"/>
        </w:rPr>
        <w:t>丙酰芸苔素内酯物料平衡表</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6"/>
        <w:gridCol w:w="1384"/>
        <w:gridCol w:w="1971"/>
        <w:gridCol w:w="1771"/>
        <w:gridCol w:w="25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vMerge w:val="restart"/>
            <w:tcBorders>
              <w:top w:val="single" w:color="auto" w:sz="4" w:space="0"/>
              <w:left w:val="single" w:color="auto" w:sz="4" w:space="0"/>
              <w:bottom w:val="single" w:color="auto" w:sz="6" w:space="0"/>
              <w:right w:val="single" w:color="auto" w:sz="6" w:space="0"/>
            </w:tcBorders>
            <w:vAlign w:val="center"/>
          </w:tcPr>
          <w:p>
            <w:pPr>
              <w:jc w:val="center"/>
              <w:rPr>
                <w:b/>
                <w:color w:val="auto"/>
              </w:rPr>
            </w:pPr>
            <w:r>
              <w:rPr>
                <w:rFonts w:ascii="宋体" w:hAnsi="宋体"/>
                <w:b/>
                <w:color w:val="auto"/>
              </w:rPr>
              <w:t>序号</w:t>
            </w:r>
          </w:p>
        </w:tc>
        <w:tc>
          <w:tcPr>
            <w:tcW w:w="3355" w:type="dxa"/>
            <w:gridSpan w:val="2"/>
            <w:tcBorders>
              <w:top w:val="single" w:color="auto" w:sz="4" w:space="0"/>
              <w:left w:val="single" w:color="auto" w:sz="6" w:space="0"/>
              <w:bottom w:val="single" w:color="auto" w:sz="6" w:space="0"/>
              <w:right w:val="single" w:color="auto" w:sz="6" w:space="0"/>
            </w:tcBorders>
            <w:vAlign w:val="center"/>
          </w:tcPr>
          <w:p>
            <w:pPr>
              <w:jc w:val="center"/>
              <w:rPr>
                <w:b/>
                <w:color w:val="auto"/>
              </w:rPr>
            </w:pPr>
            <w:r>
              <w:rPr>
                <w:rFonts w:hint="eastAsia" w:ascii="宋体" w:hAnsi="宋体"/>
                <w:b/>
                <w:color w:val="auto"/>
              </w:rPr>
              <w:t>投入</w:t>
            </w:r>
          </w:p>
        </w:tc>
        <w:tc>
          <w:tcPr>
            <w:tcW w:w="4334" w:type="dxa"/>
            <w:gridSpan w:val="2"/>
            <w:tcBorders>
              <w:top w:val="single" w:color="auto" w:sz="4" w:space="0"/>
              <w:left w:val="single" w:color="auto" w:sz="6" w:space="0"/>
              <w:bottom w:val="single" w:color="auto" w:sz="6" w:space="0"/>
              <w:right w:val="single" w:color="auto" w:sz="4" w:space="0"/>
            </w:tcBorders>
            <w:vAlign w:val="center"/>
          </w:tcPr>
          <w:p>
            <w:pPr>
              <w:jc w:val="center"/>
              <w:rPr>
                <w:rFonts w:hAnsi="宋体"/>
                <w:b/>
                <w:color w:val="auto"/>
              </w:rPr>
            </w:pPr>
            <w:r>
              <w:rPr>
                <w:rFonts w:hint="eastAsia" w:ascii="宋体" w:hAnsi="宋体"/>
                <w:b/>
                <w:color w:val="auto"/>
              </w:rPr>
              <w:t>产出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vMerge w:val="continue"/>
            <w:tcBorders>
              <w:top w:val="single" w:color="auto" w:sz="4" w:space="0"/>
              <w:left w:val="single" w:color="auto" w:sz="4" w:space="0"/>
              <w:bottom w:val="single" w:color="auto" w:sz="6" w:space="0"/>
              <w:right w:val="single" w:color="auto" w:sz="6" w:space="0"/>
            </w:tcBorders>
            <w:vAlign w:val="center"/>
          </w:tcPr>
          <w:p>
            <w:pPr>
              <w:widowControl/>
              <w:jc w:val="left"/>
              <w:rPr>
                <w:rFonts w:ascii="Calibri" w:hAnsi="Calibri"/>
                <w:b/>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jc w:val="center"/>
              <w:rPr>
                <w:rFonts w:hAnsi="Calibri"/>
                <w:b/>
                <w:color w:val="auto"/>
              </w:rPr>
            </w:pPr>
            <w:r>
              <w:rPr>
                <w:rFonts w:ascii="宋体" w:hAnsi="宋体"/>
                <w:b/>
                <w:color w:val="auto"/>
              </w:rPr>
              <w:t>物料名称</w:t>
            </w:r>
          </w:p>
        </w:tc>
        <w:tc>
          <w:tcPr>
            <w:tcW w:w="1971" w:type="dxa"/>
            <w:tcBorders>
              <w:top w:val="single" w:color="auto" w:sz="6" w:space="0"/>
              <w:left w:val="single" w:color="auto" w:sz="6" w:space="0"/>
              <w:bottom w:val="single" w:color="auto" w:sz="6" w:space="0"/>
              <w:right w:val="single" w:color="auto" w:sz="6" w:space="0"/>
            </w:tcBorders>
            <w:vAlign w:val="center"/>
          </w:tcPr>
          <w:p>
            <w:pPr>
              <w:jc w:val="center"/>
              <w:rPr>
                <w:b/>
                <w:color w:val="auto"/>
              </w:rPr>
            </w:pPr>
            <w:r>
              <w:rPr>
                <w:rFonts w:ascii="宋体" w:hAnsi="宋体"/>
                <w:b/>
                <w:color w:val="auto"/>
              </w:rPr>
              <w:t>投加量</w:t>
            </w:r>
            <w:r>
              <w:rPr>
                <w:rFonts w:hint="eastAsia" w:cs="Calibri"/>
                <w:b/>
                <w:color w:val="auto"/>
              </w:rPr>
              <w:t>t/a</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hAnsi="宋体"/>
                <w:b/>
                <w:color w:val="auto"/>
              </w:rPr>
            </w:pPr>
            <w:r>
              <w:rPr>
                <w:rFonts w:hint="eastAsia" w:ascii="宋体" w:hAnsi="宋体"/>
                <w:b/>
                <w:color w:val="auto"/>
              </w:rPr>
              <w:t>物料名称</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hAnsi="宋体"/>
                <w:b/>
                <w:color w:val="auto"/>
              </w:rPr>
            </w:pPr>
            <w:r>
              <w:rPr>
                <w:rFonts w:hint="eastAsia" w:ascii="宋体" w:hAnsi="宋体"/>
                <w:b/>
                <w:color w:val="auto"/>
              </w:rPr>
              <w:t>产出量</w:t>
            </w:r>
            <w:r>
              <w:rPr>
                <w:rFonts w:hint="eastAsia" w:cs="Calibri"/>
                <w:b/>
                <w:color w:val="auto"/>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6"/>
              </w:numPr>
              <w:ind w:firstLineChars="0"/>
              <w:jc w:val="center"/>
              <w:rPr>
                <w:rFonts w:hAnsi="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豆甾醇</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6.5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丙酰芸苔素</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cs="Calibri"/>
                <w:color w:val="auto"/>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三乙胺</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8.31</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废气</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olor w:val="auto"/>
              </w:rPr>
              <w:t>1</w:t>
            </w:r>
            <w:r>
              <w:rPr>
                <w:color w:val="auto"/>
              </w:rPr>
              <w:t>8.47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甲基磺酰氯</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5.17</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废液</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olor w:val="auto"/>
              </w:rPr>
              <w:t>4</w:t>
            </w:r>
            <w:r>
              <w:rPr>
                <w:color w:val="auto"/>
              </w:rPr>
              <w:t>18.21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丁酮</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4.04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color w:val="auto"/>
              </w:rPr>
              <w:t>固废</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olor w:val="auto"/>
              </w:rPr>
              <w:t>2</w:t>
            </w:r>
            <w:r>
              <w:rPr>
                <w:color w:val="auto"/>
              </w:rPr>
              <w:t>7.4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NaCl</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ind w:firstLine="619" w:firstLineChars="295"/>
              <w:rPr>
                <w:rFonts w:ascii="Times New Roman" w:hAnsi="Times New Roman" w:cs="Calibri"/>
                <w:color w:val="auto"/>
                <w:kern w:val="2"/>
                <w:sz w:val="21"/>
              </w:rPr>
            </w:pPr>
            <w:r>
              <w:rPr>
                <w:rFonts w:hint="eastAsia" w:ascii="Times New Roman" w:hAnsi="Times New Roman" w:cs="Calibri"/>
                <w:color w:val="auto"/>
                <w:kern w:val="2"/>
                <w:sz w:val="21"/>
              </w:rPr>
              <w:t>1</w:t>
            </w:r>
            <w:r>
              <w:rPr>
                <w:rFonts w:ascii="Times New Roman" w:hAnsi="Times New Roman" w:cs="Calibri"/>
                <w:color w:val="auto"/>
                <w:kern w:val="2"/>
                <w:sz w:val="21"/>
              </w:rPr>
              <w:t>5.6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回用丁酮</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3</w:t>
            </w:r>
            <w:r>
              <w:rPr>
                <w:rFonts w:cs="Calibri"/>
                <w:color w:val="auto"/>
              </w:rPr>
              <w:t>2.31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碳酸氢钾</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6.5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回用DMF</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3</w:t>
            </w:r>
            <w:r>
              <w:rPr>
                <w:rFonts w:cs="Calibri"/>
                <w:color w:val="auto"/>
              </w:rPr>
              <w:t>0.86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次氯酸钠水溶液</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19.5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回用乙酸乙酯</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7</w:t>
            </w:r>
            <w:r>
              <w:rPr>
                <w:rFonts w:cs="Calibri"/>
                <w:color w:val="auto"/>
              </w:rPr>
              <w:t>3.34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TEMPO</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0.07</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回用石油醚</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4</w:t>
            </w:r>
            <w:r>
              <w:rPr>
                <w:rFonts w:cs="Calibri"/>
                <w:color w:val="auto"/>
              </w:rPr>
              <w:t>9.08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碳酸氢钠</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5.2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回用混合溶剂</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7</w:t>
            </w:r>
            <w:r>
              <w:rPr>
                <w:rFonts w:cs="Calibri"/>
                <w:color w:val="auto"/>
              </w:rPr>
              <w:t>3.75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溴化钠</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0.52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hint="eastAsia" w:ascii="宋体" w:hAnsi="宋体"/>
                <w:color w:val="auto"/>
              </w:rPr>
              <w:t>回用二氯甲烷</w:t>
            </w: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r>
              <w:rPr>
                <w:rFonts w:hint="eastAsia" w:cs="Calibri"/>
                <w:color w:val="auto"/>
              </w:rPr>
              <w:t>9</w:t>
            </w:r>
            <w:r>
              <w:rPr>
                <w:rFonts w:cs="Calibri"/>
                <w:color w:val="auto"/>
              </w:rPr>
              <w:t>8.89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二甲基甲酰胺</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1.61</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溴化氢</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0</w:t>
            </w:r>
            <w:r>
              <w:rPr>
                <w:rFonts w:ascii="Times New Roman" w:hAnsi="Times New Roman" w:cs="Calibri"/>
                <w:color w:val="auto"/>
                <w:kern w:val="2"/>
                <w:sz w:val="21"/>
              </w:rPr>
              <w:t>.45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left"/>
              <w:rPr>
                <w:rFonts w:ascii="宋体" w:hAnsi="宋体"/>
                <w:color w:val="auto"/>
              </w:rPr>
            </w:pPr>
            <w:r>
              <w:rPr>
                <w:rFonts w:hint="eastAsia" w:ascii="宋体" w:hAnsi="宋体"/>
                <w:color w:val="auto"/>
              </w:rPr>
              <w:t>乙酸乙酯</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4.29</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碳酸钾</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4.55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N</w:t>
            </w:r>
            <w:r>
              <w:rPr>
                <w:rFonts w:ascii="宋体" w:hAnsi="宋体"/>
                <w:color w:val="auto"/>
              </w:rPr>
              <w:t>-</w:t>
            </w:r>
            <w:r>
              <w:rPr>
                <w:rFonts w:hint="eastAsia" w:ascii="宋体" w:hAnsi="宋体"/>
                <w:color w:val="auto"/>
              </w:rPr>
              <w:t>甲基氧化吗啉</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2.36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叔丁醇</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1.73</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四氢呋喃</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1.96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left"/>
              <w:rPr>
                <w:rFonts w:ascii="宋体" w:hAnsi="宋体"/>
                <w:color w:val="auto"/>
              </w:rPr>
            </w:pPr>
            <w:r>
              <w:rPr>
                <w:rFonts w:hint="eastAsia" w:ascii="宋体" w:hAnsi="宋体"/>
                <w:color w:val="auto"/>
              </w:rPr>
              <w:t>亚硫酸钠</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4</w:t>
            </w:r>
            <w:r>
              <w:rPr>
                <w:rFonts w:ascii="Times New Roman" w:hAnsi="Times New Roman" w:cs="Calibri"/>
                <w:color w:val="auto"/>
                <w:kern w:val="2"/>
                <w:sz w:val="21"/>
              </w:rPr>
              <w:t>.55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丙酸酐</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二氯甲烷</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5.25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63" w:firstLineChars="30"/>
              <w:jc w:val="center"/>
              <w:rPr>
                <w:rFonts w:ascii="宋体" w:hAnsi="宋体"/>
                <w:color w:val="auto"/>
              </w:rPr>
            </w:pPr>
            <w:r>
              <w:rPr>
                <w:rFonts w:hint="eastAsia" w:ascii="宋体" w:hAnsi="宋体"/>
                <w:color w:val="auto"/>
              </w:rPr>
              <w:t>间氯过氧苯甲酸</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5.35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石油醚</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2.92</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硅胶</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17.55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亚硫酸氢钠</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4.55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水</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ascii="Times New Roman" w:hAnsi="Times New Roman" w:cs="Calibri"/>
                <w:color w:val="auto"/>
                <w:kern w:val="2"/>
                <w:sz w:val="21"/>
              </w:rPr>
              <w:t>336.05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回用丁酮</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3</w:t>
            </w:r>
            <w:r>
              <w:rPr>
                <w:rFonts w:ascii="Times New Roman" w:hAnsi="Times New Roman" w:cs="Calibri"/>
                <w:color w:val="auto"/>
                <w:kern w:val="2"/>
                <w:sz w:val="21"/>
              </w:rPr>
              <w:t>2.31</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回用DMF</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3</w:t>
            </w:r>
            <w:r>
              <w:rPr>
                <w:rFonts w:ascii="Times New Roman" w:hAnsi="Times New Roman" w:cs="Calibri"/>
                <w:color w:val="auto"/>
                <w:kern w:val="2"/>
                <w:sz w:val="21"/>
              </w:rPr>
              <w:t>0.86</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回用乙酸乙酯</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7</w:t>
            </w:r>
            <w:r>
              <w:rPr>
                <w:rFonts w:ascii="Times New Roman" w:hAnsi="Times New Roman" w:cs="Calibri"/>
                <w:color w:val="auto"/>
                <w:kern w:val="2"/>
                <w:sz w:val="21"/>
              </w:rPr>
              <w:t>3.34</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回用石油醚</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4</w:t>
            </w:r>
            <w:r>
              <w:rPr>
                <w:rFonts w:ascii="Times New Roman" w:hAnsi="Times New Roman" w:cs="Calibri"/>
                <w:color w:val="auto"/>
                <w:kern w:val="2"/>
                <w:sz w:val="21"/>
              </w:rPr>
              <w:t>9.08</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回用混合溶剂</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7</w:t>
            </w:r>
            <w:r>
              <w:rPr>
                <w:rFonts w:ascii="Times New Roman" w:hAnsi="Times New Roman" w:cs="Calibri"/>
                <w:color w:val="auto"/>
                <w:kern w:val="2"/>
                <w:sz w:val="21"/>
              </w:rPr>
              <w:t>3.75</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6" w:space="0"/>
              <w:right w:val="single" w:color="auto" w:sz="6" w:space="0"/>
            </w:tcBorders>
            <w:vAlign w:val="center"/>
          </w:tcPr>
          <w:p>
            <w:pPr>
              <w:pStyle w:val="57"/>
              <w:numPr>
                <w:ilvl w:val="0"/>
                <w:numId w:val="6"/>
              </w:numPr>
              <w:ind w:firstLineChars="0"/>
              <w:jc w:val="center"/>
              <w:rPr>
                <w:rFonts w:cs="Calibri"/>
                <w:color w:val="auto"/>
              </w:rPr>
            </w:pPr>
          </w:p>
        </w:tc>
        <w:tc>
          <w:tcPr>
            <w:tcW w:w="1384" w:type="dxa"/>
            <w:tcBorders>
              <w:top w:val="single" w:color="auto" w:sz="6" w:space="0"/>
              <w:left w:val="single" w:color="auto" w:sz="6" w:space="0"/>
              <w:bottom w:val="single" w:color="auto" w:sz="6" w:space="0"/>
              <w:right w:val="single" w:color="auto" w:sz="6" w:space="0"/>
            </w:tcBorders>
            <w:vAlign w:val="center"/>
          </w:tcPr>
          <w:p>
            <w:pPr>
              <w:pStyle w:val="8"/>
              <w:adjustRightInd w:val="0"/>
              <w:snapToGrid w:val="0"/>
              <w:ind w:firstLine="0" w:firstLineChars="0"/>
              <w:jc w:val="center"/>
              <w:rPr>
                <w:rFonts w:ascii="宋体" w:hAnsi="宋体"/>
                <w:color w:val="auto"/>
              </w:rPr>
            </w:pPr>
            <w:r>
              <w:rPr>
                <w:rFonts w:hint="eastAsia" w:ascii="宋体" w:hAnsi="宋体"/>
                <w:color w:val="auto"/>
              </w:rPr>
              <w:t>回用二氯甲烷</w:t>
            </w:r>
          </w:p>
        </w:tc>
        <w:tc>
          <w:tcPr>
            <w:tcW w:w="1971" w:type="dxa"/>
            <w:tcBorders>
              <w:top w:val="single" w:color="auto" w:sz="6" w:space="0"/>
              <w:left w:val="single" w:color="auto" w:sz="6" w:space="0"/>
              <w:bottom w:val="single" w:color="auto" w:sz="6" w:space="0"/>
              <w:right w:val="single" w:color="auto" w:sz="6" w:space="0"/>
            </w:tcBorders>
            <w:vAlign w:val="center"/>
          </w:tcPr>
          <w:p>
            <w:pPr>
              <w:pStyle w:val="27"/>
              <w:adjustRightInd w:val="0"/>
              <w:snapToGrid w:val="0"/>
              <w:jc w:val="center"/>
              <w:rPr>
                <w:rFonts w:ascii="Times New Roman" w:hAnsi="Times New Roman" w:cs="Calibri"/>
                <w:color w:val="auto"/>
                <w:kern w:val="2"/>
                <w:sz w:val="21"/>
              </w:rPr>
            </w:pPr>
            <w:r>
              <w:rPr>
                <w:rFonts w:hint="eastAsia" w:ascii="Times New Roman" w:hAnsi="Times New Roman" w:cs="Calibri"/>
                <w:color w:val="auto"/>
                <w:kern w:val="2"/>
                <w:sz w:val="21"/>
              </w:rPr>
              <w:t>9</w:t>
            </w:r>
            <w:r>
              <w:rPr>
                <w:rFonts w:ascii="Times New Roman" w:hAnsi="Times New Roman" w:cs="Calibri"/>
                <w:color w:val="auto"/>
                <w:kern w:val="2"/>
                <w:sz w:val="21"/>
              </w:rPr>
              <w:t>8.89</w:t>
            </w:r>
          </w:p>
        </w:tc>
        <w:tc>
          <w:tcPr>
            <w:tcW w:w="1771"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563" w:type="dxa"/>
            <w:tcBorders>
              <w:top w:val="single" w:color="auto" w:sz="6" w:space="0"/>
              <w:left w:val="single" w:color="auto" w:sz="6" w:space="0"/>
              <w:bottom w:val="single" w:color="auto" w:sz="6" w:space="0"/>
              <w:right w:val="single" w:color="auto" w:sz="4" w:space="0"/>
            </w:tcBorders>
            <w:vAlign w:val="center"/>
          </w:tcPr>
          <w:p>
            <w:pPr>
              <w:jc w:val="center"/>
              <w:rPr>
                <w:rFonts w:cs="Calibri"/>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76" w:type="dxa"/>
            <w:tcBorders>
              <w:top w:val="single" w:color="auto" w:sz="6" w:space="0"/>
              <w:left w:val="single" w:color="auto" w:sz="4" w:space="0"/>
              <w:bottom w:val="single" w:color="auto" w:sz="4" w:space="0"/>
              <w:right w:val="single" w:color="auto" w:sz="6" w:space="0"/>
            </w:tcBorders>
            <w:vAlign w:val="center"/>
          </w:tcPr>
          <w:p>
            <w:pPr>
              <w:jc w:val="center"/>
              <w:rPr>
                <w:color w:val="auto"/>
              </w:rPr>
            </w:pPr>
          </w:p>
        </w:tc>
        <w:tc>
          <w:tcPr>
            <w:tcW w:w="1384" w:type="dxa"/>
            <w:tcBorders>
              <w:top w:val="single" w:color="auto" w:sz="6" w:space="0"/>
              <w:left w:val="single" w:color="auto" w:sz="6" w:space="0"/>
              <w:bottom w:val="single" w:color="auto" w:sz="4" w:space="0"/>
              <w:right w:val="single" w:color="auto" w:sz="6" w:space="0"/>
            </w:tcBorders>
            <w:vAlign w:val="center"/>
          </w:tcPr>
          <w:p>
            <w:pPr>
              <w:jc w:val="center"/>
              <w:rPr>
                <w:color w:val="auto"/>
              </w:rPr>
            </w:pPr>
            <w:r>
              <w:rPr>
                <w:rFonts w:ascii="宋体" w:hAnsi="宋体"/>
                <w:color w:val="auto"/>
              </w:rPr>
              <w:t>总计</w:t>
            </w:r>
          </w:p>
        </w:tc>
        <w:tc>
          <w:tcPr>
            <w:tcW w:w="1971" w:type="dxa"/>
            <w:tcBorders>
              <w:top w:val="single" w:color="auto" w:sz="6" w:space="0"/>
              <w:left w:val="single" w:color="auto" w:sz="6" w:space="0"/>
              <w:bottom w:val="single" w:color="auto" w:sz="4" w:space="0"/>
              <w:right w:val="single" w:color="auto" w:sz="6" w:space="0"/>
            </w:tcBorders>
            <w:vAlign w:val="center"/>
          </w:tcPr>
          <w:p>
            <w:pPr>
              <w:jc w:val="center"/>
              <w:rPr>
                <w:color w:val="auto"/>
              </w:rPr>
            </w:pPr>
            <w:r>
              <w:rPr>
                <w:rFonts w:cs="Calibri"/>
                <w:color w:val="auto"/>
              </w:rPr>
              <w:t>824.31</w:t>
            </w:r>
          </w:p>
        </w:tc>
        <w:tc>
          <w:tcPr>
            <w:tcW w:w="1771" w:type="dxa"/>
            <w:tcBorders>
              <w:top w:val="single" w:color="auto" w:sz="6" w:space="0"/>
              <w:left w:val="single" w:color="auto" w:sz="6" w:space="0"/>
              <w:bottom w:val="single" w:color="auto" w:sz="4" w:space="0"/>
              <w:right w:val="single" w:color="auto" w:sz="6" w:space="0"/>
            </w:tcBorders>
            <w:vAlign w:val="center"/>
          </w:tcPr>
          <w:p>
            <w:pPr>
              <w:jc w:val="center"/>
              <w:rPr>
                <w:color w:val="auto"/>
              </w:rPr>
            </w:pPr>
          </w:p>
        </w:tc>
        <w:tc>
          <w:tcPr>
            <w:tcW w:w="2563" w:type="dxa"/>
            <w:tcBorders>
              <w:top w:val="single" w:color="auto" w:sz="6" w:space="0"/>
              <w:left w:val="single" w:color="auto" w:sz="6" w:space="0"/>
              <w:bottom w:val="single" w:color="auto" w:sz="4" w:space="0"/>
              <w:right w:val="single" w:color="auto" w:sz="4" w:space="0"/>
            </w:tcBorders>
            <w:vAlign w:val="center"/>
          </w:tcPr>
          <w:p>
            <w:pPr>
              <w:jc w:val="center"/>
              <w:rPr>
                <w:color w:val="auto"/>
              </w:rPr>
            </w:pPr>
            <w:r>
              <w:rPr>
                <w:rFonts w:cs="Calibri"/>
                <w:color w:val="auto"/>
              </w:rPr>
              <w:t>824.31</w:t>
            </w:r>
          </w:p>
        </w:tc>
      </w:tr>
    </w:tbl>
    <w:p>
      <w:pPr>
        <w:pStyle w:val="11"/>
        <w:spacing w:line="360" w:lineRule="auto"/>
        <w:ind w:firstLine="562" w:firstLineChars="200"/>
        <w:rPr>
          <w:rFonts w:ascii="宋体" w:hAnsi="宋体"/>
          <w:b/>
          <w:color w:val="auto"/>
          <w:sz w:val="28"/>
          <w:szCs w:val="28"/>
        </w:rPr>
      </w:pPr>
      <w:r>
        <w:rPr>
          <w:rFonts w:ascii="宋体" w:hAnsi="宋体"/>
          <w:b/>
          <w:color w:val="auto"/>
          <w:sz w:val="28"/>
          <w:szCs w:val="28"/>
        </w:rPr>
        <w:t>4</w:t>
      </w:r>
      <w:r>
        <w:rPr>
          <w:rFonts w:hint="eastAsia" w:ascii="宋体" w:hAnsi="宋体"/>
          <w:b/>
          <w:color w:val="auto"/>
          <w:sz w:val="28"/>
          <w:szCs w:val="28"/>
        </w:rPr>
        <w:t>、芸苔素制剂</w:t>
      </w:r>
    </w:p>
    <w:p>
      <w:pPr>
        <w:ind w:firstLine="562" w:firstLineChars="200"/>
        <w:rPr>
          <w:rFonts w:ascii="宋体" w:hAnsi="宋体"/>
          <w:b/>
          <w:color w:val="auto"/>
          <w:sz w:val="28"/>
          <w:szCs w:val="28"/>
        </w:rPr>
      </w:pPr>
      <w:r>
        <w:rPr>
          <w:rFonts w:hint="eastAsia" w:ascii="宋体" w:hAnsi="宋体"/>
          <w:b/>
          <w:color w:val="auto"/>
          <w:sz w:val="28"/>
          <w:szCs w:val="28"/>
        </w:rPr>
        <w:t>1）生产工艺简述</w:t>
      </w:r>
    </w:p>
    <w:p>
      <w:pPr>
        <w:ind w:firstLine="560" w:firstLineChars="200"/>
        <w:rPr>
          <w:rFonts w:ascii="宋体" w:hAnsi="宋体"/>
          <w:bCs/>
          <w:color w:val="auto"/>
          <w:sz w:val="28"/>
          <w:szCs w:val="28"/>
        </w:rPr>
      </w:pPr>
      <w:r>
        <w:rPr>
          <w:rFonts w:hint="eastAsia" w:ascii="宋体" w:hAnsi="宋体"/>
          <w:bCs/>
          <w:color w:val="auto"/>
          <w:sz w:val="28"/>
          <w:szCs w:val="28"/>
        </w:rPr>
        <w:t>该项目芸苔素制剂由2</w:t>
      </w:r>
      <w:r>
        <w:rPr>
          <w:rFonts w:ascii="宋体" w:hAnsi="宋体"/>
          <w:bCs/>
          <w:color w:val="auto"/>
          <w:sz w:val="28"/>
          <w:szCs w:val="28"/>
        </w:rPr>
        <w:t>4-</w:t>
      </w:r>
      <w:r>
        <w:rPr>
          <w:rFonts w:hint="eastAsia" w:ascii="宋体" w:hAnsi="宋体"/>
          <w:bCs/>
          <w:color w:val="auto"/>
          <w:sz w:val="28"/>
          <w:szCs w:val="28"/>
        </w:rPr>
        <w:t>表芸苔素内酯、2</w:t>
      </w:r>
      <w:r>
        <w:rPr>
          <w:rFonts w:ascii="宋体" w:hAnsi="宋体"/>
          <w:bCs/>
          <w:color w:val="auto"/>
          <w:sz w:val="28"/>
          <w:szCs w:val="28"/>
        </w:rPr>
        <w:t>8-</w:t>
      </w:r>
      <w:r>
        <w:rPr>
          <w:rFonts w:hint="eastAsia" w:ascii="宋体" w:hAnsi="宋体"/>
          <w:bCs/>
          <w:color w:val="auto"/>
          <w:sz w:val="28"/>
          <w:szCs w:val="28"/>
        </w:rPr>
        <w:t>高芸苔素内酯、丙酰芸苔素内酯等原药与NP</w:t>
      </w:r>
      <w:r>
        <w:rPr>
          <w:rFonts w:ascii="宋体" w:hAnsi="宋体"/>
          <w:bCs/>
          <w:color w:val="auto"/>
          <w:sz w:val="28"/>
          <w:szCs w:val="28"/>
        </w:rPr>
        <w:t>-10</w:t>
      </w:r>
      <w:r>
        <w:rPr>
          <w:rFonts w:hint="eastAsia" w:ascii="宋体" w:hAnsi="宋体"/>
          <w:bCs/>
          <w:color w:val="auto"/>
          <w:sz w:val="28"/>
          <w:szCs w:val="28"/>
        </w:rPr>
        <w:t>、乙醇、消泡剂、异丙醇、S</w:t>
      </w:r>
      <w:r>
        <w:rPr>
          <w:rFonts w:ascii="宋体" w:hAnsi="宋体"/>
          <w:bCs/>
          <w:color w:val="auto"/>
          <w:sz w:val="28"/>
          <w:szCs w:val="28"/>
        </w:rPr>
        <w:t>-</w:t>
      </w:r>
      <w:r>
        <w:rPr>
          <w:rFonts w:hint="eastAsia" w:ascii="宋体" w:hAnsi="宋体"/>
          <w:bCs/>
          <w:color w:val="auto"/>
          <w:sz w:val="28"/>
          <w:szCs w:val="28"/>
        </w:rPr>
        <w:t>诱抗素、赤霉素A</w:t>
      </w:r>
      <w:r>
        <w:rPr>
          <w:rFonts w:ascii="宋体" w:hAnsi="宋体"/>
          <w:bCs/>
          <w:color w:val="auto"/>
          <w:sz w:val="28"/>
          <w:szCs w:val="28"/>
        </w:rPr>
        <w:t>3</w:t>
      </w:r>
      <w:r>
        <w:rPr>
          <w:rFonts w:hint="eastAsia" w:ascii="宋体" w:hAnsi="宋体"/>
          <w:bCs/>
          <w:color w:val="auto"/>
          <w:sz w:val="28"/>
          <w:szCs w:val="28"/>
        </w:rPr>
        <w:t>、烯效唑、黄原胶、苯甲酸钠、乙二醇、白炭黑、SC001、苄氨基嘌呤、三十烷醇、氯吡脲、噻苯隆、环己酮、氨基寡糖素、朗钛LT</w:t>
      </w:r>
      <w:r>
        <w:rPr>
          <w:rFonts w:ascii="宋体" w:hAnsi="宋体"/>
          <w:bCs/>
          <w:color w:val="auto"/>
          <w:sz w:val="28"/>
          <w:szCs w:val="28"/>
        </w:rPr>
        <w:t>-569</w:t>
      </w:r>
      <w:r>
        <w:rPr>
          <w:rFonts w:hint="eastAsia" w:ascii="宋体" w:hAnsi="宋体"/>
          <w:bCs/>
          <w:color w:val="auto"/>
          <w:sz w:val="28"/>
          <w:szCs w:val="28"/>
        </w:rPr>
        <w:t>、三聚磷酸钠、肥料载体、吲哚丁酸、赤霉素A</w:t>
      </w:r>
      <w:r>
        <w:rPr>
          <w:rFonts w:ascii="宋体" w:hAnsi="宋体"/>
          <w:bCs/>
          <w:color w:val="auto"/>
          <w:sz w:val="28"/>
          <w:szCs w:val="28"/>
        </w:rPr>
        <w:t>4</w:t>
      </w:r>
      <w:r>
        <w:rPr>
          <w:rFonts w:hint="eastAsia" w:ascii="宋体" w:hAnsi="宋体"/>
          <w:bCs/>
          <w:color w:val="auto"/>
          <w:sz w:val="28"/>
          <w:szCs w:val="28"/>
        </w:rPr>
        <w:t>、氯化胆碱、胺鲜酯、水等原料和溶剂经物理混合制得。原药、原料按一定比例经剪切、调配、破碎、砂磨、挤压成型、筛分、过滤、造粒、烘干冷却、薄膜、灌装、包装等不同工序制成芸苔素内酯液体剂和颗粒剂。</w:t>
      </w:r>
    </w:p>
    <w:p>
      <w:pPr>
        <w:ind w:firstLine="562" w:firstLineChars="200"/>
        <w:rPr>
          <w:b/>
          <w:color w:val="auto"/>
        </w:rPr>
      </w:pPr>
      <w:r>
        <w:rPr>
          <w:rFonts w:hint="eastAsia" w:ascii="宋体" w:hAnsi="宋体"/>
          <w:b/>
          <w:color w:val="auto"/>
          <w:sz w:val="28"/>
          <w:szCs w:val="28"/>
        </w:rPr>
        <w:t>2</w:t>
      </w:r>
      <w:r>
        <w:rPr>
          <w:rFonts w:ascii="宋体" w:hAnsi="宋体"/>
          <w:b/>
          <w:color w:val="auto"/>
          <w:sz w:val="28"/>
          <w:szCs w:val="28"/>
        </w:rPr>
        <w:t>)</w:t>
      </w:r>
      <w:r>
        <w:rPr>
          <w:rFonts w:hint="eastAsia" w:ascii="宋体" w:hAnsi="宋体"/>
          <w:b/>
          <w:color w:val="auto"/>
          <w:sz w:val="28"/>
          <w:szCs w:val="28"/>
        </w:rPr>
        <w:t>工艺流程图</w:t>
      </w:r>
    </w:p>
    <w:p>
      <w:pPr>
        <w:pStyle w:val="11"/>
        <w:spacing w:line="360" w:lineRule="auto"/>
        <w:ind w:firstLine="560" w:firstLineChars="200"/>
        <w:rPr>
          <w:color w:val="auto"/>
          <w:sz w:val="28"/>
          <w:szCs w:val="28"/>
        </w:rPr>
      </w:pPr>
      <w:r>
        <w:rPr>
          <w:rFonts w:hint="eastAsia"/>
          <w:color w:val="auto"/>
          <w:sz w:val="28"/>
          <w:szCs w:val="28"/>
        </w:rPr>
        <w:t>①液体剂</w:t>
      </w:r>
    </w:p>
    <w:p>
      <w:pPr>
        <w:pStyle w:val="11"/>
        <w:spacing w:line="360" w:lineRule="auto"/>
        <w:ind w:firstLine="420" w:firstLineChars="200"/>
        <w:jc w:val="center"/>
        <w:rPr>
          <w:rFonts w:ascii="宋体" w:hAnsi="宋体"/>
          <w:b/>
          <w:color w:val="auto"/>
          <w:sz w:val="28"/>
          <w:szCs w:val="28"/>
        </w:rPr>
      </w:pPr>
      <w:r>
        <w:rPr>
          <w:color w:val="auto"/>
        </w:rPr>
        <w:drawing>
          <wp:inline distT="0" distB="0" distL="0" distR="0">
            <wp:extent cx="3395980" cy="3134360"/>
            <wp:effectExtent l="0" t="0" r="0" b="8890"/>
            <wp:docPr id="1771542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42193" name="图片 1"/>
                    <pic:cNvPicPr>
                      <a:picLocks noChangeAspect="1"/>
                    </pic:cNvPicPr>
                  </pic:nvPicPr>
                  <pic:blipFill>
                    <a:blip r:embed="rId57"/>
                    <a:stretch>
                      <a:fillRect/>
                    </a:stretch>
                  </pic:blipFill>
                  <pic:spPr>
                    <a:xfrm>
                      <a:off x="0" y="0"/>
                      <a:ext cx="3408475" cy="3145791"/>
                    </a:xfrm>
                    <a:prstGeom prst="rect">
                      <a:avLst/>
                    </a:prstGeom>
                  </pic:spPr>
                </pic:pic>
              </a:graphicData>
            </a:graphic>
          </wp:inline>
        </w:drawing>
      </w:r>
    </w:p>
    <w:p>
      <w:pPr>
        <w:pStyle w:val="11"/>
        <w:spacing w:line="360" w:lineRule="auto"/>
        <w:jc w:val="center"/>
        <w:rPr>
          <w:rFonts w:ascii="宋体" w:hAnsi="宋体"/>
          <w:color w:val="auto"/>
          <w:sz w:val="24"/>
          <w:szCs w:val="24"/>
        </w:rPr>
      </w:pPr>
      <w:r>
        <w:rPr>
          <w:rFonts w:hint="eastAsia" w:ascii="宋体" w:hAnsi="宋体"/>
          <w:color w:val="auto"/>
          <w:sz w:val="24"/>
          <w:szCs w:val="24"/>
        </w:rPr>
        <w:t>图2</w:t>
      </w:r>
      <w:r>
        <w:rPr>
          <w:rFonts w:ascii="宋体" w:hAnsi="宋体"/>
          <w:color w:val="auto"/>
          <w:sz w:val="24"/>
          <w:szCs w:val="24"/>
        </w:rPr>
        <w:t xml:space="preserve">.4-4  </w:t>
      </w:r>
      <w:r>
        <w:rPr>
          <w:rFonts w:hint="eastAsia" w:ascii="宋体" w:hAnsi="宋体"/>
          <w:color w:val="auto"/>
          <w:sz w:val="24"/>
          <w:szCs w:val="24"/>
        </w:rPr>
        <w:t>液体制剂生产工艺流程</w:t>
      </w:r>
    </w:p>
    <w:p>
      <w:pPr>
        <w:pStyle w:val="11"/>
        <w:spacing w:line="360" w:lineRule="auto"/>
        <w:ind w:firstLine="560" w:firstLineChars="200"/>
        <w:rPr>
          <w:rFonts w:ascii="宋体" w:hAnsi="宋体"/>
          <w:color w:val="auto"/>
          <w:sz w:val="28"/>
          <w:szCs w:val="28"/>
        </w:rPr>
      </w:pPr>
      <w:r>
        <w:rPr>
          <w:rFonts w:hint="eastAsia" w:ascii="宋体" w:hAnsi="宋体"/>
          <w:color w:val="auto"/>
          <w:sz w:val="28"/>
          <w:szCs w:val="28"/>
        </w:rPr>
        <w:t>②颗粒剂</w:t>
      </w:r>
    </w:p>
    <w:p>
      <w:pPr>
        <w:pStyle w:val="11"/>
        <w:spacing w:line="360" w:lineRule="auto"/>
        <w:jc w:val="center"/>
        <w:rPr>
          <w:rFonts w:ascii="宋体" w:hAnsi="宋体"/>
          <w:color w:val="auto"/>
          <w:sz w:val="24"/>
          <w:szCs w:val="24"/>
        </w:rPr>
      </w:pPr>
      <w:r>
        <w:rPr>
          <w:color w:val="auto"/>
        </w:rPr>
        <w:drawing>
          <wp:inline distT="0" distB="0" distL="0" distR="0">
            <wp:extent cx="4980940" cy="3676015"/>
            <wp:effectExtent l="0" t="0" r="0" b="635"/>
            <wp:docPr id="752202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02441" name="图片 1"/>
                    <pic:cNvPicPr>
                      <a:picLocks noChangeAspect="1"/>
                    </pic:cNvPicPr>
                  </pic:nvPicPr>
                  <pic:blipFill>
                    <a:blip r:embed="rId58"/>
                    <a:stretch>
                      <a:fillRect/>
                    </a:stretch>
                  </pic:blipFill>
                  <pic:spPr>
                    <a:xfrm>
                      <a:off x="0" y="0"/>
                      <a:ext cx="4980952" cy="3676190"/>
                    </a:xfrm>
                    <a:prstGeom prst="rect">
                      <a:avLst/>
                    </a:prstGeom>
                  </pic:spPr>
                </pic:pic>
              </a:graphicData>
            </a:graphic>
          </wp:inline>
        </w:drawing>
      </w:r>
    </w:p>
    <w:p>
      <w:pPr>
        <w:pStyle w:val="11"/>
        <w:spacing w:line="360" w:lineRule="auto"/>
        <w:jc w:val="center"/>
        <w:rPr>
          <w:rFonts w:ascii="宋体" w:hAnsi="宋体"/>
          <w:color w:val="auto"/>
          <w:sz w:val="24"/>
          <w:szCs w:val="24"/>
        </w:rPr>
      </w:pPr>
      <w:r>
        <w:rPr>
          <w:rFonts w:hint="eastAsia" w:ascii="宋体" w:hAnsi="宋体"/>
          <w:color w:val="auto"/>
          <w:sz w:val="24"/>
          <w:szCs w:val="24"/>
        </w:rPr>
        <w:t>图2</w:t>
      </w:r>
      <w:r>
        <w:rPr>
          <w:rFonts w:ascii="宋体" w:hAnsi="宋体"/>
          <w:color w:val="auto"/>
          <w:sz w:val="24"/>
          <w:szCs w:val="24"/>
        </w:rPr>
        <w:t xml:space="preserve">.4-5  </w:t>
      </w:r>
      <w:r>
        <w:rPr>
          <w:rFonts w:hint="eastAsia" w:ascii="宋体" w:hAnsi="宋体"/>
          <w:color w:val="auto"/>
          <w:sz w:val="24"/>
          <w:szCs w:val="24"/>
        </w:rPr>
        <w:t>颗粒制剂生产工艺流程</w:t>
      </w:r>
    </w:p>
    <w:p>
      <w:pPr>
        <w:pStyle w:val="11"/>
        <w:spacing w:line="360" w:lineRule="auto"/>
        <w:ind w:firstLine="562" w:firstLineChars="200"/>
        <w:rPr>
          <w:rFonts w:ascii="宋体" w:hAnsi="宋体"/>
          <w:b/>
          <w:color w:val="auto"/>
          <w:sz w:val="28"/>
          <w:szCs w:val="28"/>
        </w:rPr>
      </w:pPr>
      <w:r>
        <w:rPr>
          <w:rFonts w:hint="eastAsia" w:ascii="宋体" w:hAnsi="宋体"/>
          <w:b/>
          <w:color w:val="auto"/>
          <w:sz w:val="28"/>
          <w:szCs w:val="28"/>
        </w:rPr>
        <w:t>3）物料平衡</w:t>
      </w:r>
    </w:p>
    <w:tbl>
      <w:tblPr>
        <w:tblStyle w:val="31"/>
        <w:tblW w:w="4885" w:type="pct"/>
        <w:tblInd w:w="1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635"/>
        <w:gridCol w:w="2475"/>
        <w:gridCol w:w="1453"/>
        <w:gridCol w:w="2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2874" w:type="pct"/>
            <w:gridSpan w:val="2"/>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投入</w:t>
            </w:r>
          </w:p>
        </w:tc>
        <w:tc>
          <w:tcPr>
            <w:tcW w:w="2126" w:type="pct"/>
            <w:gridSpan w:val="2"/>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名称</w:t>
            </w:r>
          </w:p>
        </w:tc>
        <w:tc>
          <w:tcPr>
            <w:tcW w:w="1392" w:type="pct"/>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总量(t/a)</w:t>
            </w:r>
          </w:p>
        </w:tc>
        <w:tc>
          <w:tcPr>
            <w:tcW w:w="817" w:type="pct"/>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名称</w:t>
            </w:r>
          </w:p>
        </w:tc>
        <w:tc>
          <w:tcPr>
            <w:tcW w:w="1309" w:type="pct"/>
            <w:tcMar>
              <w:top w:w="15" w:type="dxa"/>
              <w:left w:w="15" w:type="dxa"/>
              <w:bottom w:w="0" w:type="dxa"/>
              <w:right w:w="15" w:type="dxa"/>
            </w:tcMar>
            <w:vAlign w:val="center"/>
          </w:tcPr>
          <w:p>
            <w:pPr>
              <w:widowControl/>
              <w:jc w:val="center"/>
              <w:textAlignment w:val="center"/>
              <w:rPr>
                <w:rFonts w:ascii="宋体" w:hAnsi="宋体"/>
                <w:b/>
                <w:color w:val="auto"/>
              </w:rPr>
            </w:pPr>
            <w:r>
              <w:rPr>
                <w:rFonts w:hint="eastAsia" w:ascii="宋体" w:hAnsi="宋体"/>
                <w:b/>
                <w:color w:val="auto"/>
                <w:kern w:val="0"/>
              </w:rPr>
              <w:t>总量(t/a)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24-表芸苔素内酯</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2"/>
                <w:szCs w:val="22"/>
              </w:rPr>
              <w:t>0.105</w:t>
            </w:r>
            <w:r>
              <w:rPr>
                <w:color w:val="auto"/>
                <w:sz w:val="22"/>
                <w:szCs w:val="22"/>
              </w:rPr>
              <w:t>2</w:t>
            </w:r>
          </w:p>
        </w:tc>
        <w:tc>
          <w:tcPr>
            <w:tcW w:w="817" w:type="pct"/>
            <w:vMerge w:val="restart"/>
            <w:tcMar>
              <w:top w:w="15" w:type="dxa"/>
              <w:left w:w="15" w:type="dxa"/>
              <w:bottom w:w="0" w:type="dxa"/>
              <w:right w:w="15" w:type="dxa"/>
            </w:tcMar>
            <w:vAlign w:val="center"/>
          </w:tcPr>
          <w:p>
            <w:pPr>
              <w:jc w:val="center"/>
              <w:textAlignment w:val="center"/>
              <w:rPr>
                <w:rFonts w:ascii="宋体" w:hAnsi="宋体"/>
                <w:color w:val="auto"/>
              </w:rPr>
            </w:pPr>
            <w:r>
              <w:rPr>
                <w:rFonts w:ascii="宋体" w:hAnsi="宋体"/>
                <w:color w:val="auto"/>
              </w:rPr>
              <w:t>0.01%24-</w:t>
            </w:r>
            <w:r>
              <w:rPr>
                <w:rFonts w:hint="eastAsia" w:ascii="宋体" w:hAnsi="宋体"/>
                <w:color w:val="auto"/>
              </w:rPr>
              <w:t>表芸苔素内酯</w:t>
            </w:r>
          </w:p>
        </w:tc>
        <w:tc>
          <w:tcPr>
            <w:tcW w:w="1309" w:type="pct"/>
            <w:vMerge w:val="restart"/>
            <w:tcMar>
              <w:top w:w="15" w:type="dxa"/>
              <w:left w:w="15" w:type="dxa"/>
              <w:bottom w:w="0" w:type="dxa"/>
              <w:right w:w="15" w:type="dxa"/>
            </w:tcMar>
            <w:vAlign w:val="center"/>
          </w:tcPr>
          <w:p>
            <w:pPr>
              <w:jc w:val="center"/>
              <w:textAlignment w:val="center"/>
              <w:rPr>
                <w:rFonts w:ascii="宋体" w:hAnsi="宋体"/>
                <w:color w:val="auto"/>
              </w:rPr>
            </w:pPr>
            <w:r>
              <w:rPr>
                <w:rFonts w:ascii="宋体" w:hAnsi="宋体"/>
                <w:color w:val="auto"/>
              </w:rPr>
              <w:t>1000.0072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2"/>
                <w:szCs w:val="22"/>
              </w:rPr>
              <w:t>50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2"/>
                <w:szCs w:val="22"/>
              </w:rPr>
              <w:t>60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消泡剂</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2"/>
                <w:szCs w:val="22"/>
              </w:rPr>
              <w:t>2</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2"/>
                <w:szCs w:val="22"/>
              </w:rPr>
              <w:t>887.902</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0.0033</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.003%</w:t>
            </w:r>
            <w:r>
              <w:rPr>
                <w:rFonts w:hint="eastAsia" w:ascii="宋体" w:hAnsi="宋体"/>
                <w:color w:val="auto"/>
              </w:rPr>
              <w:t>丙酰芸苔素内酯</w:t>
            </w:r>
          </w:p>
        </w:tc>
        <w:tc>
          <w:tcPr>
            <w:tcW w:w="1309" w:type="pct"/>
            <w:vMerge w:val="restart"/>
            <w:vAlign w:val="center"/>
          </w:tcPr>
          <w:p>
            <w:pPr>
              <w:widowControl/>
              <w:jc w:val="center"/>
              <w:rPr>
                <w:rFonts w:ascii="宋体" w:hAnsi="宋体"/>
                <w:color w:val="auto"/>
              </w:rPr>
            </w:pPr>
            <w:r>
              <w:rPr>
                <w:rFonts w:hint="eastAsia" w:ascii="宋体" w:hAnsi="宋体"/>
                <w:color w:val="auto"/>
              </w:rPr>
              <w:t>1</w:t>
            </w:r>
            <w:r>
              <w:rPr>
                <w:rFonts w:ascii="宋体" w:hAnsi="宋体"/>
                <w:color w:val="auto"/>
              </w:rPr>
              <w:t>00.0003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异丙醇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76.997</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0.026</w:t>
            </w:r>
          </w:p>
        </w:tc>
        <w:tc>
          <w:tcPr>
            <w:tcW w:w="817" w:type="pct"/>
            <w:vMerge w:val="restart"/>
            <w:vAlign w:val="center"/>
          </w:tcPr>
          <w:p>
            <w:pPr>
              <w:widowControl/>
              <w:jc w:val="center"/>
              <w:rPr>
                <w:rFonts w:ascii="宋体" w:hAnsi="宋体"/>
                <w:color w:val="auto"/>
              </w:rPr>
            </w:pPr>
            <w:r>
              <w:rPr>
                <w:rFonts w:ascii="宋体" w:hAnsi="宋体"/>
                <w:color w:val="auto"/>
              </w:rPr>
              <w:t>0.01%</w:t>
            </w:r>
            <w:r>
              <w:rPr>
                <w:rFonts w:hint="eastAsia" w:ascii="宋体" w:hAnsi="宋体"/>
                <w:color w:val="auto"/>
              </w:rPr>
              <w:t>2</w:t>
            </w:r>
            <w:r>
              <w:rPr>
                <w:rFonts w:ascii="宋体" w:hAnsi="宋体"/>
                <w:color w:val="auto"/>
              </w:rPr>
              <w:t>8-</w:t>
            </w:r>
            <w:r>
              <w:rPr>
                <w:rFonts w:hint="eastAsia" w:ascii="宋体" w:hAnsi="宋体"/>
                <w:color w:val="auto"/>
              </w:rPr>
              <w:t>高芸*丙酰芸苔素内酯</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00.0273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0.0263</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异丙醇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75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384.975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0.0161</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.1%</w:t>
            </w:r>
            <w:r>
              <w:rPr>
                <w:rFonts w:hint="eastAsia" w:ascii="宋体" w:hAnsi="宋体"/>
                <w:color w:val="auto"/>
              </w:rPr>
              <w:t>丙酰芸*S</w:t>
            </w:r>
            <w:r>
              <w:rPr>
                <w:rFonts w:ascii="宋体" w:hAnsi="宋体"/>
                <w:color w:val="auto"/>
              </w:rPr>
              <w:t>-</w:t>
            </w:r>
            <w:r>
              <w:rPr>
                <w:rFonts w:hint="eastAsia" w:ascii="宋体" w:hAnsi="宋体"/>
                <w:color w:val="auto"/>
              </w:rPr>
              <w:t>诱抗素</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S-诱抗素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0.538</w:t>
            </w:r>
            <w:r>
              <w:rPr>
                <w:color w:val="auto"/>
                <w:sz w:val="22"/>
                <w:szCs w:val="22"/>
              </w:rPr>
              <w:t>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异丙醇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消泡剂</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0.011</w:t>
            </w:r>
          </w:p>
        </w:tc>
        <w:tc>
          <w:tcPr>
            <w:tcW w:w="817" w:type="pct"/>
            <w:vMerge w:val="restart"/>
            <w:vAlign w:val="center"/>
          </w:tcPr>
          <w:p>
            <w:pPr>
              <w:widowControl/>
              <w:jc w:val="center"/>
              <w:rPr>
                <w:rFonts w:ascii="宋体" w:hAnsi="宋体"/>
                <w:color w:val="auto"/>
              </w:rPr>
            </w:pPr>
            <w:r>
              <w:rPr>
                <w:rFonts w:ascii="宋体" w:hAnsi="宋体"/>
                <w:color w:val="auto"/>
              </w:rPr>
              <w:t>4.5%</w:t>
            </w:r>
            <w:r>
              <w:rPr>
                <w:rFonts w:hint="eastAsia" w:ascii="宋体" w:hAnsi="宋体"/>
                <w:color w:val="auto"/>
              </w:rPr>
              <w:t>2</w:t>
            </w:r>
            <w:r>
              <w:rPr>
                <w:rFonts w:ascii="宋体" w:hAnsi="宋体"/>
                <w:color w:val="auto"/>
              </w:rPr>
              <w:t>8-</w:t>
            </w:r>
            <w:r>
              <w:rPr>
                <w:rFonts w:hint="eastAsia" w:ascii="宋体" w:hAnsi="宋体"/>
                <w:color w:val="auto"/>
              </w:rPr>
              <w:t>高芸*赤霉酸</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赤霉酸A3</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9.98</w:t>
            </w:r>
            <w:r>
              <w:rPr>
                <w:color w:val="auto"/>
                <w:sz w:val="22"/>
                <w:szCs w:val="22"/>
              </w:rPr>
              <w:t>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异丙醇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111.01</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0.021</w:t>
            </w:r>
          </w:p>
        </w:tc>
        <w:tc>
          <w:tcPr>
            <w:tcW w:w="817" w:type="pct"/>
            <w:vMerge w:val="restart"/>
            <w:vAlign w:val="center"/>
          </w:tcPr>
          <w:p>
            <w:pPr>
              <w:widowControl/>
              <w:jc w:val="center"/>
              <w:rPr>
                <w:rFonts w:ascii="宋体" w:hAnsi="宋体"/>
                <w:color w:val="auto"/>
              </w:rPr>
            </w:pPr>
            <w:r>
              <w:rPr>
                <w:rFonts w:ascii="宋体" w:hAnsi="宋体"/>
                <w:color w:val="auto"/>
              </w:rPr>
              <w:t>5%</w:t>
            </w:r>
            <w:r>
              <w:rPr>
                <w:rFonts w:hint="eastAsia" w:ascii="宋体" w:hAnsi="宋体"/>
                <w:color w:val="auto"/>
              </w:rPr>
              <w:t>2</w:t>
            </w:r>
            <w:r>
              <w:rPr>
                <w:rFonts w:ascii="宋体" w:hAnsi="宋体"/>
                <w:color w:val="auto"/>
              </w:rPr>
              <w:t>8-</w:t>
            </w:r>
            <w:r>
              <w:rPr>
                <w:rFonts w:hint="eastAsia" w:ascii="宋体" w:hAnsi="宋体"/>
                <w:color w:val="auto"/>
              </w:rPr>
              <w:t>高芸*烯效唑</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烯效唑</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10.18</w:t>
            </w:r>
            <w:r>
              <w:rPr>
                <w:color w:val="auto"/>
                <w:sz w:val="22"/>
                <w:szCs w:val="22"/>
              </w:rPr>
              <w:t>4</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黄原胶</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0.4</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苯甲酸钠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0.4</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乙二醇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8</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白炭黑</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SC001</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16</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162.2</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0.0105</w:t>
            </w:r>
          </w:p>
        </w:tc>
        <w:tc>
          <w:tcPr>
            <w:tcW w:w="817" w:type="pct"/>
            <w:vMerge w:val="restart"/>
            <w:vAlign w:val="center"/>
          </w:tcPr>
          <w:p>
            <w:pPr>
              <w:widowControl/>
              <w:jc w:val="center"/>
              <w:rPr>
                <w:rFonts w:ascii="宋体" w:hAnsi="宋体"/>
                <w:color w:val="auto"/>
              </w:rPr>
            </w:pPr>
            <w:r>
              <w:rPr>
                <w:rFonts w:ascii="宋体" w:hAnsi="宋体"/>
                <w:color w:val="auto"/>
              </w:rPr>
              <w:t>2%</w:t>
            </w:r>
            <w:r>
              <w:rPr>
                <w:rFonts w:hint="eastAsia" w:ascii="宋体" w:hAnsi="宋体"/>
                <w:color w:val="auto"/>
              </w:rPr>
              <w:t>2</w:t>
            </w:r>
            <w:r>
              <w:rPr>
                <w:rFonts w:ascii="宋体" w:hAnsi="宋体"/>
                <w:color w:val="auto"/>
              </w:rPr>
              <w:t>8-</w:t>
            </w:r>
            <w:r>
              <w:rPr>
                <w:rFonts w:hint="eastAsia" w:ascii="宋体" w:hAnsi="宋体"/>
                <w:color w:val="auto"/>
              </w:rPr>
              <w:t>高芸*苄氨基嘌呤</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00.0408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苄氨基嘌呤</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4.0303</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DMF</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80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76</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0.016</w:t>
            </w:r>
            <w:r>
              <w:rPr>
                <w:color w:val="auto"/>
                <w:sz w:val="22"/>
                <w:szCs w:val="22"/>
              </w:rPr>
              <w:t>7</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.1%</w:t>
            </w:r>
            <w:r>
              <w:rPr>
                <w:rFonts w:hint="eastAsia" w:ascii="宋体" w:hAnsi="宋体"/>
                <w:color w:val="auto"/>
              </w:rPr>
              <w:t>丙酰芸*三十烷醇</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00.0556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三十烷醇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0.538</w:t>
            </w:r>
            <w:r>
              <w:rPr>
                <w:color w:val="auto"/>
                <w:sz w:val="22"/>
                <w:szCs w:val="22"/>
              </w:rPr>
              <w:t>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SC001</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黄原胶</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苯甲酸钠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消泡剂</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397</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0.021</w:t>
            </w:r>
          </w:p>
        </w:tc>
        <w:tc>
          <w:tcPr>
            <w:tcW w:w="817" w:type="pct"/>
            <w:vMerge w:val="restart"/>
            <w:vAlign w:val="center"/>
          </w:tcPr>
          <w:p>
            <w:pPr>
              <w:widowControl/>
              <w:jc w:val="center"/>
              <w:rPr>
                <w:rFonts w:ascii="宋体" w:hAnsi="宋体"/>
                <w:color w:val="auto"/>
              </w:rPr>
            </w:pPr>
            <w:r>
              <w:rPr>
                <w:rFonts w:ascii="宋体" w:hAnsi="宋体"/>
                <w:color w:val="auto"/>
              </w:rPr>
              <w:t>0.5%</w:t>
            </w:r>
            <w:r>
              <w:rPr>
                <w:rFonts w:hint="eastAsia" w:ascii="宋体" w:hAnsi="宋体"/>
                <w:color w:val="auto"/>
              </w:rPr>
              <w:t>2</w:t>
            </w:r>
            <w:r>
              <w:rPr>
                <w:rFonts w:ascii="宋体" w:hAnsi="宋体"/>
                <w:color w:val="auto"/>
              </w:rPr>
              <w:t>8-</w:t>
            </w:r>
            <w:r>
              <w:rPr>
                <w:rFonts w:hint="eastAsia" w:ascii="宋体" w:hAnsi="宋体"/>
                <w:color w:val="auto"/>
              </w:rPr>
              <w:t>高芸*氯吡脲</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氯吡脲</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159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28-高芸苔素内酯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0.021</w:t>
            </w:r>
          </w:p>
        </w:tc>
        <w:tc>
          <w:tcPr>
            <w:tcW w:w="817" w:type="pct"/>
            <w:vMerge w:val="restart"/>
            <w:vAlign w:val="center"/>
          </w:tcPr>
          <w:p>
            <w:pPr>
              <w:widowControl/>
              <w:jc w:val="center"/>
              <w:rPr>
                <w:rFonts w:ascii="宋体" w:hAnsi="宋体"/>
                <w:color w:val="auto"/>
              </w:rPr>
            </w:pPr>
            <w:r>
              <w:rPr>
                <w:rFonts w:ascii="宋体" w:hAnsi="宋体"/>
                <w:color w:val="auto"/>
              </w:rPr>
              <w:t>0.16%</w:t>
            </w:r>
            <w:r>
              <w:rPr>
                <w:rFonts w:hint="eastAsia" w:ascii="宋体" w:hAnsi="宋体"/>
                <w:color w:val="auto"/>
              </w:rPr>
              <w:t>2</w:t>
            </w:r>
            <w:r>
              <w:rPr>
                <w:rFonts w:ascii="宋体" w:hAnsi="宋体"/>
                <w:color w:val="auto"/>
              </w:rPr>
              <w:t>8-</w:t>
            </w:r>
            <w:r>
              <w:rPr>
                <w:rFonts w:hint="eastAsia" w:ascii="宋体" w:hAnsi="宋体"/>
                <w:color w:val="auto"/>
              </w:rPr>
              <w:t>高芸*噻苯隆</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噻苯隆</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0.31</w:t>
            </w:r>
            <w:r>
              <w:rPr>
                <w:color w:val="auto"/>
                <w:sz w:val="22"/>
                <w:szCs w:val="22"/>
              </w:rPr>
              <w:t>6</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环己酮</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139.68</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0.001578947</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.1%</w:t>
            </w:r>
            <w:r>
              <w:rPr>
                <w:rFonts w:hint="eastAsia" w:ascii="宋体" w:hAnsi="宋体"/>
                <w:color w:val="auto"/>
              </w:rPr>
              <w:t>丙酰芸*氨基寡糖素</w:t>
            </w:r>
          </w:p>
        </w:tc>
        <w:tc>
          <w:tcPr>
            <w:tcW w:w="1309" w:type="pct"/>
            <w:vMerge w:val="restart"/>
            <w:vAlign w:val="center"/>
          </w:tcPr>
          <w:p>
            <w:pPr>
              <w:widowControl/>
              <w:jc w:val="center"/>
              <w:rPr>
                <w:rFonts w:ascii="宋体" w:hAnsi="宋体"/>
                <w:color w:val="auto"/>
              </w:rPr>
            </w:pPr>
            <w:r>
              <w:rPr>
                <w:rFonts w:hint="eastAsia" w:ascii="宋体" w:hAnsi="宋体"/>
                <w:color w:val="auto"/>
              </w:rPr>
              <w:t>1</w:t>
            </w:r>
            <w:r>
              <w:rPr>
                <w:rFonts w:ascii="宋体" w:hAnsi="宋体"/>
                <w:color w:val="auto"/>
              </w:rPr>
              <w:t>0000.52658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氨基寡糖素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10.52</w:t>
            </w:r>
            <w:r>
              <w:rPr>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朗钛LT-569</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三聚磷酸钠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70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肥料载体</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9900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0.0026</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.1%</w:t>
            </w:r>
            <w:r>
              <w:rPr>
                <w:rFonts w:hint="eastAsia" w:ascii="宋体" w:hAnsi="宋体"/>
                <w:color w:val="auto"/>
              </w:rPr>
              <w:t>丙酰芸*吲哚丁酸</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000.1021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吲哚丁酸</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5.099</w:t>
            </w:r>
            <w:r>
              <w:rPr>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朗钛LT-569</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三聚磷酸钠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35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肥料载体</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4950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0.0044</w:t>
            </w:r>
          </w:p>
        </w:tc>
        <w:tc>
          <w:tcPr>
            <w:tcW w:w="817"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丙酰芸*赤霉酸A</w:t>
            </w:r>
            <w:r>
              <w:rPr>
                <w:rFonts w:ascii="宋体" w:hAnsi="宋体"/>
                <w:color w:val="auto"/>
              </w:rPr>
              <w:t>4</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00.4444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赤霉素A4</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4.44</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异丙醇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116</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丙酰芸苔素内酯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0.0044</w:t>
            </w:r>
          </w:p>
        </w:tc>
        <w:tc>
          <w:tcPr>
            <w:tcW w:w="817"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w:t>
            </w:r>
            <w:r>
              <w:rPr>
                <w:rFonts w:hint="eastAsia" w:ascii="宋体" w:hAnsi="宋体"/>
                <w:color w:val="auto"/>
              </w:rPr>
              <w:t>丙酰芸*氯化胆碱</w:t>
            </w:r>
          </w:p>
        </w:tc>
        <w:tc>
          <w:tcPr>
            <w:tcW w:w="1309" w:type="pct"/>
            <w:vMerge w:val="restart"/>
            <w:vAlign w:val="center"/>
          </w:tcPr>
          <w:p>
            <w:pPr>
              <w:widowControl/>
              <w:jc w:val="center"/>
              <w:rPr>
                <w:rFonts w:ascii="宋体" w:hAnsi="宋体"/>
                <w:color w:val="auto"/>
              </w:rPr>
            </w:pPr>
            <w:r>
              <w:rPr>
                <w:rFonts w:hint="eastAsia" w:ascii="宋体" w:hAnsi="宋体"/>
                <w:color w:val="auto"/>
              </w:rPr>
              <w:t>2</w:t>
            </w:r>
            <w:r>
              <w:rPr>
                <w:rFonts w:ascii="宋体" w:hAnsi="宋体"/>
                <w:color w:val="auto"/>
              </w:rPr>
              <w:t>00.0414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氯化胆碱</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102.03</w:t>
            </w:r>
            <w:r>
              <w:rPr>
                <w:color w:val="auto"/>
                <w:sz w:val="22"/>
                <w:szCs w:val="22"/>
              </w:rPr>
              <w:t>7</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93</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S-诱抗素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0.0333</w:t>
            </w:r>
          </w:p>
        </w:tc>
        <w:tc>
          <w:tcPr>
            <w:tcW w:w="817" w:type="pct"/>
            <w:vMerge w:val="restart"/>
            <w:vAlign w:val="center"/>
          </w:tcPr>
          <w:p>
            <w:pPr>
              <w:widowControl/>
              <w:jc w:val="center"/>
              <w:rPr>
                <w:rFonts w:ascii="宋体" w:hAnsi="宋体"/>
                <w:color w:val="auto"/>
              </w:rPr>
            </w:pPr>
            <w:r>
              <w:rPr>
                <w:rFonts w:hint="eastAsia" w:ascii="宋体" w:hAnsi="宋体"/>
                <w:color w:val="auto"/>
              </w:rPr>
              <w:t>0</w:t>
            </w:r>
            <w:r>
              <w:rPr>
                <w:rFonts w:ascii="宋体" w:hAnsi="宋体"/>
                <w:color w:val="auto"/>
              </w:rPr>
              <w:t>.006%</w:t>
            </w:r>
            <w:r>
              <w:rPr>
                <w:rFonts w:hint="eastAsia" w:ascii="宋体" w:hAnsi="宋体"/>
                <w:color w:val="auto"/>
              </w:rPr>
              <w:t>S</w:t>
            </w:r>
            <w:r>
              <w:rPr>
                <w:rFonts w:ascii="宋体" w:hAnsi="宋体"/>
                <w:color w:val="auto"/>
              </w:rPr>
              <w:t>-</w:t>
            </w:r>
            <w:r>
              <w:rPr>
                <w:rFonts w:hint="eastAsia" w:ascii="宋体" w:hAnsi="宋体"/>
                <w:color w:val="auto"/>
              </w:rPr>
              <w:t>诱抗素</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459.97</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24-表芸苔素内酯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0.0026</w:t>
            </w:r>
          </w:p>
        </w:tc>
        <w:tc>
          <w:tcPr>
            <w:tcW w:w="817" w:type="pct"/>
            <w:vMerge w:val="restart"/>
            <w:vAlign w:val="center"/>
          </w:tcPr>
          <w:p>
            <w:pPr>
              <w:widowControl/>
              <w:jc w:val="center"/>
              <w:rPr>
                <w:rFonts w:ascii="宋体" w:hAnsi="宋体"/>
                <w:color w:val="auto"/>
              </w:rPr>
            </w:pPr>
            <w:r>
              <w:rPr>
                <w:rFonts w:ascii="宋体" w:hAnsi="宋体"/>
                <w:color w:val="auto"/>
              </w:rPr>
              <w:t>1%</w:t>
            </w:r>
            <w:r>
              <w:rPr>
                <w:rFonts w:hint="eastAsia" w:ascii="宋体" w:hAnsi="宋体"/>
                <w:color w:val="auto"/>
              </w:rPr>
              <w:t>2</w:t>
            </w:r>
            <w:r>
              <w:rPr>
                <w:rFonts w:ascii="宋体" w:hAnsi="宋体"/>
                <w:color w:val="auto"/>
              </w:rPr>
              <w:t>4-</w:t>
            </w:r>
            <w:r>
              <w:rPr>
                <w:rFonts w:hint="eastAsia" w:ascii="宋体" w:hAnsi="宋体"/>
                <w:color w:val="auto"/>
              </w:rPr>
              <w:t>表芸*氨基寡糖素</w:t>
            </w:r>
          </w:p>
        </w:tc>
        <w:tc>
          <w:tcPr>
            <w:tcW w:w="1309" w:type="pct"/>
            <w:vMerge w:val="restart"/>
            <w:vAlign w:val="center"/>
          </w:tcPr>
          <w:p>
            <w:pPr>
              <w:widowControl/>
              <w:jc w:val="center"/>
              <w:rPr>
                <w:rFonts w:ascii="宋体" w:hAnsi="宋体"/>
                <w:color w:val="auto"/>
              </w:rPr>
            </w:pPr>
            <w:r>
              <w:rPr>
                <w:rFonts w:hint="eastAsia" w:ascii="宋体" w:hAnsi="宋体"/>
                <w:color w:val="auto"/>
              </w:rPr>
              <w:t>5</w:t>
            </w:r>
            <w:r>
              <w:rPr>
                <w:rFonts w:ascii="宋体" w:hAnsi="宋体"/>
                <w:color w:val="auto"/>
              </w:rPr>
              <w:t>00.2631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氨基寡糖素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5.2605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25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水</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455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24-表芸苔素内酯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0.00526</w:t>
            </w:r>
          </w:p>
        </w:tc>
        <w:tc>
          <w:tcPr>
            <w:tcW w:w="817" w:type="pct"/>
            <w:vMerge w:val="restart"/>
            <w:vAlign w:val="center"/>
          </w:tcPr>
          <w:p>
            <w:pPr>
              <w:widowControl/>
              <w:jc w:val="center"/>
              <w:rPr>
                <w:rFonts w:ascii="宋体" w:hAnsi="宋体"/>
                <w:color w:val="auto"/>
              </w:rPr>
            </w:pPr>
            <w:r>
              <w:rPr>
                <w:rFonts w:ascii="宋体" w:hAnsi="宋体"/>
                <w:color w:val="auto"/>
              </w:rPr>
              <w:t>0.1%</w:t>
            </w:r>
            <w:r>
              <w:rPr>
                <w:rFonts w:hint="eastAsia" w:ascii="宋体" w:hAnsi="宋体"/>
                <w:color w:val="auto"/>
              </w:rPr>
              <w:t>2</w:t>
            </w:r>
            <w:r>
              <w:rPr>
                <w:rFonts w:ascii="宋体" w:hAnsi="宋体"/>
                <w:color w:val="auto"/>
              </w:rPr>
              <w:t>4-</w:t>
            </w:r>
            <w:r>
              <w:rPr>
                <w:rFonts w:hint="eastAsia" w:ascii="宋体" w:hAnsi="宋体"/>
                <w:color w:val="auto"/>
              </w:rPr>
              <w:t>表芸*胺鲜酯</w:t>
            </w:r>
          </w:p>
        </w:tc>
        <w:tc>
          <w:tcPr>
            <w:tcW w:w="1309" w:type="pct"/>
            <w:vMerge w:val="restart"/>
            <w:vAlign w:val="center"/>
          </w:tcPr>
          <w:p>
            <w:pPr>
              <w:widowControl/>
              <w:jc w:val="center"/>
              <w:rPr>
                <w:rFonts w:ascii="宋体" w:hAnsi="宋体"/>
                <w:color w:val="auto"/>
              </w:rPr>
            </w:pPr>
            <w:r>
              <w:rPr>
                <w:rFonts w:hint="eastAsia" w:ascii="宋体" w:hAnsi="宋体"/>
                <w:color w:val="auto"/>
              </w:rPr>
              <w:t>1</w:t>
            </w:r>
            <w:r>
              <w:rPr>
                <w:rFonts w:ascii="宋体" w:hAnsi="宋体"/>
                <w:color w:val="auto"/>
              </w:rPr>
              <w:t>0000.20426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胺鲜酯</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10.19</w:t>
            </w:r>
            <w:r>
              <w:rPr>
                <w:color w:val="auto"/>
                <w:sz w:val="22"/>
                <w:szCs w:val="22"/>
              </w:rPr>
              <w:t>9</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无水乙醇</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10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NP-10</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朗钛LT-569</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5</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三聚磷酸钠</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70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新宋体" w:hAnsi="新宋体" w:eastAsia="新宋体"/>
                <w:color w:val="auto"/>
                <w:sz w:val="20"/>
                <w:szCs w:val="20"/>
              </w:rPr>
              <w:t>肥料载体</w:t>
            </w:r>
          </w:p>
        </w:tc>
        <w:tc>
          <w:tcPr>
            <w:tcW w:w="1392" w:type="pct"/>
            <w:tcMar>
              <w:top w:w="15" w:type="dxa"/>
              <w:left w:w="15" w:type="dxa"/>
              <w:bottom w:w="0" w:type="dxa"/>
              <w:right w:w="15" w:type="dxa"/>
            </w:tcMar>
            <w:vAlign w:val="center"/>
          </w:tcPr>
          <w:p>
            <w:pPr>
              <w:widowControl/>
              <w:jc w:val="center"/>
              <w:textAlignment w:val="center"/>
              <w:rPr>
                <w:rFonts w:eastAsia="等线"/>
                <w:color w:val="auto"/>
              </w:rPr>
            </w:pPr>
            <w:r>
              <w:rPr>
                <w:rFonts w:hint="eastAsia"/>
                <w:color w:val="auto"/>
                <w:sz w:val="22"/>
                <w:szCs w:val="22"/>
              </w:rPr>
              <w:t>9900</w:t>
            </w:r>
          </w:p>
        </w:tc>
        <w:tc>
          <w:tcPr>
            <w:tcW w:w="817" w:type="pct"/>
            <w:vMerge w:val="continue"/>
            <w:vAlign w:val="center"/>
          </w:tcPr>
          <w:p>
            <w:pPr>
              <w:widowControl/>
              <w:jc w:val="center"/>
              <w:rPr>
                <w:rFonts w:ascii="宋体" w:hAnsi="宋体"/>
                <w:color w:val="auto"/>
              </w:rPr>
            </w:pPr>
          </w:p>
        </w:tc>
        <w:tc>
          <w:tcPr>
            <w:tcW w:w="1309" w:type="pct"/>
            <w:vMerge w:val="continue"/>
            <w:vAlign w:val="center"/>
          </w:tcPr>
          <w:p>
            <w:pPr>
              <w:widowControl/>
              <w:jc w:val="cente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482" w:type="pct"/>
            <w:tcMar>
              <w:top w:w="15" w:type="dxa"/>
              <w:left w:w="15" w:type="dxa"/>
              <w:bottom w:w="0" w:type="dxa"/>
              <w:right w:w="15" w:type="dxa"/>
            </w:tcMar>
            <w:vAlign w:val="center"/>
          </w:tcPr>
          <w:p>
            <w:pPr>
              <w:widowControl/>
              <w:jc w:val="center"/>
              <w:textAlignment w:val="center"/>
              <w:rPr>
                <w:rFonts w:ascii="宋体" w:hAnsi="宋体"/>
                <w:color w:val="auto"/>
              </w:rPr>
            </w:pPr>
            <w:r>
              <w:rPr>
                <w:rFonts w:hint="eastAsia" w:ascii="宋体" w:hAnsi="宋体"/>
                <w:color w:val="auto"/>
              </w:rPr>
              <w:t>总计</w:t>
            </w:r>
          </w:p>
        </w:tc>
        <w:tc>
          <w:tcPr>
            <w:tcW w:w="1392" w:type="pct"/>
            <w:tcMar>
              <w:top w:w="15" w:type="dxa"/>
              <w:left w:w="15" w:type="dxa"/>
              <w:bottom w:w="0" w:type="dxa"/>
              <w:right w:w="15" w:type="dxa"/>
            </w:tcMar>
            <w:vAlign w:val="center"/>
          </w:tcPr>
          <w:p>
            <w:pPr>
              <w:widowControl/>
              <w:jc w:val="center"/>
              <w:textAlignment w:val="center"/>
              <w:rPr>
                <w:rFonts w:ascii="宋体" w:hAnsi="宋体"/>
                <w:color w:val="auto"/>
              </w:rPr>
            </w:pPr>
            <w:r>
              <w:rPr>
                <w:rFonts w:ascii="宋体" w:hAnsi="宋体"/>
                <w:color w:val="auto"/>
              </w:rPr>
              <w:t>30003.02434</w:t>
            </w:r>
          </w:p>
        </w:tc>
        <w:tc>
          <w:tcPr>
            <w:tcW w:w="817" w:type="pct"/>
            <w:tcMar>
              <w:top w:w="15" w:type="dxa"/>
              <w:left w:w="15" w:type="dxa"/>
              <w:bottom w:w="0" w:type="dxa"/>
              <w:right w:w="15" w:type="dxa"/>
            </w:tcMar>
            <w:vAlign w:val="center"/>
          </w:tcPr>
          <w:p>
            <w:pPr>
              <w:widowControl/>
              <w:jc w:val="center"/>
              <w:textAlignment w:val="center"/>
              <w:rPr>
                <w:rFonts w:ascii="宋体" w:hAnsi="宋体"/>
                <w:color w:val="auto"/>
                <w:kern w:val="0"/>
              </w:rPr>
            </w:pPr>
            <w:r>
              <w:rPr>
                <w:rFonts w:hint="eastAsia" w:ascii="宋体" w:hAnsi="宋体"/>
                <w:color w:val="auto"/>
                <w:kern w:val="0"/>
              </w:rPr>
              <w:t>总计</w:t>
            </w:r>
          </w:p>
        </w:tc>
        <w:tc>
          <w:tcPr>
            <w:tcW w:w="1309" w:type="pct"/>
            <w:tcMar>
              <w:top w:w="15" w:type="dxa"/>
              <w:left w:w="15" w:type="dxa"/>
              <w:bottom w:w="0" w:type="dxa"/>
              <w:right w:w="15" w:type="dxa"/>
            </w:tcMar>
            <w:vAlign w:val="center"/>
          </w:tcPr>
          <w:p>
            <w:pPr>
              <w:widowControl/>
              <w:jc w:val="center"/>
              <w:textAlignment w:val="center"/>
              <w:rPr>
                <w:rFonts w:ascii="宋体" w:hAnsi="宋体"/>
                <w:color w:val="auto"/>
              </w:rPr>
            </w:pPr>
            <w:r>
              <w:rPr>
                <w:rFonts w:ascii="宋体" w:hAnsi="宋体"/>
                <w:color w:val="auto"/>
              </w:rPr>
              <w:t>30003.02434</w:t>
            </w:r>
          </w:p>
        </w:tc>
      </w:tr>
    </w:tbl>
    <w:p>
      <w:pPr>
        <w:keepNext/>
        <w:keepLines/>
        <w:tabs>
          <w:tab w:val="left" w:pos="3165"/>
        </w:tabs>
        <w:spacing w:line="600" w:lineRule="exact"/>
        <w:jc w:val="left"/>
        <w:outlineLvl w:val="2"/>
        <w:rPr>
          <w:b/>
          <w:color w:val="auto"/>
          <w:sz w:val="28"/>
          <w:szCs w:val="32"/>
        </w:rPr>
      </w:pPr>
      <w:bookmarkStart w:id="34" w:name="_Toc144109149"/>
      <w:r>
        <w:rPr>
          <w:rFonts w:hint="eastAsia"/>
          <w:b/>
          <w:color w:val="auto"/>
          <w:sz w:val="28"/>
          <w:szCs w:val="32"/>
        </w:rPr>
        <w:t>2.</w:t>
      </w:r>
      <w:r>
        <w:rPr>
          <w:b/>
          <w:color w:val="auto"/>
          <w:sz w:val="28"/>
          <w:szCs w:val="32"/>
        </w:rPr>
        <w:t>4</w:t>
      </w:r>
      <w:r>
        <w:rPr>
          <w:rFonts w:hint="eastAsia"/>
          <w:b/>
          <w:color w:val="auto"/>
          <w:sz w:val="28"/>
          <w:szCs w:val="32"/>
        </w:rPr>
        <w:t>.</w:t>
      </w:r>
      <w:r>
        <w:rPr>
          <w:b/>
          <w:color w:val="auto"/>
          <w:sz w:val="28"/>
          <w:szCs w:val="32"/>
        </w:rPr>
        <w:t>2</w:t>
      </w:r>
      <w:r>
        <w:rPr>
          <w:rFonts w:hint="eastAsia"/>
          <w:b/>
          <w:color w:val="auto"/>
          <w:sz w:val="28"/>
          <w:szCs w:val="32"/>
        </w:rPr>
        <w:t xml:space="preserve"> 仪表及自动控制系统</w:t>
      </w:r>
      <w:bookmarkEnd w:id="34"/>
    </w:p>
    <w:p>
      <w:pPr>
        <w:adjustRightInd w:val="0"/>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1.控制方案</w:t>
      </w:r>
    </w:p>
    <w:p>
      <w:pPr>
        <w:adjustRightInd w:val="0"/>
        <w:spacing w:line="360" w:lineRule="auto"/>
        <w:ind w:firstLine="560" w:firstLineChars="200"/>
        <w:jc w:val="left"/>
        <w:rPr>
          <w:rFonts w:ascii="宋体" w:hAnsi="宋体"/>
          <w:color w:val="auto"/>
          <w:sz w:val="28"/>
          <w:szCs w:val="28"/>
          <w:highlight w:val="yellow"/>
        </w:rPr>
      </w:pPr>
      <w:r>
        <w:rPr>
          <w:rFonts w:hint="eastAsia" w:ascii="宋体" w:hAnsi="宋体"/>
          <w:color w:val="auto"/>
          <w:sz w:val="28"/>
          <w:szCs w:val="28"/>
        </w:rPr>
        <w:t>该项目涉及的工艺装置较多，工艺流程较复杂，生产过程涉及到易燃易爆等介质以及一旦泄漏会对人体构成危害的物质，同时过程控制的检测点多，为了严格控制生产过程，保证产品质量和控制产品消耗以及提高过程的管理水平，根据生产工艺的特点和要求，对工艺过程的主要参数包括温度、压力、液位、流量、称量、可燃性气体以及设备运行状态等，可进行显示、记录、调节、累积、控制、连锁、报警、打印、设定参数的在线修改; 对现场运行的动转设备可进行停机操作。对重要的工艺参数设有自动调节，以单参数调节为主，对可能产生危险的工艺参数则采用越限报警或连锁，以确保安全生产。</w:t>
      </w:r>
    </w:p>
    <w:p>
      <w:pPr>
        <w:adjustRightInd w:val="0"/>
        <w:spacing w:line="360" w:lineRule="auto"/>
        <w:ind w:firstLine="560" w:firstLineChars="200"/>
        <w:jc w:val="left"/>
        <w:rPr>
          <w:rFonts w:ascii="宋体" w:hAnsi="宋体"/>
          <w:color w:val="auto"/>
          <w:kern w:val="0"/>
          <w:sz w:val="28"/>
          <w:szCs w:val="28"/>
        </w:rPr>
      </w:pPr>
      <w:r>
        <w:rPr>
          <w:rFonts w:ascii="宋体" w:hAnsi="宋体"/>
          <w:color w:val="auto"/>
          <w:sz w:val="28"/>
          <w:szCs w:val="28"/>
        </w:rPr>
        <w:t>根据工艺控制特点，</w:t>
      </w:r>
      <w:r>
        <w:rPr>
          <w:rFonts w:hint="eastAsia" w:ascii="宋体" w:hAnsi="宋体"/>
          <w:color w:val="auto"/>
          <w:kern w:val="0"/>
          <w:sz w:val="28"/>
          <w:szCs w:val="28"/>
        </w:rPr>
        <w:t>该项目生产装置装置的监控和保护系统由</w:t>
      </w:r>
      <w:r>
        <w:rPr>
          <w:rFonts w:hint="eastAsia" w:ascii="宋体" w:hAnsi="宋体" w:cs="ArialMT"/>
          <w:color w:val="auto"/>
          <w:kern w:val="0"/>
          <w:sz w:val="28"/>
          <w:szCs w:val="28"/>
        </w:rPr>
        <w:t>DCS</w:t>
      </w:r>
      <w:r>
        <w:rPr>
          <w:rFonts w:hint="eastAsia" w:ascii="宋体" w:hAnsi="宋体"/>
          <w:color w:val="auto"/>
          <w:kern w:val="0"/>
          <w:sz w:val="28"/>
          <w:szCs w:val="28"/>
        </w:rPr>
        <w:t>系统、</w:t>
      </w:r>
      <w:r>
        <w:rPr>
          <w:rFonts w:hint="eastAsia" w:ascii="宋体" w:hAnsi="宋体" w:cs="ArialMT"/>
          <w:color w:val="auto"/>
          <w:kern w:val="0"/>
          <w:sz w:val="28"/>
          <w:szCs w:val="28"/>
        </w:rPr>
        <w:t>SIS</w:t>
      </w:r>
      <w:r>
        <w:rPr>
          <w:rFonts w:hint="eastAsia" w:ascii="宋体" w:hAnsi="宋体"/>
          <w:color w:val="auto"/>
          <w:kern w:val="0"/>
          <w:sz w:val="28"/>
          <w:szCs w:val="28"/>
        </w:rPr>
        <w:t>系统、</w:t>
      </w:r>
      <w:r>
        <w:rPr>
          <w:rFonts w:hint="eastAsia" w:ascii="宋体" w:hAnsi="宋体"/>
          <w:color w:val="auto"/>
          <w:sz w:val="28"/>
          <w:szCs w:val="28"/>
        </w:rPr>
        <w:t>火灾报警系统、</w:t>
      </w:r>
      <w:r>
        <w:rPr>
          <w:rFonts w:hint="eastAsia"/>
          <w:color w:val="auto"/>
          <w:sz w:val="28"/>
          <w:szCs w:val="28"/>
        </w:rPr>
        <w:t>GDS</w:t>
      </w:r>
      <w:r>
        <w:rPr>
          <w:rFonts w:hint="eastAsia" w:ascii="宋体" w:hAnsi="宋体"/>
          <w:color w:val="auto"/>
          <w:sz w:val="28"/>
          <w:szCs w:val="28"/>
        </w:rPr>
        <w:t>系统等</w:t>
      </w:r>
      <w:r>
        <w:rPr>
          <w:rFonts w:hint="eastAsia" w:ascii="宋体" w:hAnsi="宋体"/>
          <w:color w:val="auto"/>
          <w:kern w:val="0"/>
          <w:sz w:val="28"/>
          <w:szCs w:val="28"/>
        </w:rPr>
        <w:t>组成。该项目2</w:t>
      </w:r>
      <w:r>
        <w:rPr>
          <w:rFonts w:ascii="宋体" w:hAnsi="宋体"/>
          <w:color w:val="auto"/>
          <w:kern w:val="0"/>
          <w:sz w:val="28"/>
          <w:szCs w:val="28"/>
        </w:rPr>
        <w:t>4</w:t>
      </w:r>
      <w:r>
        <w:rPr>
          <w:rFonts w:hint="eastAsia" w:ascii="宋体" w:hAnsi="宋体"/>
          <w:color w:val="auto"/>
          <w:kern w:val="0"/>
          <w:sz w:val="28"/>
          <w:szCs w:val="28"/>
        </w:rPr>
        <w:t>表芸苔素内酯、2</w:t>
      </w:r>
      <w:r>
        <w:rPr>
          <w:rFonts w:ascii="宋体" w:hAnsi="宋体"/>
          <w:color w:val="auto"/>
          <w:kern w:val="0"/>
          <w:sz w:val="28"/>
          <w:szCs w:val="28"/>
        </w:rPr>
        <w:t>8-</w:t>
      </w:r>
      <w:r>
        <w:rPr>
          <w:rFonts w:hint="eastAsia" w:ascii="宋体" w:hAnsi="宋体"/>
          <w:color w:val="auto"/>
          <w:kern w:val="0"/>
          <w:sz w:val="28"/>
          <w:szCs w:val="28"/>
        </w:rPr>
        <w:t>高芸苔素内酯以及丙酰芸苔素内酯合成装置涉及高温操作，工艺过程为间歇生产，工艺介质为易燃易爆，部分介质具有腐蚀性，主要</w:t>
      </w:r>
      <w:r>
        <w:rPr>
          <w:rFonts w:hint="eastAsia" w:ascii="宋体" w:hAnsi="宋体"/>
          <w:color w:val="auto"/>
          <w:sz w:val="28"/>
          <w:szCs w:val="28"/>
        </w:rPr>
        <w:t>工艺检测和控制变量在DCS上进行显示、调节、记录、报警等操作，生产装置内机泵设备的运行状态均在DCS进行显示及在DCS操作站上进行开/停操作。DCS系统还完成本装置必要的工艺运算，实现顺序控制、工艺联锁等功能</w:t>
      </w:r>
      <w:r>
        <w:rPr>
          <w:rFonts w:hint="eastAsia" w:ascii="宋体" w:hAnsi="宋体"/>
          <w:color w:val="auto"/>
          <w:kern w:val="0"/>
          <w:sz w:val="28"/>
          <w:szCs w:val="28"/>
        </w:rPr>
        <w:t>。控制系统中的各个环节，包括现场仪表、控制室仪表（</w:t>
      </w:r>
      <w:r>
        <w:rPr>
          <w:rFonts w:hint="eastAsia" w:ascii="宋体" w:hAnsi="宋体" w:cs="ArialMT"/>
          <w:color w:val="auto"/>
          <w:kern w:val="0"/>
          <w:sz w:val="28"/>
          <w:szCs w:val="28"/>
        </w:rPr>
        <w:t>DCS</w:t>
      </w:r>
      <w:r>
        <w:rPr>
          <w:rFonts w:hint="eastAsia" w:ascii="宋体" w:hAnsi="宋体"/>
          <w:color w:val="auto"/>
          <w:kern w:val="0"/>
          <w:sz w:val="28"/>
          <w:szCs w:val="28"/>
        </w:rPr>
        <w:t>分散控制系统）、独立的安全仪表系统（</w:t>
      </w:r>
      <w:r>
        <w:rPr>
          <w:rFonts w:hint="eastAsia" w:ascii="宋体" w:hAnsi="宋体" w:cs="ArialMT"/>
          <w:color w:val="auto"/>
          <w:kern w:val="0"/>
          <w:sz w:val="28"/>
          <w:szCs w:val="28"/>
        </w:rPr>
        <w:t>SIS</w:t>
      </w:r>
      <w:r>
        <w:rPr>
          <w:rFonts w:hint="eastAsia" w:ascii="宋体" w:hAnsi="宋体"/>
          <w:color w:val="auto"/>
          <w:kern w:val="0"/>
          <w:sz w:val="28"/>
          <w:szCs w:val="28"/>
        </w:rPr>
        <w:t>）及火灾和气体检测系统</w:t>
      </w:r>
      <w:r>
        <w:rPr>
          <w:rFonts w:hint="eastAsia" w:ascii="宋体" w:hAnsi="宋体" w:cs="ArialMT"/>
          <w:color w:val="auto"/>
          <w:kern w:val="0"/>
          <w:sz w:val="28"/>
          <w:szCs w:val="28"/>
        </w:rPr>
        <w:t>GDS</w:t>
      </w:r>
      <w:r>
        <w:rPr>
          <w:rFonts w:hint="eastAsia" w:ascii="宋体" w:hAnsi="宋体"/>
          <w:color w:val="auto"/>
          <w:kern w:val="0"/>
          <w:sz w:val="28"/>
          <w:szCs w:val="28"/>
        </w:rPr>
        <w:t>均为质量可靠、性能优良、技术先进、经济合理，具有成熟使用经验和良好技术支持的产品，可满足自动化仪表的需要，保证关键和重要设备，特别是反应部分的高温设备能够安全可靠连续长周期的运行，保证装置人员及设备的安全。</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主要控制方案：</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1、磺酰化工艺反应釜设置甲基磺酰氯进料流量自动控制，并联锁反应釜温度报警切断进料和开启冷却水系统；</w:t>
      </w:r>
    </w:p>
    <w:p>
      <w:pPr>
        <w:adjustRightInd w:val="0"/>
        <w:spacing w:line="360" w:lineRule="auto"/>
        <w:ind w:firstLine="560" w:firstLineChars="200"/>
        <w:jc w:val="left"/>
        <w:rPr>
          <w:rFonts w:ascii="宋体" w:hAnsi="宋体"/>
          <w:color w:val="auto"/>
          <w:kern w:val="0"/>
          <w:sz w:val="28"/>
          <w:szCs w:val="28"/>
        </w:rPr>
      </w:pPr>
      <w:r>
        <w:rPr>
          <w:rFonts w:ascii="宋体" w:hAnsi="宋体"/>
          <w:color w:val="auto"/>
          <w:kern w:val="0"/>
          <w:sz w:val="28"/>
          <w:szCs w:val="28"/>
        </w:rPr>
        <w:t>2</w:t>
      </w:r>
      <w:r>
        <w:rPr>
          <w:rFonts w:hint="eastAsia" w:ascii="宋体" w:hAnsi="宋体"/>
          <w:color w:val="auto"/>
          <w:kern w:val="0"/>
          <w:sz w:val="28"/>
          <w:szCs w:val="28"/>
        </w:rPr>
        <w:t>、氧化工艺反应釜设置次氯酸钠溶液、过氧化氢溶液、间氯过氧本甲酸的进料流量自动控制，并联锁反应釜温度报警切断进料和开启冷却水系统；</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3、磺酰化反应釜和氧化反应釜设置温度、压力远传报警，并联锁切断进料和开启冷却水系统；</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4、2</w:t>
      </w:r>
      <w:r>
        <w:rPr>
          <w:rFonts w:ascii="宋体" w:hAnsi="宋体"/>
          <w:color w:val="auto"/>
          <w:kern w:val="0"/>
          <w:sz w:val="28"/>
          <w:szCs w:val="28"/>
        </w:rPr>
        <w:t>4-</w:t>
      </w:r>
      <w:r>
        <w:rPr>
          <w:rFonts w:hint="eastAsia" w:ascii="宋体" w:hAnsi="宋体"/>
          <w:color w:val="auto"/>
          <w:kern w:val="0"/>
          <w:sz w:val="28"/>
          <w:szCs w:val="28"/>
        </w:rPr>
        <w:t>表芸苔素内酯还原反应釜设置液氨进料流量自动控制，以及锂金属机械加料装置，并联锁反应釜温度报警切断进料和开启液氮冷却；</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5、磺酰化反应釜、氧化反应釜、2</w:t>
      </w:r>
      <w:r>
        <w:rPr>
          <w:rFonts w:ascii="宋体" w:hAnsi="宋体"/>
          <w:color w:val="auto"/>
          <w:kern w:val="0"/>
          <w:sz w:val="28"/>
          <w:szCs w:val="28"/>
        </w:rPr>
        <w:t>4-</w:t>
      </w:r>
      <w:r>
        <w:rPr>
          <w:rFonts w:hint="eastAsia" w:ascii="宋体" w:hAnsi="宋体"/>
          <w:color w:val="auto"/>
          <w:kern w:val="0"/>
          <w:sz w:val="28"/>
          <w:szCs w:val="28"/>
        </w:rPr>
        <w:t>表芸苔素内酯还原反应釜均设置搅拌电流远传指示，搅拌系统故障或停机联锁切断进料和蒸汽，并开启冷却水；</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6、蒸馏（精馏）釜设置就地和远传液位指示，并设高低液位报警，釜温联锁切断蒸汽；塔釜设置温度远传指示、超限报警，塔釜温度联锁切断蒸汽；冷凝器设置冷却水流量控制，物料出口温度可控制调节冷却水控制阀开度，冷却水设置中断报警。</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7、蒸馏（精馏）釜设置压力就地和远传指示，以及安全阀、爆破片等设施，塔顶压力高高联锁关闭蒸汽，压力表具备压力高报警功能。</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8、液氨气瓶设置称重计量，并联锁气瓶出口切断阀。</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9、农药制剂采用成套自动化机器灌装。</w:t>
      </w:r>
    </w:p>
    <w:p>
      <w:pPr>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生产车间现场和控制室设置紧急停车按钮，现场紧急停车按钮分区集中设置。</w:t>
      </w:r>
    </w:p>
    <w:p>
      <w:pPr>
        <w:adjustRightInd w:val="0"/>
        <w:spacing w:line="360" w:lineRule="auto"/>
        <w:ind w:firstLine="560" w:firstLineChars="200"/>
        <w:rPr>
          <w:rFonts w:ascii="宋体" w:hAnsi="宋体"/>
          <w:color w:val="auto"/>
          <w:sz w:val="28"/>
          <w:szCs w:val="28"/>
        </w:rPr>
      </w:pPr>
      <w:r>
        <w:rPr>
          <w:color w:val="auto"/>
          <w:sz w:val="28"/>
          <w:szCs w:val="28"/>
        </w:rPr>
        <w:t>DCS</w:t>
      </w:r>
      <w:r>
        <w:rPr>
          <w:rFonts w:ascii="宋体" w:hAnsi="宋体"/>
          <w:color w:val="auto"/>
          <w:sz w:val="28"/>
          <w:szCs w:val="28"/>
        </w:rPr>
        <w:t>控制系统作为该项目生产装置和辅助生产装置的仪表控制系统。装置安全保护使用独立设置的具有冗余容错功能的安全仪表系统（</w:t>
      </w:r>
      <w:r>
        <w:rPr>
          <w:color w:val="auto"/>
          <w:sz w:val="28"/>
          <w:szCs w:val="28"/>
        </w:rPr>
        <w:t>SIS</w:t>
      </w:r>
      <w:r>
        <w:rPr>
          <w:rFonts w:ascii="宋体" w:hAnsi="宋体"/>
          <w:color w:val="auto"/>
          <w:sz w:val="28"/>
          <w:szCs w:val="28"/>
        </w:rPr>
        <w:t>）。安全仪表系统（</w:t>
      </w:r>
      <w:r>
        <w:rPr>
          <w:color w:val="auto"/>
          <w:sz w:val="28"/>
          <w:szCs w:val="28"/>
        </w:rPr>
        <w:t>SIS</w:t>
      </w:r>
      <w:r>
        <w:rPr>
          <w:rFonts w:ascii="宋体" w:hAnsi="宋体"/>
          <w:color w:val="auto"/>
          <w:sz w:val="28"/>
          <w:szCs w:val="28"/>
        </w:rPr>
        <w:t>）按装置分别独立设置。</w:t>
      </w:r>
      <w:r>
        <w:rPr>
          <w:rFonts w:hint="eastAsia" w:ascii="宋体" w:hAnsi="宋体"/>
          <w:color w:val="auto"/>
          <w:sz w:val="28"/>
          <w:szCs w:val="28"/>
        </w:rPr>
        <w:t>可燃/有毒气体监测系统（GDS）独立于装置的DCS、SIS系统，其显示、开关面板及附属设备均集中在4</w:t>
      </w:r>
      <w:r>
        <w:rPr>
          <w:rFonts w:ascii="宋体" w:hAnsi="宋体"/>
          <w:color w:val="auto"/>
          <w:sz w:val="28"/>
          <w:szCs w:val="28"/>
        </w:rPr>
        <w:t>03</w:t>
      </w:r>
      <w:r>
        <w:rPr>
          <w:rFonts w:hint="eastAsia" w:ascii="宋体" w:hAnsi="宋体"/>
          <w:color w:val="auto"/>
          <w:sz w:val="28"/>
          <w:szCs w:val="28"/>
        </w:rPr>
        <w:t>控制室内。</w:t>
      </w:r>
    </w:p>
    <w:p>
      <w:pPr>
        <w:adjustRightInd w:val="0"/>
        <w:spacing w:line="360" w:lineRule="auto"/>
        <w:ind w:firstLine="560" w:firstLineChars="200"/>
        <w:jc w:val="left"/>
        <w:rPr>
          <w:rFonts w:ascii="宋体" w:hAnsi="宋体"/>
          <w:color w:val="auto"/>
          <w:sz w:val="28"/>
          <w:szCs w:val="28"/>
        </w:rPr>
      </w:pPr>
      <w:r>
        <w:rPr>
          <w:rFonts w:hint="eastAsia" w:ascii="宋体" w:hAnsi="宋体"/>
          <w:color w:val="auto"/>
          <w:sz w:val="28"/>
          <w:szCs w:val="28"/>
        </w:rPr>
        <w:t>对生产过程中不太重要的过程参数实行就地检测为主，对生产过程中的温度、压力、流量等参数实行就地显示。</w:t>
      </w:r>
    </w:p>
    <w:p>
      <w:pPr>
        <w:adjustRightInd w:val="0"/>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2.仪表选型及防护措施</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大部份仪表选用先进可靠、性能优良的国内合资生产的电子型仪表；重要及关键控制系统采用进口仪表；爆炸危险区内的仪表选型应选用有相应等级的防爆产品。所有现场仪表选用全天候的，具有相应的防护、耐气候及大气腐蚀能力，最低相当于IP65的要求。该项目控制系统</w:t>
      </w:r>
      <w:r>
        <w:rPr>
          <w:rFonts w:ascii="宋体" w:hAnsi="宋体"/>
          <w:color w:val="auto"/>
          <w:sz w:val="28"/>
          <w:szCs w:val="28"/>
        </w:rPr>
        <w:t>集中检测回路选用以</w:t>
      </w:r>
      <w:r>
        <w:rPr>
          <w:rFonts w:hint="eastAsia" w:ascii="宋体" w:hAnsi="宋体"/>
          <w:color w:val="auto"/>
          <w:sz w:val="28"/>
          <w:szCs w:val="28"/>
        </w:rPr>
        <w:t>4～20mA信号为主的智能仪表。对现场仪表，根据现场情况，分别采用防腐型、防水型、隔爆型或本安型。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1）温度仪表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就地检测采用双金属温度计，房间温湿度指示采用数字式温湿度计。</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2）压力仪表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就地测量采用普通压力表，不锈钢外壳压力表和不锈钢压力表。压力集中测量选用EJA压力变送器。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压差就地测量选用Magnehelic微差压计。</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3）流量仪表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流量测量根据不同介质特点，分别选用节流孔板、电磁流量计、涡街流量计、金属管浮子流量计及质量流量计等。</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4）液位测量</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液位连续测量根据不同工况选用磁浮子液位计、法兰安装差压变送器、超声波及雷达液位仪表。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液位开关选用音叉液位开关、浮球液位开关及浮动液位开关。</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5）执行器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调节系统的调节阀选用气动薄膜调节阀配电—气阀门定位器。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开关阀采用气动O型球阀。</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6）可燃气体及有毒气体检测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可燃气体检测器选用催化燃烧式可燃气体检测器。有毒气体检测器选用电化学型有毒气体检测器。</w:t>
      </w:r>
    </w:p>
    <w:p>
      <w:pPr>
        <w:spacing w:line="360" w:lineRule="auto"/>
        <w:ind w:firstLine="560" w:firstLineChars="200"/>
        <w:jc w:val="left"/>
        <w:rPr>
          <w:rFonts w:ascii="宋体" w:hAnsi="宋体"/>
          <w:color w:val="auto"/>
          <w:sz w:val="28"/>
          <w:szCs w:val="28"/>
        </w:rPr>
      </w:pPr>
      <w:r>
        <w:rPr>
          <w:rFonts w:ascii="宋体" w:hAnsi="宋体"/>
          <w:color w:val="auto"/>
          <w:sz w:val="28"/>
          <w:szCs w:val="28"/>
        </w:rPr>
        <w:t>7</w:t>
      </w:r>
      <w:r>
        <w:rPr>
          <w:rFonts w:hint="eastAsia" w:ascii="宋体" w:hAnsi="宋体"/>
          <w:color w:val="auto"/>
          <w:sz w:val="28"/>
          <w:szCs w:val="28"/>
        </w:rPr>
        <w:t>）仪表防护措施</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防腐：现场传感器接触腐蚀性介质部分材质采用不锈钢及PTFE。</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 xml:space="preserve">防护：室外及需要冲洗厂房内的仪表选用防护等级都在IP65或以上。 </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防爆：防爆区域内智能仪表选用隔爆型仪表，防爆等级不低于ⅡBT</w:t>
      </w:r>
      <w:r>
        <w:rPr>
          <w:rFonts w:ascii="宋体" w:hAnsi="宋体"/>
          <w:color w:val="auto"/>
          <w:sz w:val="28"/>
          <w:szCs w:val="28"/>
        </w:rPr>
        <w:t>4</w:t>
      </w:r>
      <w:r>
        <w:rPr>
          <w:rFonts w:hint="eastAsia" w:ascii="宋体" w:hAnsi="宋体"/>
          <w:color w:val="auto"/>
          <w:sz w:val="28"/>
          <w:szCs w:val="28"/>
        </w:rPr>
        <w:t>，涉及氢气场所防爆等级不低于ⅡCT</w:t>
      </w:r>
      <w:r>
        <w:rPr>
          <w:rFonts w:ascii="宋体" w:hAnsi="宋体"/>
          <w:color w:val="auto"/>
          <w:sz w:val="28"/>
          <w:szCs w:val="28"/>
        </w:rPr>
        <w:t>1</w:t>
      </w:r>
      <w:r>
        <w:rPr>
          <w:rFonts w:hint="eastAsia" w:ascii="宋体" w:hAnsi="宋体"/>
          <w:color w:val="auto"/>
          <w:sz w:val="28"/>
          <w:szCs w:val="28"/>
        </w:rPr>
        <w:t>，并设置可燃/有毒气体检测报警探测器，实时监测生产现场可燃/有毒气体在空气中的浓度，浓度超标时及时报警。可燃/有毒气体检测报警系统设在控制室。</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3.仪表电源：</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装置控制系统DCS、SIS、GDS，主要现场仪表采用不间断电源UPS供电。当外电源中断时，UPS电池至少可供系统正常工作</w:t>
      </w:r>
      <w:r>
        <w:rPr>
          <w:rFonts w:ascii="宋体" w:hAnsi="宋体"/>
          <w:color w:val="auto"/>
          <w:sz w:val="28"/>
          <w:szCs w:val="28"/>
        </w:rPr>
        <w:t>90</w:t>
      </w:r>
      <w:r>
        <w:rPr>
          <w:rFonts w:hint="eastAsia" w:ascii="宋体" w:hAnsi="宋体"/>
          <w:color w:val="auto"/>
          <w:sz w:val="28"/>
          <w:szCs w:val="28"/>
        </w:rPr>
        <w:t>分钟。如果装置中采用24VDC电源系统，则需要直流UPS，其备用电池至少可供系统正常工作</w:t>
      </w:r>
      <w:r>
        <w:rPr>
          <w:rFonts w:ascii="宋体" w:hAnsi="宋体"/>
          <w:color w:val="auto"/>
          <w:sz w:val="28"/>
          <w:szCs w:val="28"/>
        </w:rPr>
        <w:t>120</w:t>
      </w:r>
      <w:r>
        <w:rPr>
          <w:rFonts w:hint="eastAsia" w:ascii="宋体" w:hAnsi="宋体"/>
          <w:color w:val="auto"/>
          <w:sz w:val="28"/>
          <w:szCs w:val="28"/>
        </w:rPr>
        <w:t>分钟。</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4.电缆敷设方式</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仪表主电缆采用桥架敷设方式，主干线与工艺管汇同架，防爆接线盒到一次仪表电缆大部分采用架空敷设。电缆过路拟穿保护管。电缆桥架选用不锈钢桥架。</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5.电缆防火封堵原则</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敷设电气线路的电缆桥架或钢管，在穿过不同区域之间墙或楼板处的空洞时，采用防火封堵材料堵塞；电缆进出各种盘柜的孔洞也采用防火封堵材料堵塞。穿线钢管采用镀锌钢管，钢管配线的电气线路均密封。</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防火封堵所使用的原料为有机堵料、无机堵料、阻燃槽盒、硬硅钙板（防火板）、防火涂料等。</w:t>
      </w:r>
    </w:p>
    <w:p>
      <w:pPr>
        <w:pStyle w:val="4"/>
        <w:rPr>
          <w:rFonts w:ascii="Times New Roman" w:hAnsi="Times New Roman" w:cs="Times New Roman"/>
          <w:bCs w:val="0"/>
          <w:color w:val="auto"/>
        </w:rPr>
      </w:pPr>
      <w:bookmarkStart w:id="35" w:name="_Toc144109150"/>
      <w:r>
        <w:rPr>
          <w:rFonts w:hint="eastAsia" w:ascii="Times New Roman" w:hAnsi="Times New Roman" w:cs="Times New Roman"/>
          <w:bCs w:val="0"/>
          <w:color w:val="auto"/>
        </w:rPr>
        <w:t>2.</w:t>
      </w:r>
      <w:r>
        <w:rPr>
          <w:rFonts w:ascii="Times New Roman" w:hAnsi="Times New Roman" w:cs="Times New Roman"/>
          <w:bCs w:val="0"/>
          <w:color w:val="auto"/>
        </w:rPr>
        <w:t>5</w:t>
      </w:r>
      <w:r>
        <w:rPr>
          <w:rFonts w:hint="eastAsia" w:ascii="Times New Roman" w:hAnsi="Times New Roman" w:cs="Times New Roman"/>
          <w:bCs w:val="0"/>
          <w:color w:val="auto"/>
        </w:rPr>
        <w:t xml:space="preserve"> 主要装置（设备）和设施的布局、道路运输</w:t>
      </w:r>
      <w:bookmarkEnd w:id="35"/>
    </w:p>
    <w:p>
      <w:pPr>
        <w:keepNext/>
        <w:keepLines/>
        <w:tabs>
          <w:tab w:val="left" w:pos="3165"/>
        </w:tabs>
        <w:spacing w:line="600" w:lineRule="exact"/>
        <w:jc w:val="left"/>
        <w:outlineLvl w:val="2"/>
        <w:rPr>
          <w:b/>
          <w:color w:val="auto"/>
          <w:sz w:val="28"/>
          <w:szCs w:val="32"/>
        </w:rPr>
      </w:pPr>
      <w:bookmarkStart w:id="36" w:name="_Toc144109151"/>
      <w:r>
        <w:rPr>
          <w:rFonts w:hint="eastAsia"/>
          <w:b/>
          <w:color w:val="auto"/>
          <w:sz w:val="28"/>
          <w:szCs w:val="32"/>
        </w:rPr>
        <w:t>2.</w:t>
      </w:r>
      <w:r>
        <w:rPr>
          <w:b/>
          <w:color w:val="auto"/>
          <w:sz w:val="28"/>
          <w:szCs w:val="32"/>
        </w:rPr>
        <w:t>5</w:t>
      </w:r>
      <w:r>
        <w:rPr>
          <w:rFonts w:hint="eastAsia"/>
          <w:b/>
          <w:color w:val="auto"/>
          <w:sz w:val="28"/>
          <w:szCs w:val="32"/>
        </w:rPr>
        <w:t>.1 平面布置</w:t>
      </w:r>
      <w:bookmarkEnd w:id="36"/>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该公司目前已在江西省吉安市新干县盐化工业城征地3</w:t>
      </w:r>
      <w:r>
        <w:rPr>
          <w:rFonts w:ascii="宋体" w:hAnsi="宋体"/>
          <w:color w:val="auto"/>
          <w:sz w:val="28"/>
          <w:szCs w:val="28"/>
        </w:rPr>
        <w:t>2456.83</w:t>
      </w:r>
      <w:r>
        <w:rPr>
          <w:rFonts w:hint="eastAsia" w:ascii="宋体" w:hAnsi="宋体"/>
          <w:color w:val="auto"/>
          <w:sz w:val="28"/>
          <w:szCs w:val="28"/>
        </w:rPr>
        <w:t>m</w:t>
      </w:r>
      <w:r>
        <w:rPr>
          <w:rFonts w:ascii="宋体" w:hAnsi="宋体"/>
          <w:color w:val="auto"/>
          <w:sz w:val="28"/>
          <w:szCs w:val="28"/>
          <w:vertAlign w:val="superscript"/>
        </w:rPr>
        <w:t>2</w:t>
      </w:r>
      <w:r>
        <w:rPr>
          <w:rFonts w:hint="eastAsia" w:ascii="宋体" w:hAnsi="宋体"/>
          <w:color w:val="auto"/>
          <w:sz w:val="28"/>
          <w:szCs w:val="28"/>
        </w:rPr>
        <w:t>，拟建项目场地呈矩形布置，厂前区、生产区、辅助设施区分别集中分布，形成一个良好的生产环境。</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厂前区主要位于厂区西北部，包括4</w:t>
      </w:r>
      <w:r>
        <w:rPr>
          <w:rFonts w:ascii="宋体" w:hAnsi="宋体"/>
          <w:color w:val="auto"/>
          <w:sz w:val="28"/>
          <w:szCs w:val="28"/>
        </w:rPr>
        <w:t>01</w:t>
      </w:r>
      <w:r>
        <w:rPr>
          <w:rFonts w:hint="eastAsia" w:ascii="宋体" w:hAnsi="宋体"/>
          <w:color w:val="auto"/>
          <w:sz w:val="28"/>
          <w:szCs w:val="28"/>
        </w:rPr>
        <w:t>综合办公楼、4</w:t>
      </w:r>
      <w:r>
        <w:rPr>
          <w:rFonts w:ascii="宋体" w:hAnsi="宋体"/>
          <w:color w:val="auto"/>
          <w:sz w:val="28"/>
          <w:szCs w:val="28"/>
        </w:rPr>
        <w:t>03</w:t>
      </w:r>
      <w:r>
        <w:rPr>
          <w:rFonts w:hint="eastAsia" w:ascii="宋体" w:hAnsi="宋体"/>
          <w:color w:val="auto"/>
          <w:sz w:val="28"/>
          <w:szCs w:val="28"/>
        </w:rPr>
        <w:t>控制室、4</w:t>
      </w:r>
      <w:r>
        <w:rPr>
          <w:rFonts w:ascii="宋体" w:hAnsi="宋体"/>
          <w:color w:val="auto"/>
          <w:sz w:val="28"/>
          <w:szCs w:val="28"/>
        </w:rPr>
        <w:t>02</w:t>
      </w:r>
      <w:r>
        <w:rPr>
          <w:rFonts w:hint="eastAsia" w:ascii="宋体" w:hAnsi="宋体"/>
          <w:color w:val="auto"/>
          <w:sz w:val="28"/>
          <w:szCs w:val="28"/>
        </w:rPr>
        <w:t>门卫以及停车区域。</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生产区由主要道路分为东西两部分，西面部分由北到南分别布置1</w:t>
      </w:r>
      <w:r>
        <w:rPr>
          <w:rFonts w:ascii="宋体" w:hAnsi="宋体"/>
          <w:color w:val="auto"/>
          <w:sz w:val="28"/>
          <w:szCs w:val="28"/>
        </w:rPr>
        <w:t>03</w:t>
      </w:r>
      <w:r>
        <w:rPr>
          <w:rFonts w:hint="eastAsia" w:ascii="宋体" w:hAnsi="宋体"/>
          <w:color w:val="auto"/>
          <w:sz w:val="28"/>
          <w:szCs w:val="28"/>
        </w:rPr>
        <w:t>液体</w:t>
      </w:r>
      <w:r>
        <w:rPr>
          <w:rFonts w:hint="eastAsia" w:ascii="宋体" w:hAnsi="宋体"/>
          <w:color w:val="auto"/>
          <w:sz w:val="28"/>
          <w:szCs w:val="28"/>
          <w:lang w:val="en-US" w:eastAsia="zh-CN"/>
        </w:rPr>
        <w:t>制</w:t>
      </w:r>
      <w:r>
        <w:rPr>
          <w:rFonts w:hint="eastAsia" w:ascii="宋体" w:hAnsi="宋体"/>
          <w:color w:val="auto"/>
          <w:sz w:val="28"/>
          <w:szCs w:val="28"/>
        </w:rPr>
        <w:t>剂车间、2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01</w:t>
      </w:r>
      <w:r>
        <w:rPr>
          <w:rFonts w:hint="eastAsia" w:ascii="宋体" w:hAnsi="宋体"/>
          <w:color w:val="auto"/>
          <w:sz w:val="28"/>
          <w:szCs w:val="28"/>
        </w:rPr>
        <w:t>甲类仓库一、1</w:t>
      </w:r>
      <w:r>
        <w:rPr>
          <w:rFonts w:ascii="宋体" w:hAnsi="宋体"/>
          <w:color w:val="auto"/>
          <w:sz w:val="28"/>
          <w:szCs w:val="28"/>
        </w:rPr>
        <w:t>01</w:t>
      </w:r>
      <w:r>
        <w:rPr>
          <w:rFonts w:hint="eastAsia" w:ascii="宋体" w:hAnsi="宋体"/>
          <w:color w:val="auto"/>
          <w:sz w:val="28"/>
          <w:szCs w:val="28"/>
        </w:rPr>
        <w:t>甲类车间一、1</w:t>
      </w:r>
      <w:r>
        <w:rPr>
          <w:rFonts w:ascii="宋体" w:hAnsi="宋体"/>
          <w:color w:val="auto"/>
          <w:sz w:val="28"/>
          <w:szCs w:val="28"/>
        </w:rPr>
        <w:t>02</w:t>
      </w:r>
      <w:r>
        <w:rPr>
          <w:rFonts w:hint="eastAsia" w:ascii="宋体" w:hAnsi="宋体"/>
          <w:color w:val="auto"/>
          <w:sz w:val="28"/>
          <w:szCs w:val="28"/>
        </w:rPr>
        <w:t>甲类车间二（预留）；东面部分由北至南分别布置1</w:t>
      </w:r>
      <w:r>
        <w:rPr>
          <w:rFonts w:ascii="宋体" w:hAnsi="宋体"/>
          <w:color w:val="auto"/>
          <w:sz w:val="28"/>
          <w:szCs w:val="28"/>
        </w:rPr>
        <w:t>04</w:t>
      </w:r>
      <w:r>
        <w:rPr>
          <w:rFonts w:hint="eastAsia" w:ascii="宋体" w:hAnsi="宋体"/>
          <w:color w:val="auto"/>
          <w:sz w:val="28"/>
          <w:szCs w:val="28"/>
        </w:rPr>
        <w:t>颗粒剂车间、2</w:t>
      </w:r>
      <w:r>
        <w:rPr>
          <w:rFonts w:ascii="宋体" w:hAnsi="宋体"/>
          <w:color w:val="auto"/>
          <w:sz w:val="28"/>
          <w:szCs w:val="28"/>
        </w:rPr>
        <w:t>03</w:t>
      </w:r>
      <w:r>
        <w:rPr>
          <w:rFonts w:hint="eastAsia" w:ascii="宋体" w:hAnsi="宋体"/>
          <w:color w:val="auto"/>
          <w:sz w:val="28"/>
          <w:szCs w:val="28"/>
        </w:rPr>
        <w:t>丙类仓库一，2</w:t>
      </w:r>
      <w:r>
        <w:rPr>
          <w:rFonts w:ascii="宋体" w:hAnsi="宋体"/>
          <w:color w:val="auto"/>
          <w:sz w:val="28"/>
          <w:szCs w:val="28"/>
        </w:rPr>
        <w:t>05</w:t>
      </w:r>
      <w:r>
        <w:rPr>
          <w:rFonts w:hint="eastAsia" w:ascii="宋体" w:hAnsi="宋体"/>
          <w:color w:val="auto"/>
          <w:sz w:val="28"/>
          <w:szCs w:val="28"/>
        </w:rPr>
        <w:t>甲类仓库三靠近辅助设施区事故应急池布置。</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辅助设施区位于厂区东南部，包括3</w:t>
      </w:r>
      <w:r>
        <w:rPr>
          <w:rFonts w:ascii="宋体" w:hAnsi="宋体"/>
          <w:color w:val="auto"/>
          <w:sz w:val="28"/>
          <w:szCs w:val="28"/>
        </w:rPr>
        <w:t>01</w:t>
      </w:r>
      <w:r>
        <w:rPr>
          <w:rFonts w:hint="eastAsia" w:ascii="宋体" w:hAnsi="宋体"/>
          <w:color w:val="auto"/>
          <w:sz w:val="28"/>
          <w:szCs w:val="28"/>
        </w:rPr>
        <w:t>公用工程车间、3</w:t>
      </w:r>
      <w:r>
        <w:rPr>
          <w:rFonts w:ascii="宋体" w:hAnsi="宋体"/>
          <w:color w:val="auto"/>
          <w:sz w:val="28"/>
          <w:szCs w:val="28"/>
        </w:rPr>
        <w:t>02</w:t>
      </w:r>
      <w:r>
        <w:rPr>
          <w:rFonts w:hint="eastAsia" w:ascii="宋体" w:hAnsi="宋体"/>
          <w:color w:val="auto"/>
          <w:sz w:val="28"/>
          <w:szCs w:val="28"/>
        </w:rPr>
        <w:t>事故应急池、3</w:t>
      </w:r>
      <w:r>
        <w:rPr>
          <w:rFonts w:ascii="宋体" w:hAnsi="宋体"/>
          <w:color w:val="auto"/>
          <w:sz w:val="28"/>
          <w:szCs w:val="28"/>
        </w:rPr>
        <w:t>03</w:t>
      </w:r>
      <w:r>
        <w:rPr>
          <w:rFonts w:hint="eastAsia" w:ascii="宋体" w:hAnsi="宋体"/>
          <w:color w:val="auto"/>
          <w:sz w:val="28"/>
          <w:szCs w:val="28"/>
        </w:rPr>
        <w:t>初期雨水池、3</w:t>
      </w:r>
      <w:r>
        <w:rPr>
          <w:rFonts w:ascii="宋体" w:hAnsi="宋体"/>
          <w:color w:val="auto"/>
          <w:sz w:val="28"/>
          <w:szCs w:val="28"/>
        </w:rPr>
        <w:t>04</w:t>
      </w:r>
      <w:r>
        <w:rPr>
          <w:rFonts w:hint="eastAsia" w:ascii="宋体" w:hAnsi="宋体"/>
          <w:color w:val="auto"/>
          <w:sz w:val="28"/>
          <w:szCs w:val="28"/>
        </w:rPr>
        <w:t>消防水池、3</w:t>
      </w:r>
      <w:r>
        <w:rPr>
          <w:rFonts w:ascii="宋体" w:hAnsi="宋体"/>
          <w:color w:val="auto"/>
          <w:sz w:val="28"/>
          <w:szCs w:val="28"/>
        </w:rPr>
        <w:t>07</w:t>
      </w:r>
      <w:r>
        <w:rPr>
          <w:rFonts w:hint="eastAsia" w:ascii="宋体" w:hAnsi="宋体"/>
          <w:color w:val="auto"/>
          <w:sz w:val="28"/>
          <w:szCs w:val="28"/>
        </w:rPr>
        <w:t>循环水池、3</w:t>
      </w:r>
      <w:r>
        <w:rPr>
          <w:rFonts w:ascii="宋体" w:hAnsi="宋体"/>
          <w:color w:val="auto"/>
          <w:sz w:val="28"/>
          <w:szCs w:val="28"/>
        </w:rPr>
        <w:t>05</w:t>
      </w:r>
      <w:r>
        <w:rPr>
          <w:rFonts w:hint="eastAsia" w:ascii="宋体" w:hAnsi="宋体"/>
          <w:color w:val="auto"/>
          <w:sz w:val="28"/>
          <w:szCs w:val="28"/>
        </w:rPr>
        <w:t>泵房、3</w:t>
      </w:r>
      <w:r>
        <w:rPr>
          <w:rFonts w:ascii="宋体" w:hAnsi="宋体"/>
          <w:color w:val="auto"/>
          <w:sz w:val="28"/>
          <w:szCs w:val="28"/>
        </w:rPr>
        <w:t>06</w:t>
      </w:r>
      <w:r>
        <w:rPr>
          <w:rFonts w:hint="eastAsia" w:ascii="宋体" w:hAnsi="宋体"/>
          <w:color w:val="auto"/>
          <w:sz w:val="28"/>
          <w:szCs w:val="28"/>
        </w:rPr>
        <w:t>污水处理区域。</w:t>
      </w:r>
    </w:p>
    <w:p>
      <w:pPr>
        <w:pStyle w:val="49"/>
        <w:ind w:firstLine="560" w:firstLineChars="200"/>
        <w:rPr>
          <w:color w:val="auto"/>
          <w:sz w:val="28"/>
          <w:szCs w:val="28"/>
        </w:rPr>
      </w:pPr>
      <w:r>
        <w:rPr>
          <w:rFonts w:hint="eastAsia"/>
          <w:color w:val="auto"/>
          <w:sz w:val="28"/>
          <w:szCs w:val="28"/>
        </w:rPr>
        <w:t>该项目厂区</w:t>
      </w:r>
      <w:r>
        <w:rPr>
          <w:rFonts w:hint="eastAsia" w:hAnsi="宋体"/>
          <w:color w:val="auto"/>
          <w:sz w:val="28"/>
          <w:szCs w:val="28"/>
        </w:rPr>
        <w:t>拟设三个出入口，在厂区的北侧中间设置一个人流出入口，在厂区的东侧中部设置物流出入口，在厂区偏东南部设置一个消防应急出入口；厂区道路呈环形布置，主干道宽</w:t>
      </w:r>
      <w:r>
        <w:rPr>
          <w:rFonts w:hint="eastAsia" w:hAnsi="宋体"/>
          <w:color w:val="auto"/>
          <w:sz w:val="28"/>
          <w:szCs w:val="28"/>
          <w:lang w:val="en-US" w:eastAsia="zh-CN"/>
        </w:rPr>
        <w:t>8</w:t>
      </w:r>
      <w:r>
        <w:rPr>
          <w:rFonts w:hint="eastAsia" w:hAnsi="宋体"/>
          <w:color w:val="auto"/>
          <w:sz w:val="28"/>
          <w:szCs w:val="28"/>
        </w:rPr>
        <w:t>m，次要道路及环形消防车道宽均不小于</w:t>
      </w:r>
      <w:r>
        <w:rPr>
          <w:rFonts w:hAnsi="宋体"/>
          <w:color w:val="auto"/>
          <w:sz w:val="28"/>
          <w:szCs w:val="28"/>
        </w:rPr>
        <w:t>6</w:t>
      </w:r>
      <w:r>
        <w:rPr>
          <w:rFonts w:hint="eastAsia" w:hAnsi="宋体"/>
          <w:color w:val="auto"/>
          <w:sz w:val="28"/>
          <w:szCs w:val="28"/>
        </w:rPr>
        <w:t>.0m，转弯半径9m。具体厂区平面布置见附件。</w:t>
      </w:r>
    </w:p>
    <w:p>
      <w:pPr>
        <w:keepNext/>
        <w:keepLines/>
        <w:tabs>
          <w:tab w:val="left" w:pos="3165"/>
        </w:tabs>
        <w:spacing w:line="600" w:lineRule="exact"/>
        <w:jc w:val="left"/>
        <w:outlineLvl w:val="2"/>
        <w:rPr>
          <w:b/>
          <w:color w:val="auto"/>
          <w:sz w:val="28"/>
          <w:szCs w:val="32"/>
        </w:rPr>
      </w:pPr>
      <w:bookmarkStart w:id="37" w:name="_Toc144109152"/>
      <w:r>
        <w:rPr>
          <w:rFonts w:hint="eastAsia"/>
          <w:b/>
          <w:color w:val="auto"/>
          <w:sz w:val="28"/>
          <w:szCs w:val="32"/>
        </w:rPr>
        <w:t>2.</w:t>
      </w:r>
      <w:r>
        <w:rPr>
          <w:b/>
          <w:color w:val="auto"/>
          <w:sz w:val="28"/>
          <w:szCs w:val="32"/>
        </w:rPr>
        <w:t>5</w:t>
      </w:r>
      <w:r>
        <w:rPr>
          <w:rFonts w:hint="eastAsia"/>
          <w:b/>
          <w:color w:val="auto"/>
          <w:sz w:val="28"/>
          <w:szCs w:val="32"/>
        </w:rPr>
        <w:t>.</w:t>
      </w:r>
      <w:r>
        <w:rPr>
          <w:b/>
          <w:color w:val="auto"/>
          <w:sz w:val="28"/>
          <w:szCs w:val="32"/>
        </w:rPr>
        <w:t>2</w:t>
      </w:r>
      <w:r>
        <w:rPr>
          <w:rFonts w:hint="eastAsia"/>
          <w:b/>
          <w:color w:val="auto"/>
          <w:sz w:val="28"/>
          <w:szCs w:val="32"/>
        </w:rPr>
        <w:t xml:space="preserve"> 竖向设计</w:t>
      </w:r>
      <w:bookmarkEnd w:id="37"/>
    </w:p>
    <w:p>
      <w:pPr>
        <w:spacing w:line="600" w:lineRule="exact"/>
        <w:ind w:firstLine="560" w:firstLineChars="200"/>
        <w:rPr>
          <w:rFonts w:hint="default" w:ascii="宋体" w:hAnsi="宋体" w:eastAsia="宋体"/>
          <w:color w:val="auto"/>
          <w:sz w:val="28"/>
          <w:szCs w:val="28"/>
          <w:lang w:val="en-US" w:eastAsia="zh-CN"/>
        </w:rPr>
      </w:pPr>
      <w:r>
        <w:rPr>
          <w:rFonts w:hint="eastAsia" w:ascii="宋体" w:hAnsi="宋体"/>
          <w:color w:val="auto"/>
          <w:sz w:val="28"/>
          <w:szCs w:val="28"/>
        </w:rPr>
        <w:t>考虑到整个场地的竖向设计、地形现状和生产工艺情况，该项目场地采用平坡式布置方式。平整坡度1</w:t>
      </w:r>
      <w:r>
        <w:rPr>
          <w:rFonts w:ascii="宋体" w:hAnsi="宋体"/>
          <w:color w:val="auto"/>
          <w:sz w:val="28"/>
          <w:szCs w:val="28"/>
        </w:rPr>
        <w:t>%</w:t>
      </w:r>
      <w:r>
        <w:rPr>
          <w:rFonts w:hint="eastAsia" w:ascii="宋体" w:hAnsi="宋体"/>
          <w:color w:val="auto"/>
          <w:sz w:val="28"/>
          <w:szCs w:val="28"/>
        </w:rPr>
        <w:t>。</w:t>
      </w:r>
      <w:r>
        <w:rPr>
          <w:rFonts w:hint="eastAsia" w:ascii="宋体" w:hAnsi="宋体"/>
          <w:color w:val="auto"/>
          <w:sz w:val="28"/>
          <w:szCs w:val="28"/>
          <w:lang w:val="en-US" w:eastAsia="zh-CN"/>
        </w:rPr>
        <w:t>厂区整体北侧较高，最高标高61.75m，南侧最低标高59.1m。厂区重要忌水的205甲类仓库三标高为60m，高于仓库外地面0.5m。</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竖向布置根据地形特征，城市规划和防洪要求，综合考虑厂区与外部道路之间的衔接，有利于厂区内外道路运输，有利于场地排除雨水，合理选定场地标高。</w:t>
      </w:r>
    </w:p>
    <w:p>
      <w:pPr>
        <w:keepNext/>
        <w:keepLines/>
        <w:tabs>
          <w:tab w:val="left" w:pos="3165"/>
        </w:tabs>
        <w:spacing w:line="600" w:lineRule="exact"/>
        <w:jc w:val="left"/>
        <w:outlineLvl w:val="2"/>
        <w:rPr>
          <w:b/>
          <w:color w:val="auto"/>
          <w:sz w:val="28"/>
          <w:szCs w:val="32"/>
        </w:rPr>
      </w:pPr>
      <w:bookmarkStart w:id="38" w:name="_Toc144109153"/>
      <w:r>
        <w:rPr>
          <w:rFonts w:hint="eastAsia"/>
          <w:b/>
          <w:color w:val="auto"/>
          <w:sz w:val="28"/>
          <w:szCs w:val="32"/>
        </w:rPr>
        <w:t>2.</w:t>
      </w:r>
      <w:r>
        <w:rPr>
          <w:b/>
          <w:color w:val="auto"/>
          <w:sz w:val="28"/>
          <w:szCs w:val="32"/>
        </w:rPr>
        <w:t>5</w:t>
      </w:r>
      <w:r>
        <w:rPr>
          <w:rFonts w:hint="eastAsia"/>
          <w:b/>
          <w:color w:val="auto"/>
          <w:sz w:val="28"/>
          <w:szCs w:val="32"/>
        </w:rPr>
        <w:t>.</w:t>
      </w:r>
      <w:r>
        <w:rPr>
          <w:b/>
          <w:color w:val="auto"/>
          <w:sz w:val="28"/>
          <w:szCs w:val="32"/>
        </w:rPr>
        <w:t>3</w:t>
      </w:r>
      <w:r>
        <w:rPr>
          <w:rFonts w:hint="eastAsia"/>
          <w:b/>
          <w:color w:val="auto"/>
          <w:sz w:val="28"/>
          <w:szCs w:val="32"/>
        </w:rPr>
        <w:t xml:space="preserve"> 厂区防护和绿化</w:t>
      </w:r>
      <w:bookmarkEnd w:id="38"/>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（1）厂区防护</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①围墙：厂区四周设围墙与外界分隔开，墙高2</w:t>
      </w:r>
      <w:r>
        <w:rPr>
          <w:rFonts w:ascii="宋体" w:hAnsi="宋体"/>
          <w:color w:val="auto"/>
          <w:sz w:val="28"/>
          <w:szCs w:val="28"/>
        </w:rPr>
        <w:t>.5</w:t>
      </w:r>
      <w:r>
        <w:rPr>
          <w:rFonts w:hint="eastAsia" w:ascii="宋体" w:hAnsi="宋体"/>
          <w:color w:val="auto"/>
          <w:sz w:val="28"/>
          <w:szCs w:val="28"/>
        </w:rPr>
        <w:t>m。</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②门卫：厂区设有人流、物流出入口，在人流出入口处设有门卫。</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（2）绿化</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厂区围墙周边以花、灌木配合栽植。</w:t>
      </w:r>
    </w:p>
    <w:p>
      <w:pPr>
        <w:keepNext/>
        <w:keepLines/>
        <w:tabs>
          <w:tab w:val="left" w:pos="3165"/>
        </w:tabs>
        <w:spacing w:line="360" w:lineRule="auto"/>
        <w:jc w:val="left"/>
        <w:outlineLvl w:val="2"/>
        <w:rPr>
          <w:b/>
          <w:color w:val="auto"/>
          <w:sz w:val="28"/>
          <w:szCs w:val="32"/>
        </w:rPr>
      </w:pPr>
      <w:bookmarkStart w:id="39" w:name="_Toc144109154"/>
      <w:r>
        <w:rPr>
          <w:rFonts w:hint="eastAsia"/>
          <w:b/>
          <w:color w:val="auto"/>
          <w:sz w:val="28"/>
          <w:szCs w:val="32"/>
        </w:rPr>
        <w:t>2</w:t>
      </w:r>
      <w:r>
        <w:rPr>
          <w:b/>
          <w:color w:val="auto"/>
          <w:sz w:val="28"/>
          <w:szCs w:val="32"/>
        </w:rPr>
        <w:t xml:space="preserve">.5.4 </w:t>
      </w:r>
      <w:r>
        <w:rPr>
          <w:rFonts w:hint="eastAsia"/>
          <w:b/>
          <w:color w:val="auto"/>
          <w:sz w:val="28"/>
          <w:szCs w:val="32"/>
        </w:rPr>
        <w:t>道路及场地</w:t>
      </w:r>
      <w:bookmarkEnd w:id="39"/>
    </w:p>
    <w:p>
      <w:pPr>
        <w:adjustRightInd w:val="0"/>
        <w:snapToGrid w:val="0"/>
        <w:spacing w:line="360" w:lineRule="auto"/>
        <w:ind w:firstLine="560" w:firstLineChars="200"/>
        <w:jc w:val="left"/>
        <w:rPr>
          <w:rFonts w:ascii="宋体" w:hAnsi="宋体"/>
          <w:color w:val="auto"/>
          <w:sz w:val="28"/>
          <w:szCs w:val="28"/>
        </w:rPr>
      </w:pPr>
      <w:r>
        <w:rPr>
          <w:rFonts w:hint="eastAsia" w:ascii="宋体" w:hAnsi="宋体"/>
          <w:color w:val="auto"/>
          <w:sz w:val="28"/>
          <w:szCs w:val="28"/>
        </w:rPr>
        <w:t>该公司厂内道路采用城市郊区型，道路系统的布置除满足生产及人行要求外，还考虑满足消防规范的要求。生产装置区道路成环形布置，并与厂外公路相连。该公司道路、硬地的具体做法如下：依次素土夯实（压实度大于97%），水泥稳定层30cm（6%水泥、级配沙砾94%），C30混凝土25cm，铺砌场地设计荷载汽-30级。厂区主干道及物流主干道为</w:t>
      </w:r>
      <w:r>
        <w:rPr>
          <w:rFonts w:ascii="宋体" w:hAnsi="宋体"/>
          <w:color w:val="auto"/>
          <w:sz w:val="28"/>
          <w:szCs w:val="28"/>
        </w:rPr>
        <w:t>8</w:t>
      </w:r>
      <w:r>
        <w:rPr>
          <w:rFonts w:hint="eastAsia" w:ascii="宋体" w:hAnsi="宋体"/>
          <w:color w:val="auto"/>
          <w:sz w:val="28"/>
          <w:szCs w:val="28"/>
        </w:rPr>
        <w:t>m，次干道为</w:t>
      </w:r>
      <w:r>
        <w:rPr>
          <w:rFonts w:ascii="宋体" w:hAnsi="宋体"/>
          <w:color w:val="auto"/>
          <w:sz w:val="28"/>
          <w:szCs w:val="28"/>
        </w:rPr>
        <w:t>6</w:t>
      </w:r>
      <w:r>
        <w:rPr>
          <w:rFonts w:hint="eastAsia" w:ascii="宋体" w:hAnsi="宋体"/>
          <w:color w:val="auto"/>
          <w:sz w:val="28"/>
          <w:szCs w:val="28"/>
        </w:rPr>
        <w:t>m，环形消防道不小于4m；路面为砼路面，能满足消防车辆错车、转弯等要求。在总平面设计中，各生产界区之间根据消防要求设置消防通道，主要界区周边设置环形道路，各建、构筑物之间距离满足防火间距要求。</w:t>
      </w:r>
    </w:p>
    <w:p>
      <w:pPr>
        <w:spacing w:line="360" w:lineRule="auto"/>
        <w:ind w:firstLine="560" w:firstLineChars="200"/>
        <w:rPr>
          <w:color w:val="auto"/>
        </w:rPr>
      </w:pPr>
      <w:r>
        <w:rPr>
          <w:rFonts w:hint="eastAsia" w:ascii="宋体" w:hAnsi="宋体"/>
          <w:color w:val="auto"/>
          <w:sz w:val="28"/>
          <w:szCs w:val="28"/>
        </w:rPr>
        <w:t>厂区地表雨水由厂区内排水明沟汇集流进工业园区下水管网中；生产产生的污水流进污水系统，污水经过处理合格并经检测达标后方可外排出厂外，经过工业园区的污水管道排放到工业园区下水管网中。</w:t>
      </w:r>
    </w:p>
    <w:p>
      <w:pPr>
        <w:pStyle w:val="4"/>
        <w:rPr>
          <w:rFonts w:ascii="Times New Roman" w:hAnsi="Times New Roman" w:cs="Times New Roman"/>
          <w:bCs w:val="0"/>
          <w:color w:val="auto"/>
        </w:rPr>
      </w:pPr>
      <w:bookmarkStart w:id="40" w:name="_Toc144109155"/>
      <w:r>
        <w:rPr>
          <w:rFonts w:hint="eastAsia" w:ascii="Times New Roman" w:hAnsi="Times New Roman" w:cs="Times New Roman"/>
          <w:bCs w:val="0"/>
          <w:color w:val="auto"/>
        </w:rPr>
        <w:t>2.</w:t>
      </w:r>
      <w:r>
        <w:rPr>
          <w:rFonts w:ascii="Times New Roman" w:hAnsi="Times New Roman" w:cs="Times New Roman"/>
          <w:bCs w:val="0"/>
          <w:color w:val="auto"/>
        </w:rPr>
        <w:t>6</w:t>
      </w:r>
      <w:r>
        <w:rPr>
          <w:rFonts w:hint="eastAsia" w:ascii="Times New Roman" w:hAnsi="Times New Roman" w:cs="Times New Roman"/>
          <w:bCs w:val="0"/>
          <w:color w:val="auto"/>
        </w:rPr>
        <w:t xml:space="preserve"> 主要建（构）物及防火间距</w:t>
      </w:r>
      <w:bookmarkEnd w:id="40"/>
    </w:p>
    <w:p>
      <w:pPr>
        <w:autoSpaceDE w:val="0"/>
        <w:autoSpaceDN w:val="0"/>
        <w:adjustRightInd w:val="0"/>
        <w:snapToGrid w:val="0"/>
        <w:spacing w:line="600" w:lineRule="exact"/>
        <w:ind w:firstLine="560" w:firstLineChars="200"/>
        <w:rPr>
          <w:rFonts w:ascii="宋体" w:hAnsi="宋体"/>
          <w:color w:val="auto"/>
          <w:sz w:val="28"/>
          <w:szCs w:val="28"/>
          <w:highlight w:val="yellow"/>
        </w:rPr>
      </w:pPr>
      <w:r>
        <w:rPr>
          <w:rFonts w:hint="eastAsia" w:ascii="宋体" w:hAnsi="宋体"/>
          <w:color w:val="auto"/>
          <w:sz w:val="28"/>
          <w:szCs w:val="28"/>
        </w:rPr>
        <w:t>本项目建筑物的占地面积、建筑面积等建筑特性和结构类型详见下表。</w:t>
      </w:r>
    </w:p>
    <w:p>
      <w:pPr>
        <w:tabs>
          <w:tab w:val="left" w:pos="3601"/>
          <w:tab w:val="left" w:pos="7665"/>
        </w:tabs>
        <w:autoSpaceDE w:val="0"/>
        <w:autoSpaceDN w:val="0"/>
        <w:adjustRightInd w:val="0"/>
        <w:snapToGrid w:val="0"/>
        <w:spacing w:line="600" w:lineRule="exact"/>
        <w:jc w:val="center"/>
        <w:rPr>
          <w:color w:val="auto"/>
        </w:rPr>
      </w:pPr>
      <w:r>
        <w:rPr>
          <w:rFonts w:hint="eastAsia" w:ascii="宋体" w:hAnsi="宋体"/>
          <w:color w:val="auto"/>
          <w:sz w:val="24"/>
        </w:rPr>
        <w:t>表2</w:t>
      </w:r>
      <w:r>
        <w:rPr>
          <w:rFonts w:ascii="宋体" w:hAnsi="宋体"/>
          <w:color w:val="auto"/>
          <w:sz w:val="24"/>
        </w:rPr>
        <w:t>.6-1</w:t>
      </w:r>
      <w:r>
        <w:rPr>
          <w:rFonts w:hint="eastAsia" w:ascii="宋体" w:hAnsi="宋体"/>
          <w:color w:val="auto"/>
          <w:sz w:val="24"/>
        </w:rPr>
        <w:t xml:space="preserve"> 新建（构）筑物一览表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52"/>
        <w:gridCol w:w="1622"/>
        <w:gridCol w:w="488"/>
        <w:gridCol w:w="621"/>
        <w:gridCol w:w="946"/>
        <w:gridCol w:w="1043"/>
        <w:gridCol w:w="1052"/>
        <w:gridCol w:w="714"/>
        <w:gridCol w:w="855"/>
        <w:gridCol w:w="1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12" w:space="0"/>
              <w:left w:val="single" w:color="auto" w:sz="4" w:space="0"/>
              <w:bottom w:val="single" w:color="auto" w:sz="4" w:space="0"/>
              <w:right w:val="single" w:color="auto" w:sz="4" w:space="0"/>
            </w:tcBorders>
            <w:vAlign w:val="center"/>
          </w:tcPr>
          <w:p>
            <w:pPr>
              <w:pStyle w:val="73"/>
              <w:spacing w:before="0" w:line="260" w:lineRule="exact"/>
              <w:rPr>
                <w:color w:val="auto"/>
                <w:sz w:val="21"/>
                <w:szCs w:val="21"/>
              </w:rPr>
            </w:pPr>
            <w:r>
              <w:rPr>
                <w:rFonts w:ascii="宋体" w:hAnsi="宋体"/>
                <w:color w:val="auto"/>
                <w:sz w:val="21"/>
                <w:szCs w:val="21"/>
              </w:rPr>
              <w:t>序号</w:t>
            </w:r>
          </w:p>
        </w:tc>
        <w:tc>
          <w:tcPr>
            <w:tcW w:w="888" w:type="pct"/>
            <w:tcBorders>
              <w:top w:val="single" w:color="auto" w:sz="12" w:space="0"/>
              <w:left w:val="single" w:color="auto" w:sz="4" w:space="0"/>
              <w:bottom w:val="single" w:color="auto" w:sz="4" w:space="0"/>
              <w:right w:val="single" w:color="auto" w:sz="4" w:space="0"/>
            </w:tcBorders>
            <w:vAlign w:val="center"/>
          </w:tcPr>
          <w:p>
            <w:pPr>
              <w:pStyle w:val="73"/>
              <w:spacing w:before="0" w:line="260" w:lineRule="exact"/>
              <w:rPr>
                <w:color w:val="auto"/>
                <w:sz w:val="21"/>
                <w:szCs w:val="21"/>
              </w:rPr>
            </w:pPr>
            <w:r>
              <w:rPr>
                <w:rFonts w:ascii="宋体" w:hAnsi="宋体"/>
                <w:color w:val="auto"/>
                <w:sz w:val="21"/>
                <w:szCs w:val="21"/>
              </w:rPr>
              <w:t>单项名称</w:t>
            </w:r>
          </w:p>
        </w:tc>
        <w:tc>
          <w:tcPr>
            <w:tcW w:w="267" w:type="pct"/>
            <w:tcBorders>
              <w:top w:val="single" w:color="auto" w:sz="12"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火灾</w:t>
            </w:r>
            <w:r>
              <w:rPr>
                <w:rFonts w:hint="eastAsia" w:ascii="宋体" w:hAnsi="宋体"/>
                <w:color w:val="auto"/>
              </w:rPr>
              <w:t>分</w:t>
            </w:r>
            <w:r>
              <w:rPr>
                <w:rFonts w:ascii="宋体" w:hAnsi="宋体"/>
                <w:color w:val="auto"/>
              </w:rPr>
              <w:t>类</w:t>
            </w:r>
          </w:p>
        </w:tc>
        <w:tc>
          <w:tcPr>
            <w:tcW w:w="340" w:type="pct"/>
            <w:tcBorders>
              <w:top w:val="single" w:color="auto" w:sz="12"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耐火级别</w:t>
            </w:r>
          </w:p>
        </w:tc>
        <w:tc>
          <w:tcPr>
            <w:tcW w:w="518" w:type="pct"/>
            <w:tcBorders>
              <w:top w:val="single" w:color="auto" w:sz="12"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结构形式</w:t>
            </w:r>
          </w:p>
        </w:tc>
        <w:tc>
          <w:tcPr>
            <w:tcW w:w="571" w:type="pct"/>
            <w:tcBorders>
              <w:top w:val="single" w:color="auto" w:sz="12"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占地面积</w:t>
            </w:r>
            <w:r>
              <w:rPr>
                <w:color w:val="auto"/>
              </w:rPr>
              <w:t>(m</w:t>
            </w:r>
            <w:r>
              <w:rPr>
                <w:color w:val="auto"/>
                <w:vertAlign w:val="superscript"/>
              </w:rPr>
              <w:t>2</w:t>
            </w:r>
            <w:r>
              <w:rPr>
                <w:color w:val="auto"/>
              </w:rPr>
              <w:t>)</w:t>
            </w:r>
          </w:p>
        </w:tc>
        <w:tc>
          <w:tcPr>
            <w:tcW w:w="576" w:type="pct"/>
            <w:tcBorders>
              <w:top w:val="single" w:color="auto" w:sz="12"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建筑面积</w:t>
            </w:r>
            <w:r>
              <w:rPr>
                <w:color w:val="auto"/>
              </w:rPr>
              <w:t>(m</w:t>
            </w:r>
            <w:r>
              <w:rPr>
                <w:color w:val="auto"/>
                <w:vertAlign w:val="superscript"/>
              </w:rPr>
              <w:t>2</w:t>
            </w:r>
            <w:r>
              <w:rPr>
                <w:color w:val="auto"/>
              </w:rPr>
              <w:t>)</w:t>
            </w:r>
          </w:p>
        </w:tc>
        <w:tc>
          <w:tcPr>
            <w:tcW w:w="391" w:type="pct"/>
            <w:tcBorders>
              <w:top w:val="single" w:color="auto" w:sz="12" w:space="0"/>
              <w:left w:val="single" w:color="auto" w:sz="4" w:space="0"/>
              <w:bottom w:val="single" w:color="auto" w:sz="4" w:space="0"/>
              <w:right w:val="single" w:color="auto" w:sz="4" w:space="0"/>
            </w:tcBorders>
            <w:vAlign w:val="center"/>
          </w:tcPr>
          <w:p>
            <w:pPr>
              <w:widowControl/>
              <w:spacing w:line="260" w:lineRule="exact"/>
              <w:jc w:val="center"/>
              <w:rPr>
                <w:color w:val="auto"/>
              </w:rPr>
            </w:pPr>
            <w:r>
              <w:rPr>
                <w:rFonts w:ascii="宋体" w:hAnsi="宋体"/>
                <w:color w:val="auto"/>
              </w:rPr>
              <w:t>檐口标高</w:t>
            </w:r>
          </w:p>
        </w:tc>
        <w:tc>
          <w:tcPr>
            <w:tcW w:w="468" w:type="pct"/>
            <w:tcBorders>
              <w:top w:val="single" w:color="auto" w:sz="12" w:space="0"/>
              <w:left w:val="single" w:color="auto" w:sz="4" w:space="0"/>
              <w:bottom w:val="single" w:color="auto" w:sz="4" w:space="0"/>
              <w:right w:val="single" w:color="auto" w:sz="4" w:space="0"/>
            </w:tcBorders>
            <w:vAlign w:val="center"/>
          </w:tcPr>
          <w:p>
            <w:pPr>
              <w:widowControl/>
              <w:spacing w:line="260" w:lineRule="exact"/>
              <w:jc w:val="center"/>
              <w:rPr>
                <w:color w:val="auto"/>
              </w:rPr>
            </w:pPr>
            <w:r>
              <w:rPr>
                <w:rFonts w:ascii="宋体" w:hAnsi="宋体"/>
                <w:color w:val="auto"/>
              </w:rPr>
              <w:t>层数</w:t>
            </w:r>
          </w:p>
        </w:tc>
        <w:tc>
          <w:tcPr>
            <w:tcW w:w="620" w:type="pct"/>
            <w:tcBorders>
              <w:top w:val="single" w:color="auto" w:sz="12" w:space="0"/>
              <w:left w:val="nil"/>
              <w:bottom w:val="single" w:color="auto" w:sz="4" w:space="0"/>
              <w:right w:val="single" w:color="auto" w:sz="4" w:space="0"/>
            </w:tcBorders>
            <w:vAlign w:val="center"/>
          </w:tcPr>
          <w:p>
            <w:pPr>
              <w:widowControl/>
              <w:spacing w:line="260" w:lineRule="exact"/>
              <w:jc w:val="center"/>
              <w:rPr>
                <w:color w:val="auto"/>
              </w:rPr>
            </w:pPr>
            <w:r>
              <w:rPr>
                <w:rFonts w:hint="eastAsia" w:ascii="宋体" w:hAnsi="宋体"/>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4</w:t>
            </w:r>
            <w:r>
              <w:rPr>
                <w:rFonts w:ascii="宋体" w:hAnsi="宋体"/>
                <w:color w:val="auto"/>
                <w:kern w:val="0"/>
              </w:rPr>
              <w:t>01</w:t>
            </w:r>
            <w:r>
              <w:rPr>
                <w:rFonts w:hint="eastAsia" w:ascii="宋体" w:hAnsi="宋体"/>
                <w:color w:val="auto"/>
                <w:kern w:val="0"/>
              </w:rPr>
              <w:t>综合楼</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民建</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8</w:t>
            </w:r>
            <w:r>
              <w:rPr>
                <w:color w:val="auto"/>
              </w:rPr>
              <w:t>32.96</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2</w:t>
            </w:r>
            <w:r>
              <w:rPr>
                <w:color w:val="auto"/>
              </w:rPr>
              <w:t>445.30</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11.</w:t>
            </w:r>
            <w:r>
              <w:rPr>
                <w:rFonts w:ascii="宋体" w:hAnsi="宋体"/>
                <w:color w:val="auto"/>
                <w:sz w:val="21"/>
                <w:szCs w:val="21"/>
              </w:rPr>
              <w:t>55</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3</w:t>
            </w:r>
          </w:p>
        </w:tc>
        <w:tc>
          <w:tcPr>
            <w:tcW w:w="620" w:type="pct"/>
            <w:tcBorders>
              <w:top w:val="single" w:color="auto" w:sz="4" w:space="0"/>
              <w:left w:val="nil"/>
              <w:bottom w:val="single" w:color="auto" w:sz="4" w:space="0"/>
              <w:right w:val="single" w:color="auto" w:sz="4" w:space="0"/>
            </w:tcBorders>
            <w:vAlign w:val="center"/>
          </w:tcPr>
          <w:p>
            <w:pPr>
              <w:pStyle w:val="73"/>
              <w:spacing w:before="0" w:line="260" w:lineRule="exact"/>
              <w:rPr>
                <w:rFonts w:ascii="宋体" w:hAnsi="宋体"/>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4</w:t>
            </w:r>
            <w:r>
              <w:rPr>
                <w:rFonts w:ascii="宋体" w:hAnsi="宋体"/>
                <w:color w:val="auto"/>
                <w:kern w:val="0"/>
              </w:rPr>
              <w:t>03</w:t>
            </w:r>
            <w:r>
              <w:rPr>
                <w:rFonts w:hint="eastAsia" w:ascii="宋体" w:hAnsi="宋体"/>
                <w:color w:val="auto"/>
                <w:kern w:val="0"/>
              </w:rPr>
              <w:t>控制室</w:t>
            </w:r>
          </w:p>
        </w:tc>
        <w:tc>
          <w:tcPr>
            <w:tcW w:w="267"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民建</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hint="default" w:eastAsia="宋体"/>
                <w:color w:val="auto"/>
                <w:lang w:val="en-US" w:eastAsia="zh-CN"/>
              </w:rPr>
            </w:pPr>
            <w:r>
              <w:rPr>
                <w:rFonts w:hint="eastAsia"/>
                <w:color w:val="auto"/>
                <w:lang w:val="en-US" w:eastAsia="zh-CN"/>
              </w:rPr>
              <w:t>钢混-抗爆墙</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50.00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50.00</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hint="default" w:ascii="宋体" w:hAnsi="宋体" w:eastAsia="宋体"/>
                <w:color w:val="auto"/>
                <w:sz w:val="21"/>
                <w:szCs w:val="21"/>
                <w:lang w:val="en-US" w:eastAsia="zh-CN"/>
              </w:rPr>
            </w:pPr>
            <w:r>
              <w:rPr>
                <w:rFonts w:hint="eastAsia" w:ascii="宋体" w:hAnsi="宋体"/>
                <w:color w:val="auto"/>
                <w:sz w:val="21"/>
                <w:szCs w:val="21"/>
                <w:lang w:val="en-US" w:eastAsia="zh-CN"/>
              </w:rPr>
              <w:t>6.0</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highlight w:val="yellow"/>
              </w:rPr>
            </w:pPr>
            <w:r>
              <w:rPr>
                <w:rFonts w:hint="eastAsia" w:ascii="宋体" w:hAnsi="宋体"/>
                <w:color w:val="auto"/>
                <w:kern w:val="0"/>
              </w:rPr>
              <w:t>4</w:t>
            </w:r>
            <w:r>
              <w:rPr>
                <w:rFonts w:ascii="宋体" w:hAnsi="宋体"/>
                <w:color w:val="auto"/>
                <w:kern w:val="0"/>
              </w:rPr>
              <w:t>02</w:t>
            </w:r>
            <w:r>
              <w:rPr>
                <w:rFonts w:hint="eastAsia" w:ascii="宋体" w:hAnsi="宋体"/>
                <w:color w:val="auto"/>
                <w:kern w:val="0"/>
              </w:rPr>
              <w:t>门卫</w:t>
            </w:r>
          </w:p>
        </w:tc>
        <w:tc>
          <w:tcPr>
            <w:tcW w:w="267"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民建</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4</w:t>
            </w:r>
            <w:r>
              <w:rPr>
                <w:color w:val="auto"/>
              </w:rPr>
              <w:t>9.40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4</w:t>
            </w:r>
            <w:r>
              <w:rPr>
                <w:color w:val="auto"/>
              </w:rPr>
              <w:t>9.40</w:t>
            </w:r>
          </w:p>
        </w:tc>
        <w:tc>
          <w:tcPr>
            <w:tcW w:w="39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s="Calibri"/>
                <w:color w:val="auto"/>
              </w:rPr>
              <w:t>3</w:t>
            </w:r>
            <w:r>
              <w:rPr>
                <w:color w:val="auto"/>
              </w:rPr>
              <w:t>.5</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w:t>
            </w:r>
          </w:p>
        </w:tc>
        <w:tc>
          <w:tcPr>
            <w:tcW w:w="267"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甲</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7</w:t>
            </w:r>
            <w:r>
              <w:rPr>
                <w:color w:val="auto"/>
              </w:rPr>
              <w:t>93.16</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2</w:t>
            </w:r>
            <w:r>
              <w:rPr>
                <w:color w:val="auto"/>
              </w:rPr>
              <w:t>399.96</w:t>
            </w:r>
          </w:p>
        </w:tc>
        <w:tc>
          <w:tcPr>
            <w:tcW w:w="39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s="Calibri"/>
                <w:color w:val="auto"/>
              </w:rPr>
              <w:t>1</w:t>
            </w:r>
            <w:r>
              <w:rPr>
                <w:color w:val="auto"/>
              </w:rPr>
              <w:t>6.5</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3</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封闭厂房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1</w:t>
            </w:r>
            <w:r>
              <w:rPr>
                <w:rFonts w:ascii="宋体" w:hAnsi="宋体"/>
                <w:color w:val="auto"/>
                <w:kern w:val="0"/>
              </w:rPr>
              <w:t>02</w:t>
            </w:r>
            <w:r>
              <w:rPr>
                <w:rFonts w:hint="eastAsia" w:ascii="宋体" w:hAnsi="宋体"/>
                <w:color w:val="auto"/>
                <w:kern w:val="0"/>
              </w:rPr>
              <w:t>甲类车间二</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甲</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7</w:t>
            </w:r>
            <w:r>
              <w:rPr>
                <w:color w:val="auto"/>
              </w:rPr>
              <w:t>93.16</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2</w:t>
            </w:r>
            <w:r>
              <w:rPr>
                <w:color w:val="auto"/>
              </w:rPr>
              <w:t>399.96</w:t>
            </w:r>
          </w:p>
        </w:tc>
        <w:tc>
          <w:tcPr>
            <w:tcW w:w="39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s="Calibri"/>
                <w:color w:val="auto"/>
              </w:rPr>
              <w:t>1</w:t>
            </w:r>
            <w:r>
              <w:rPr>
                <w:color w:val="auto"/>
              </w:rPr>
              <w:t>6.5</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3</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预留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丙</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280.40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color w:val="auto"/>
              </w:rPr>
              <w:t>6302.47</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ascii="宋体" w:hAnsi="宋体"/>
                <w:color w:val="auto"/>
                <w:sz w:val="21"/>
                <w:szCs w:val="21"/>
              </w:rPr>
              <w:t>23.3</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ascii="宋体" w:hAnsi="宋体"/>
                <w:color w:val="auto"/>
                <w:sz w:val="21"/>
                <w:szCs w:val="21"/>
              </w:rPr>
              <w:t>5</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rFonts w:hint="eastAsia" w:eastAsia="宋体"/>
                <w:color w:val="auto"/>
                <w:lang w:eastAsia="zh-CN"/>
              </w:rPr>
            </w:pPr>
            <w:r>
              <w:rPr>
                <w:rFonts w:hint="eastAsia"/>
                <w:color w:val="auto"/>
              </w:rPr>
              <w:t>封闭厂房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丙</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104.40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104.40</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9.</w:t>
            </w:r>
            <w:r>
              <w:rPr>
                <w:rFonts w:ascii="宋体" w:hAnsi="宋体"/>
                <w:color w:val="auto"/>
                <w:sz w:val="21"/>
                <w:szCs w:val="21"/>
              </w:rPr>
              <w:t>2</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封闭厂房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甲</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一</w:t>
            </w:r>
            <w:r>
              <w:rPr>
                <w:rFonts w:ascii="宋体" w:hAnsi="宋体"/>
                <w:color w:val="auto"/>
              </w:rPr>
              <w:t>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6</w:t>
            </w:r>
            <w:r>
              <w:rPr>
                <w:rFonts w:ascii="宋体" w:hAnsi="宋体"/>
                <w:color w:val="auto"/>
              </w:rPr>
              <w:t>91.20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6</w:t>
            </w:r>
            <w:r>
              <w:rPr>
                <w:rFonts w:ascii="宋体" w:hAnsi="宋体"/>
                <w:color w:val="auto"/>
              </w:rPr>
              <w:t>91.20</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8.0</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2</w:t>
            </w:r>
            <w:r>
              <w:rPr>
                <w:rFonts w:hint="eastAsia"/>
                <w:color w:val="auto"/>
              </w:rPr>
              <w:t>,</w:t>
            </w:r>
            <w:r>
              <w:rPr>
                <w:color w:val="auto"/>
              </w:rPr>
              <w:t>5</w:t>
            </w:r>
            <w:r>
              <w:rPr>
                <w:rFonts w:hint="eastAsia"/>
                <w:color w:val="auto"/>
              </w:rPr>
              <w:t>,</w:t>
            </w:r>
            <w:r>
              <w:rPr>
                <w:color w:val="auto"/>
              </w:rPr>
              <w:t>6</w:t>
            </w:r>
            <w:r>
              <w:rPr>
                <w:rFonts w:hint="eastAsia"/>
                <w:color w:val="auto"/>
              </w:rPr>
              <w:t>类，＞1</w:t>
            </w:r>
            <w:r>
              <w:rPr>
                <w:color w:val="auto"/>
              </w:rPr>
              <w:t>0</w:t>
            </w:r>
            <w:r>
              <w:rPr>
                <w:rFonts w:hint="eastAsia"/>
                <w:color w:val="auto"/>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甲</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一</w:t>
            </w:r>
            <w:r>
              <w:rPr>
                <w:rFonts w:ascii="宋体" w:hAnsi="宋体"/>
                <w:color w:val="auto"/>
              </w:rPr>
              <w:t>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6</w:t>
            </w:r>
            <w:r>
              <w:rPr>
                <w:rFonts w:ascii="宋体" w:hAnsi="宋体"/>
                <w:color w:val="auto"/>
              </w:rPr>
              <w:t>91.20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6</w:t>
            </w:r>
            <w:r>
              <w:rPr>
                <w:rFonts w:ascii="宋体" w:hAnsi="宋体"/>
                <w:color w:val="auto"/>
              </w:rPr>
              <w:t>91.20</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8.0</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2</w:t>
            </w:r>
            <w:r>
              <w:rPr>
                <w:rFonts w:hint="eastAsia"/>
                <w:color w:val="auto"/>
              </w:rPr>
              <w:t>,</w:t>
            </w:r>
            <w:r>
              <w:rPr>
                <w:color w:val="auto"/>
              </w:rPr>
              <w:t>5</w:t>
            </w:r>
            <w:r>
              <w:rPr>
                <w:rFonts w:hint="eastAsia"/>
                <w:color w:val="auto"/>
              </w:rPr>
              <w:t>,</w:t>
            </w:r>
            <w:r>
              <w:rPr>
                <w:color w:val="auto"/>
              </w:rPr>
              <w:t>6</w:t>
            </w:r>
            <w:r>
              <w:rPr>
                <w:rFonts w:hint="eastAsia"/>
                <w:color w:val="auto"/>
              </w:rPr>
              <w:t>类，＞1</w:t>
            </w:r>
            <w:r>
              <w:rPr>
                <w:color w:val="auto"/>
              </w:rPr>
              <w:t>0</w:t>
            </w:r>
            <w:r>
              <w:rPr>
                <w:rFonts w:hint="eastAsia"/>
                <w:color w:val="auto"/>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丙</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8</w:t>
            </w:r>
            <w:r>
              <w:rPr>
                <w:rFonts w:ascii="宋体" w:hAnsi="宋体"/>
                <w:color w:val="auto"/>
              </w:rPr>
              <w:t>13.24</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8</w:t>
            </w:r>
            <w:r>
              <w:rPr>
                <w:rFonts w:ascii="宋体" w:hAnsi="宋体"/>
                <w:color w:val="auto"/>
              </w:rPr>
              <w:t>13.24</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lang w:val="en-US" w:eastAsia="zh-CN"/>
              </w:rPr>
              <w:t>16</w:t>
            </w:r>
            <w:r>
              <w:rPr>
                <w:rFonts w:hint="eastAsia" w:ascii="宋体" w:hAnsi="宋体"/>
                <w:color w:val="auto"/>
                <w:sz w:val="21"/>
                <w:szCs w:val="21"/>
              </w:rPr>
              <w:t>.0</w:t>
            </w:r>
          </w:p>
        </w:tc>
        <w:tc>
          <w:tcPr>
            <w:tcW w:w="468"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hint="eastAsia" w:ascii="宋体" w:hAnsi="宋体" w:eastAsia="宋体"/>
                <w:color w:val="auto"/>
                <w:sz w:val="21"/>
                <w:szCs w:val="21"/>
                <w:lang w:eastAsia="zh-CN"/>
              </w:rPr>
            </w:pPr>
            <w:r>
              <w:rPr>
                <w:rFonts w:hint="eastAsia" w:ascii="宋体" w:hAnsi="宋体"/>
                <w:color w:val="auto"/>
                <w:sz w:val="21"/>
                <w:szCs w:val="21"/>
                <w:lang w:val="en-US" w:eastAsia="zh-CN"/>
              </w:rPr>
              <w:t>2</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2</w:t>
            </w:r>
            <w:r>
              <w:rPr>
                <w:rFonts w:ascii="宋体" w:hAnsi="宋体"/>
                <w:color w:val="auto"/>
                <w:kern w:val="0"/>
              </w:rPr>
              <w:t>05</w:t>
            </w:r>
            <w:r>
              <w:rPr>
                <w:rFonts w:hint="eastAsia" w:ascii="宋体" w:hAnsi="宋体"/>
                <w:color w:val="auto"/>
                <w:kern w:val="0"/>
              </w:rPr>
              <w:t>甲类仓库三</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甲</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一</w:t>
            </w:r>
            <w:r>
              <w:rPr>
                <w:rFonts w:ascii="宋体" w:hAnsi="宋体"/>
                <w:color w:val="auto"/>
              </w:rPr>
              <w:t>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9</w:t>
            </w:r>
            <w:r>
              <w:rPr>
                <w:color w:val="auto"/>
              </w:rPr>
              <w:t>4.24</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9</w:t>
            </w:r>
            <w:r>
              <w:rPr>
                <w:color w:val="auto"/>
              </w:rPr>
              <w:t>4.24</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5.0</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color w:val="auto"/>
              </w:rPr>
              <w:t>3,</w:t>
            </w:r>
            <w:r>
              <w:rPr>
                <w:color w:val="auto"/>
              </w:rPr>
              <w:t>4</w:t>
            </w:r>
            <w:r>
              <w:rPr>
                <w:rFonts w:hint="eastAsia"/>
                <w:color w:val="auto"/>
              </w:rPr>
              <w:t>类，＜5t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丙</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二级</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7</w:t>
            </w:r>
            <w:r>
              <w:rPr>
                <w:color w:val="auto"/>
              </w:rPr>
              <w:t>42.96</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color w:val="auto"/>
              </w:rPr>
              <w:t>1485.92</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9.0</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2</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02</w:t>
            </w:r>
            <w:r>
              <w:rPr>
                <w:rFonts w:hint="eastAsia" w:ascii="宋体" w:hAnsi="宋体"/>
                <w:color w:val="auto"/>
                <w:kern w:val="0"/>
              </w:rPr>
              <w:t>事故应急池</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砼</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hint="default" w:eastAsia="宋体"/>
                <w:color w:val="auto"/>
                <w:lang w:val="en-US" w:eastAsia="zh-CN"/>
              </w:rPr>
            </w:pPr>
            <w:r>
              <w:rPr>
                <w:rFonts w:hint="eastAsia"/>
                <w:color w:val="auto"/>
                <w:lang w:val="en-US" w:eastAsia="zh-CN"/>
              </w:rPr>
              <w:t>160.00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color w:val="auto"/>
                <w:sz w:val="21"/>
                <w:szCs w:val="21"/>
              </w:rPr>
              <w:t>/</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03</w:t>
            </w:r>
            <w:r>
              <w:rPr>
                <w:rFonts w:hint="eastAsia" w:ascii="宋体" w:hAnsi="宋体"/>
                <w:color w:val="auto"/>
                <w:kern w:val="0"/>
              </w:rPr>
              <w:t>初期雨水池</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砼</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1</w:t>
            </w:r>
            <w:r>
              <w:rPr>
                <w:color w:val="auto"/>
              </w:rPr>
              <w:t>57.50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color w:val="auto"/>
                <w:sz w:val="21"/>
                <w:szCs w:val="21"/>
              </w:rPr>
              <w:t>/</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04</w:t>
            </w:r>
            <w:r>
              <w:rPr>
                <w:rFonts w:hint="eastAsia" w:ascii="宋体" w:hAnsi="宋体"/>
                <w:color w:val="auto"/>
                <w:kern w:val="0"/>
              </w:rPr>
              <w:t>消防水池</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砼</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ascii="宋体" w:hAnsi="宋体"/>
                <w:color w:val="auto"/>
              </w:rPr>
              <w:t>156.00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05</w:t>
            </w:r>
            <w:r>
              <w:rPr>
                <w:rFonts w:hint="eastAsia" w:ascii="宋体" w:hAnsi="宋体"/>
                <w:color w:val="auto"/>
                <w:kern w:val="0"/>
              </w:rPr>
              <w:t>泵房</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丁类</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ascii="宋体" w:hAnsi="宋体"/>
                <w:color w:val="auto"/>
              </w:rPr>
              <w:t>框架</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4</w:t>
            </w:r>
            <w:r>
              <w:rPr>
                <w:color w:val="auto"/>
              </w:rPr>
              <w:t>8.74</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4</w:t>
            </w:r>
            <w:r>
              <w:rPr>
                <w:color w:val="auto"/>
              </w:rPr>
              <w:t>8.74</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.7</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1</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rFonts w:ascii="宋体" w:hAnsi="宋体"/>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06</w:t>
            </w:r>
            <w:r>
              <w:rPr>
                <w:rFonts w:hint="eastAsia" w:ascii="宋体" w:hAnsi="宋体"/>
                <w:color w:val="auto"/>
                <w:kern w:val="0"/>
              </w:rPr>
              <w:t>污水处理区</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color w:val="auto"/>
              </w:rPr>
              <w:t>1362.30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rFonts w:ascii="宋体" w:hAnsi="宋体"/>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7" w:type="pct"/>
            <w:tcBorders>
              <w:top w:val="single" w:color="auto" w:sz="4" w:space="0"/>
              <w:left w:val="single" w:color="auto" w:sz="4" w:space="0"/>
              <w:bottom w:val="single" w:color="auto" w:sz="4" w:space="0"/>
              <w:right w:val="single" w:color="auto" w:sz="4" w:space="0"/>
            </w:tcBorders>
            <w:vAlign w:val="center"/>
          </w:tcPr>
          <w:p>
            <w:pPr>
              <w:pStyle w:val="73"/>
              <w:numPr>
                <w:ilvl w:val="0"/>
                <w:numId w:val="7"/>
              </w:numPr>
              <w:spacing w:before="0" w:line="260" w:lineRule="exact"/>
              <w:rPr>
                <w:rFonts w:ascii="宋体" w:hAnsi="宋体"/>
                <w:color w:val="auto"/>
                <w:sz w:val="21"/>
                <w:szCs w:val="21"/>
              </w:rPr>
            </w:pPr>
          </w:p>
        </w:tc>
        <w:tc>
          <w:tcPr>
            <w:tcW w:w="888" w:type="pct"/>
            <w:tcBorders>
              <w:top w:val="single" w:color="auto" w:sz="4" w:space="0"/>
              <w:left w:val="single" w:color="auto" w:sz="4" w:space="0"/>
              <w:bottom w:val="single" w:color="auto" w:sz="4" w:space="0"/>
              <w:right w:val="single" w:color="auto" w:sz="4" w:space="0"/>
            </w:tcBorders>
            <w:vAlign w:val="center"/>
          </w:tcPr>
          <w:p>
            <w:pPr>
              <w:widowControl/>
              <w:spacing w:line="260" w:lineRule="exact"/>
              <w:jc w:val="center"/>
              <w:rPr>
                <w:rFonts w:ascii="宋体" w:hAnsi="宋体"/>
                <w:color w:val="auto"/>
                <w:kern w:val="0"/>
              </w:rPr>
            </w:pPr>
            <w:r>
              <w:rPr>
                <w:rFonts w:hint="eastAsia" w:ascii="宋体" w:hAnsi="宋体"/>
                <w:color w:val="auto"/>
                <w:kern w:val="0"/>
              </w:rPr>
              <w:t>3</w:t>
            </w:r>
            <w:r>
              <w:rPr>
                <w:rFonts w:ascii="宋体" w:hAnsi="宋体"/>
                <w:color w:val="auto"/>
                <w:kern w:val="0"/>
              </w:rPr>
              <w:t>07</w:t>
            </w:r>
            <w:r>
              <w:rPr>
                <w:rFonts w:hint="eastAsia" w:ascii="宋体" w:hAnsi="宋体"/>
                <w:color w:val="auto"/>
                <w:kern w:val="0"/>
              </w:rPr>
              <w:t>循环水池</w:t>
            </w:r>
          </w:p>
        </w:tc>
        <w:tc>
          <w:tcPr>
            <w:tcW w:w="267"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340"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hint="eastAsia" w:ascii="宋体" w:hAnsi="宋体"/>
                <w:color w:val="auto"/>
              </w:rPr>
              <w:t>/</w:t>
            </w:r>
          </w:p>
        </w:tc>
        <w:tc>
          <w:tcPr>
            <w:tcW w:w="51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ascii="宋体" w:hAnsi="宋体"/>
                <w:color w:val="auto"/>
              </w:rPr>
            </w:pPr>
            <w:r>
              <w:rPr>
                <w:rFonts w:ascii="宋体" w:hAnsi="宋体"/>
                <w:color w:val="auto"/>
              </w:rPr>
              <w:t>砼</w:t>
            </w:r>
          </w:p>
        </w:tc>
        <w:tc>
          <w:tcPr>
            <w:tcW w:w="571"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rFonts w:hint="default" w:eastAsia="宋体"/>
                <w:color w:val="auto"/>
                <w:lang w:val="en-US" w:eastAsia="zh-CN"/>
              </w:rPr>
            </w:pPr>
            <w:r>
              <w:rPr>
                <w:rFonts w:hint="eastAsia"/>
                <w:color w:val="auto"/>
                <w:lang w:val="en-US" w:eastAsia="zh-CN"/>
              </w:rPr>
              <w:t>157.50</w:t>
            </w:r>
          </w:p>
        </w:tc>
        <w:tc>
          <w:tcPr>
            <w:tcW w:w="576"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391" w:type="pct"/>
            <w:tcBorders>
              <w:top w:val="single" w:color="auto" w:sz="4" w:space="0"/>
              <w:left w:val="single" w:color="auto" w:sz="4" w:space="0"/>
              <w:bottom w:val="single" w:color="auto" w:sz="4" w:space="0"/>
              <w:right w:val="single" w:color="auto" w:sz="4" w:space="0"/>
            </w:tcBorders>
            <w:vAlign w:val="center"/>
          </w:tcPr>
          <w:p>
            <w:pPr>
              <w:pStyle w:val="73"/>
              <w:spacing w:before="0" w:line="260" w:lineRule="exact"/>
              <w:rPr>
                <w:rFonts w:ascii="宋体" w:hAnsi="宋体"/>
                <w:color w:val="auto"/>
                <w:sz w:val="21"/>
                <w:szCs w:val="21"/>
              </w:rPr>
            </w:pPr>
            <w:r>
              <w:rPr>
                <w:rFonts w:hint="eastAsia" w:ascii="宋体" w:hAnsi="宋体"/>
                <w:color w:val="auto"/>
                <w:sz w:val="21"/>
                <w:szCs w:val="21"/>
              </w:rPr>
              <w:t>/</w:t>
            </w:r>
          </w:p>
        </w:tc>
        <w:tc>
          <w:tcPr>
            <w:tcW w:w="468" w:type="pct"/>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color w:val="auto"/>
              </w:rPr>
              <w:t>/</w:t>
            </w:r>
          </w:p>
        </w:tc>
        <w:tc>
          <w:tcPr>
            <w:tcW w:w="620" w:type="pct"/>
            <w:tcBorders>
              <w:top w:val="single" w:color="auto" w:sz="4" w:space="0"/>
              <w:left w:val="nil"/>
              <w:bottom w:val="single" w:color="auto" w:sz="4" w:space="0"/>
              <w:right w:val="single" w:color="auto" w:sz="4" w:space="0"/>
            </w:tcBorders>
            <w:vAlign w:val="center"/>
          </w:tcPr>
          <w:p>
            <w:pPr>
              <w:spacing w:line="260" w:lineRule="exact"/>
              <w:jc w:val="center"/>
              <w:rPr>
                <w:rFonts w:ascii="宋体" w:hAnsi="宋体"/>
                <w:color w:val="auto"/>
              </w:rPr>
            </w:pPr>
          </w:p>
        </w:tc>
      </w:tr>
    </w:tbl>
    <w:p>
      <w:pPr>
        <w:pStyle w:val="49"/>
        <w:rPr>
          <w:rFonts w:hint="default" w:eastAsia="宋体"/>
          <w:color w:val="auto"/>
          <w:sz w:val="21"/>
          <w:szCs w:val="21"/>
          <w:lang w:val="en-US" w:eastAsia="zh-CN"/>
        </w:rPr>
      </w:pPr>
      <w:r>
        <w:rPr>
          <w:rFonts w:hint="eastAsia"/>
          <w:color w:val="auto"/>
          <w:sz w:val="21"/>
          <w:szCs w:val="21"/>
          <w:lang w:val="en-US" w:eastAsia="zh-CN"/>
        </w:rPr>
        <w:t>注：103液体制剂车间甲类区域为7.4m×7.5m=55.5m2，占103液体制剂车间防火分区建筑面积的4.4%，符合《建筑设计防火规范（2018年版）》GB50016-2014第3.1.2条火灾危险性较大的生产部分占本层或本防火分区建筑面积的比例小于5%的规定；104颗粒剂车间甲类只有1台搅拌釜涉及使用乙醇，故占104颗粒剂车间防火分区建筑面积远小于5%。因此103液体制剂车间和104颗粒剂车间火灾危险性类别定为丙类。</w:t>
      </w:r>
    </w:p>
    <w:p>
      <w:pPr>
        <w:autoSpaceDE w:val="0"/>
        <w:autoSpaceDN w:val="0"/>
        <w:adjustRightInd w:val="0"/>
        <w:snapToGrid w:val="0"/>
        <w:spacing w:line="600" w:lineRule="exact"/>
        <w:ind w:firstLine="560" w:firstLineChars="200"/>
        <w:rPr>
          <w:rFonts w:ascii="宋体" w:hAnsi="宋体"/>
          <w:color w:val="auto"/>
          <w:sz w:val="28"/>
          <w:szCs w:val="28"/>
        </w:rPr>
      </w:pPr>
      <w:r>
        <w:rPr>
          <w:rFonts w:hint="eastAsia" w:ascii="宋体" w:hAnsi="宋体"/>
          <w:color w:val="auto"/>
          <w:sz w:val="28"/>
          <w:szCs w:val="28"/>
        </w:rPr>
        <w:t>建（构）物防火距离一览表见表2</w:t>
      </w:r>
      <w:r>
        <w:rPr>
          <w:rFonts w:ascii="宋体" w:hAnsi="宋体"/>
          <w:color w:val="auto"/>
          <w:sz w:val="28"/>
          <w:szCs w:val="28"/>
        </w:rPr>
        <w:t>.6-2</w:t>
      </w:r>
    </w:p>
    <w:p>
      <w:pPr>
        <w:spacing w:line="600" w:lineRule="atLeast"/>
        <w:jc w:val="center"/>
        <w:rPr>
          <w:rFonts w:ascii="宋体" w:hAnsi="宋体"/>
          <w:color w:val="auto"/>
          <w:spacing w:val="-8"/>
          <w:sz w:val="24"/>
        </w:rPr>
      </w:pPr>
      <w:r>
        <w:rPr>
          <w:rFonts w:ascii="宋体" w:hAnsi="宋体"/>
          <w:color w:val="auto"/>
          <w:spacing w:val="-8"/>
          <w:sz w:val="24"/>
        </w:rPr>
        <w:t>表</w:t>
      </w:r>
      <w:r>
        <w:rPr>
          <w:color w:val="auto"/>
          <w:spacing w:val="-8"/>
          <w:sz w:val="24"/>
        </w:rPr>
        <w:t xml:space="preserve">2.6-2 </w:t>
      </w:r>
      <w:r>
        <w:rPr>
          <w:rFonts w:ascii="宋体" w:hAnsi="宋体"/>
          <w:color w:val="auto"/>
          <w:spacing w:val="-8"/>
          <w:sz w:val="24"/>
        </w:rPr>
        <w:t>拟建项目主要建（构）筑物之间拟定的防火间距表</w:t>
      </w:r>
    </w:p>
    <w:tbl>
      <w:tblPr>
        <w:tblStyle w:val="31"/>
        <w:tblW w:w="983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3"/>
        <w:gridCol w:w="709"/>
        <w:gridCol w:w="425"/>
        <w:gridCol w:w="2024"/>
        <w:gridCol w:w="850"/>
        <w:gridCol w:w="709"/>
        <w:gridCol w:w="3097"/>
        <w:gridCol w:w="691"/>
        <w:gridCol w:w="80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tcBorders>
              <w:top w:val="single" w:color="auto" w:sz="4" w:space="0"/>
              <w:left w:val="single" w:color="auto" w:sz="4" w:space="0"/>
              <w:bottom w:val="single" w:color="auto" w:sz="6" w:space="0"/>
              <w:right w:val="single" w:color="auto" w:sz="6" w:space="0"/>
            </w:tcBorders>
          </w:tcPr>
          <w:p>
            <w:pPr>
              <w:widowControl/>
              <w:spacing w:line="240" w:lineRule="exact"/>
              <w:jc w:val="left"/>
              <w:rPr>
                <w:rFonts w:eastAsia="_5b8b_4f53"/>
                <w:color w:val="auto"/>
                <w:kern w:val="0"/>
              </w:rPr>
            </w:pPr>
            <w:r>
              <w:rPr>
                <w:rFonts w:ascii="_5b8b_4f53" w:hAnsi="_5b8b_4f53"/>
                <w:color w:val="auto"/>
                <w:kern w:val="0"/>
              </w:rPr>
              <w:t>序号</w:t>
            </w:r>
          </w:p>
        </w:tc>
        <w:tc>
          <w:tcPr>
            <w:tcW w:w="709"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名称</w:t>
            </w:r>
          </w:p>
        </w:tc>
        <w:tc>
          <w:tcPr>
            <w:tcW w:w="425"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方位</w:t>
            </w:r>
          </w:p>
        </w:tc>
        <w:tc>
          <w:tcPr>
            <w:tcW w:w="2024"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相邻建筑物名称</w:t>
            </w:r>
          </w:p>
        </w:tc>
        <w:tc>
          <w:tcPr>
            <w:tcW w:w="850"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拟设间距</w:t>
            </w:r>
            <w:r>
              <w:rPr>
                <w:rFonts w:hint="eastAsia"/>
                <w:color w:val="auto"/>
                <w:kern w:val="0"/>
              </w:rPr>
              <w:t>m</w:t>
            </w:r>
          </w:p>
        </w:tc>
        <w:tc>
          <w:tcPr>
            <w:tcW w:w="709"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规范要求</w:t>
            </w:r>
            <w:r>
              <w:rPr>
                <w:rFonts w:hint="eastAsia"/>
                <w:color w:val="auto"/>
                <w:kern w:val="0"/>
              </w:rPr>
              <w:t>m</w:t>
            </w:r>
          </w:p>
        </w:tc>
        <w:tc>
          <w:tcPr>
            <w:tcW w:w="3097"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检查依据</w:t>
            </w:r>
          </w:p>
        </w:tc>
        <w:tc>
          <w:tcPr>
            <w:tcW w:w="691"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符合情况</w:t>
            </w:r>
          </w:p>
        </w:tc>
        <w:tc>
          <w:tcPr>
            <w:tcW w:w="804" w:type="dxa"/>
            <w:tcBorders>
              <w:top w:val="single" w:color="auto" w:sz="4" w:space="0"/>
              <w:left w:val="single" w:color="auto" w:sz="6" w:space="0"/>
              <w:bottom w:val="single" w:color="auto" w:sz="6" w:space="0"/>
              <w:right w:val="single" w:color="auto" w:sz="4"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center"/>
              <w:rPr>
                <w:color w:val="auto"/>
                <w:kern w:val="0"/>
              </w:rPr>
            </w:pPr>
            <w:r>
              <w:rPr>
                <w:color w:val="auto"/>
                <w:kern w:val="0"/>
              </w:rPr>
              <w:t>401</w:t>
            </w:r>
            <w:r>
              <w:rPr>
                <w:rFonts w:hint="eastAsia"/>
                <w:color w:val="auto"/>
                <w:kern w:val="0"/>
              </w:rPr>
              <w:t>综合办公楼</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color w:val="auto"/>
                <w:kern w:val="0"/>
                <w:lang w:val="en-US" w:eastAsia="zh-CN"/>
              </w:rPr>
              <w:t>门卫</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eastAsia="宋体" w:cs="宋体"/>
                <w:color w:val="auto"/>
                <w:kern w:val="0"/>
                <w:lang w:eastAsia="zh-CN"/>
              </w:rPr>
            </w:pPr>
            <w:r>
              <w:rPr>
                <w:rFonts w:hint="eastAsia" w:ascii="宋体" w:hAnsi="_5b8b_4f53"/>
                <w:color w:val="auto"/>
                <w:kern w:val="0"/>
              </w:rPr>
              <w:t>3</w:t>
            </w:r>
            <w:r>
              <w:rPr>
                <w:rFonts w:ascii="宋体" w:hAnsi="_5b8b_4f53"/>
                <w:color w:val="auto"/>
                <w:kern w:val="0"/>
              </w:rPr>
              <w:t>6.</w:t>
            </w:r>
            <w:r>
              <w:rPr>
                <w:rFonts w:hint="eastAsia" w:ascii="宋体" w:hAnsi="_5b8b_4f53"/>
                <w:color w:val="auto"/>
                <w:kern w:val="0"/>
                <w:lang w:val="en-US" w:eastAsia="zh-CN"/>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eastAsia="zh-CN"/>
              </w:rPr>
            </w:pPr>
            <w:r>
              <w:rPr>
                <w:rFonts w:hint="eastAsia" w:ascii="宋体" w:hAnsi="宋体"/>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6</w:t>
            </w:r>
            <w:r>
              <w:rPr>
                <w:rFonts w:ascii="宋体" w:hAnsi="_5b8b_4f53"/>
                <w:color w:val="auto"/>
                <w:kern w:val="0"/>
              </w:rPr>
              <w:t>.3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spacing w:line="240" w:lineRule="exact"/>
              <w:jc w:val="center"/>
              <w:rPr>
                <w:rFonts w:ascii="宋体" w:hAnsi="宋体"/>
                <w:color w:val="auto"/>
                <w:kern w:val="0"/>
              </w:rPr>
            </w:pPr>
            <w:r>
              <w:rPr>
                <w:color w:val="auto"/>
                <w:kern w:val="0"/>
              </w:rPr>
              <w:t>403</w:t>
            </w:r>
            <w:r>
              <w:rPr>
                <w:rFonts w:hint="eastAsia"/>
                <w:color w:val="auto"/>
                <w:kern w:val="0"/>
              </w:rPr>
              <w:t>控制室</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color w:val="auto"/>
                <w:kern w:val="0"/>
                <w:lang w:val="en-US" w:eastAsia="zh-CN"/>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15.6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宋体"/>
                <w:color w:val="auto"/>
                <w:kern w:val="0"/>
                <w:lang w:val="en-US" w:eastAsia="zh-CN"/>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《建筑设计防火规范》3</w:t>
            </w:r>
            <w:r>
              <w:rPr>
                <w:rFonts w:hAnsi="_5b8b_4f53" w:cs="宋体"/>
                <w:color w:val="auto"/>
                <w:kern w:val="0"/>
              </w:rPr>
              <w:t>.</w:t>
            </w:r>
            <w:r>
              <w:rPr>
                <w:rFonts w:hint="eastAsia" w:hAnsi="_5b8b_4f53" w:cs="宋体"/>
                <w:color w:val="auto"/>
                <w:kern w:val="0"/>
                <w:lang w:val="en-US" w:eastAsia="zh-CN"/>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w:t>
            </w:r>
            <w:r>
              <w:rPr>
                <w:rFonts w:hint="eastAsia" w:ascii="宋体" w:hAnsi="宋体"/>
                <w:color w:val="auto"/>
                <w:kern w:val="0"/>
                <w:lang w:val="en-US" w:eastAsia="zh-CN"/>
              </w:rPr>
              <w:t>4颗粒</w:t>
            </w:r>
            <w:r>
              <w:rPr>
                <w:rFonts w:hint="eastAsia" w:ascii="宋体" w:hAnsi="宋体"/>
                <w:color w:val="auto"/>
                <w:kern w:val="0"/>
              </w:rPr>
              <w:t>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color w:val="auto"/>
              </w:rPr>
              <w:t>《</w:t>
            </w:r>
            <w:r>
              <w:rPr>
                <w:rFonts w:hint="eastAsia"/>
                <w:color w:val="auto"/>
                <w:lang w:val="en-US" w:eastAsia="zh-CN"/>
              </w:rPr>
              <w:t>石油化工企业设计防火标准</w:t>
            </w:r>
            <w:r>
              <w:rPr>
                <w:rFonts w:hint="eastAsia"/>
                <w:color w:val="auto"/>
              </w:rPr>
              <w:t>》4</w:t>
            </w:r>
            <w:r>
              <w:rPr>
                <w:color w:val="auto"/>
              </w:rPr>
              <w:t>.2.</w:t>
            </w:r>
            <w:r>
              <w:rPr>
                <w:rFonts w:hint="eastAsia"/>
                <w:color w:val="auto"/>
                <w:lang w:val="en-US" w:eastAsia="zh-CN"/>
              </w:rPr>
              <w:t>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门卫</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color w:val="auto"/>
                <w:kern w:val="0"/>
                <w:lang w:val="en-US" w:eastAsia="zh-CN"/>
              </w:rPr>
            </w:pPr>
            <w:r>
              <w:rPr>
                <w:rFonts w:hint="eastAsia" w:ascii="宋体" w:hAnsi="_5b8b_4f53"/>
                <w:color w:val="auto"/>
                <w:kern w:val="0"/>
                <w:lang w:val="en-US" w:eastAsia="zh-CN"/>
              </w:rPr>
              <w:t>24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color w:val="auto"/>
                <w:kern w:val="0"/>
                <w:lang w:val="en-US" w:eastAsia="zh-CN"/>
              </w:rPr>
            </w:pPr>
            <w:r>
              <w:rPr>
                <w:rFonts w:hint="eastAsia" w:ascii="宋体" w:hAnsi="_5b8b_4f53"/>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rFonts w:hint="eastAsia" w:ascii="宋体" w:hAnsi="宋体"/>
                <w:color w:val="auto"/>
                <w:kern w:val="0"/>
              </w:rPr>
              <w:t>4</w:t>
            </w:r>
            <w:r>
              <w:rPr>
                <w:rFonts w:ascii="宋体" w:hAnsi="宋体"/>
                <w:color w:val="auto"/>
                <w:kern w:val="0"/>
              </w:rPr>
              <w:t>02</w:t>
            </w:r>
            <w:r>
              <w:rPr>
                <w:rFonts w:hint="eastAsia" w:ascii="宋体" w:hAnsi="宋体"/>
                <w:color w:val="auto"/>
                <w:kern w:val="0"/>
              </w:rPr>
              <w:t>门卫</w:t>
            </w: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color w:val="auto"/>
                <w:kern w:val="0"/>
                <w:lang w:val="en-US" w:eastAsia="zh-CN"/>
              </w:rPr>
              <w:t>403控制室</w:t>
            </w:r>
          </w:p>
        </w:tc>
        <w:tc>
          <w:tcPr>
            <w:tcW w:w="850"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rPr>
            </w:pPr>
            <w:r>
              <w:rPr>
                <w:rFonts w:hint="eastAsia" w:ascii="宋体" w:hAnsi="_5b8b_4f53"/>
                <w:color w:val="auto"/>
                <w:kern w:val="0"/>
                <w:lang w:val="en-US" w:eastAsia="zh-CN"/>
              </w:rPr>
              <w:t>24</w:t>
            </w:r>
          </w:p>
        </w:tc>
        <w:tc>
          <w:tcPr>
            <w:tcW w:w="709"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rPr>
            </w:pPr>
            <w:r>
              <w:rPr>
                <w:rFonts w:hint="eastAsia" w:ascii="宋体" w:hAnsi="_5b8b_4f53"/>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color w:val="auto"/>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103</w:t>
            </w:r>
            <w:r>
              <w:rPr>
                <w:rFonts w:hint="eastAsia"/>
                <w:color w:val="auto"/>
                <w:kern w:val="0"/>
              </w:rPr>
              <w:t>液体制剂车间（丙类封闭厂房）</w:t>
            </w: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eastAsia="宋体"/>
                <w:color w:val="auto"/>
                <w:kern w:val="0"/>
                <w:lang w:eastAsia="zh-CN"/>
              </w:rPr>
            </w:pPr>
            <w:r>
              <w:rPr>
                <w:rFonts w:hint="eastAsia" w:ascii="宋体" w:hAnsi="_5b8b_4f53"/>
                <w:color w:val="auto"/>
                <w:kern w:val="0"/>
              </w:rPr>
              <w:t>1</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5.1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hAnsi="_5b8b_4f53" w:cs="宋体"/>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3.</w:t>
            </w:r>
            <w:r>
              <w:rPr>
                <w:rFonts w:hint="eastAsia" w:ascii="宋体" w:hAnsi="_5b8b_4f53"/>
                <w:color w:val="auto"/>
                <w:kern w:val="0"/>
                <w:lang w:val="en-US" w:eastAsia="zh-CN"/>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4</w:t>
            </w:r>
            <w:r>
              <w:rPr>
                <w:rFonts w:ascii="宋体" w:hAnsi="宋体"/>
                <w:color w:val="auto"/>
                <w:kern w:val="0"/>
              </w:rPr>
              <w:t>01</w:t>
            </w:r>
            <w:r>
              <w:rPr>
                <w:rFonts w:hint="eastAsia" w:ascii="宋体" w:hAnsi="宋体"/>
                <w:color w:val="auto"/>
                <w:kern w:val="0"/>
              </w:rPr>
              <w:t>综合办公楼</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202</w:t>
            </w:r>
            <w:r>
              <w:rPr>
                <w:rFonts w:hint="eastAsia"/>
                <w:color w:val="auto"/>
                <w:kern w:val="0"/>
              </w:rPr>
              <w:t>甲类仓库二</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203</w:t>
            </w:r>
            <w:r>
              <w:rPr>
                <w:rFonts w:hint="eastAsia"/>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03</w:t>
            </w:r>
            <w:r>
              <w:rPr>
                <w:rFonts w:hint="eastAsia" w:ascii="宋体" w:hAnsi="_5b8b_4f53"/>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201</w:t>
            </w:r>
            <w:r>
              <w:rPr>
                <w:rFonts w:hint="eastAsia"/>
                <w:color w:val="auto"/>
                <w:kern w:val="0"/>
              </w:rPr>
              <w:t>甲类仓库一</w:t>
            </w: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vMerge w:val="continue"/>
            <w:tcBorders>
              <w:left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宋体" w:eastAsia="宋体"/>
                <w:color w:val="auto"/>
                <w:kern w:val="0"/>
                <w:lang w:eastAsia="zh-CN"/>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w:t>
            </w:r>
            <w:r>
              <w:rPr>
                <w:rFonts w:hint="eastAsia" w:ascii="宋体" w:hAnsi="宋体"/>
                <w:color w:val="auto"/>
                <w:kern w:val="0"/>
                <w:lang w:val="en-US" w:eastAsia="zh-CN"/>
              </w:rPr>
              <w:t>机修区（明火地点）</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62.2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widowControl/>
              <w:spacing w:line="266" w:lineRule="exact"/>
              <w:jc w:val="lef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66"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东北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101</w:t>
            </w:r>
            <w:r>
              <w:rPr>
                <w:rFonts w:hint="eastAsia"/>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r>
              <w:rPr>
                <w:rFonts w:hint="eastAsia" w:ascii="宋体" w:hAnsi="_5b8b_4f53"/>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color w:val="auto"/>
                <w:kern w:val="0"/>
              </w:rPr>
            </w:pPr>
            <w:r>
              <w:rPr>
                <w:rFonts w:hint="eastAsia"/>
                <w:color w:val="auto"/>
                <w:kern w:val="0"/>
              </w:rPr>
              <w:t>2</w:t>
            </w:r>
            <w:r>
              <w:rPr>
                <w:color w:val="auto"/>
                <w:kern w:val="0"/>
              </w:rPr>
              <w:t>05</w:t>
            </w:r>
            <w:r>
              <w:rPr>
                <w:rFonts w:hint="eastAsia"/>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10.1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17.8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w:t>
            </w: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color w:val="auto"/>
                <w:kern w:val="0"/>
              </w:rPr>
            </w:pPr>
            <w:r>
              <w:rPr>
                <w:rFonts w:hint="eastAsia"/>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202</w:t>
            </w:r>
            <w:r>
              <w:rPr>
                <w:rFonts w:hint="eastAsia"/>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ascii="宋体" w:hAnsi="宋体"/>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102</w:t>
            </w:r>
            <w:r>
              <w:rPr>
                <w:rFonts w:hint="eastAsia"/>
                <w:color w:val="auto"/>
                <w:kern w:val="0"/>
              </w:rPr>
              <w:t>甲类车间二（封闭厂房）</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宋体"/>
                <w:color w:val="auto"/>
                <w:kern w:val="0"/>
              </w:rPr>
              <w:t>306</w:t>
            </w:r>
            <w:r>
              <w:rPr>
                <w:rFonts w:hint="eastAsia" w:ascii="宋体" w:hAnsi="宋体"/>
                <w:color w:val="auto"/>
                <w:kern w:val="0"/>
              </w:rPr>
              <w:t>污水处理区域</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8</w:t>
            </w:r>
            <w:r>
              <w:rPr>
                <w:rFonts w:ascii="宋体" w:hAnsi="_5b8b_4f53"/>
                <w:color w:val="auto"/>
                <w:kern w:val="0"/>
              </w:rPr>
              <w:t>.2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5.</w:t>
            </w:r>
            <w:r>
              <w:rPr>
                <w:rFonts w:hint="eastAsia" w:ascii="宋体" w:hAnsi="_5b8b_4f53"/>
                <w:color w:val="auto"/>
                <w:kern w:val="0"/>
                <w:lang w:val="en-US" w:eastAsia="zh-CN"/>
              </w:rPr>
              <w:t>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40"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01</w:t>
            </w:r>
            <w:r>
              <w:rPr>
                <w:rFonts w:hint="eastAsia" w:ascii="宋体" w:hAnsi="_5b8b_4f53"/>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101</w:t>
            </w:r>
            <w:r>
              <w:rPr>
                <w:rFonts w:hint="eastAsia"/>
                <w:color w:val="auto"/>
                <w:kern w:val="0"/>
              </w:rPr>
              <w:t>甲类车间一（封闭厂房）</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05</w:t>
            </w:r>
            <w:r>
              <w:rPr>
                <w:rFonts w:hint="eastAsia" w:ascii="宋体" w:hAnsi="_5b8b_4f53"/>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102</w:t>
            </w:r>
            <w:r>
              <w:rPr>
                <w:rFonts w:hint="eastAsia"/>
                <w:color w:val="auto"/>
                <w:kern w:val="0"/>
              </w:rPr>
              <w:t>甲类车间二（封闭厂房）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7</w:t>
            </w:r>
            <w:r>
              <w:rPr>
                <w:rFonts w:ascii="宋体" w:hAnsi="_5b8b_4f53"/>
                <w:color w:val="auto"/>
                <w:kern w:val="0"/>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vAlign w:val="center"/>
          </w:tcPr>
          <w:p>
            <w:pPr>
              <w:widowControl/>
              <w:spacing w:line="250" w:lineRule="exact"/>
              <w:jc w:val="left"/>
              <w:rPr>
                <w:rFonts w:hint="eastAsia" w:ascii="宋体" w:hAnsi="_5b8b_4f53"/>
                <w:color w:val="auto"/>
                <w:kern w:val="0"/>
              </w:rPr>
            </w:pPr>
            <w:r>
              <w:rPr>
                <w:rFonts w:hint="eastAsia" w:ascii="宋体" w:hAnsi="_5b8b_4f53"/>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ascii="宋体" w:hAnsi="宋体"/>
                <w:color w:val="auto"/>
                <w:kern w:val="0"/>
              </w:rPr>
              <w:t>201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104</w:t>
            </w:r>
            <w:r>
              <w:rPr>
                <w:rFonts w:hint="eastAsia"/>
                <w:color w:val="auto"/>
                <w:kern w:val="0"/>
              </w:rPr>
              <w:t>颗粒剂车间（丙类封闭厂房）</w:t>
            </w: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2.</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203</w:t>
            </w:r>
            <w:r>
              <w:rPr>
                <w:rFonts w:hint="eastAsia"/>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宋体"/>
                <w:color w:val="auto"/>
                <w:kern w:val="0"/>
                <w:lang w:val="en-US" w:eastAsia="zh-CN"/>
              </w:rPr>
            </w:pPr>
            <w:r>
              <w:rPr>
                <w:rFonts w:hint="eastAsia" w:ascii="宋体" w:hAnsi="宋体"/>
                <w:color w:val="auto"/>
                <w:kern w:val="0"/>
                <w:lang w:val="en-US" w:eastAsia="zh-CN"/>
              </w:rPr>
              <w:t>控制室</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_5b8b_4f53"/>
                <w:color w:val="auto"/>
                <w:kern w:val="0"/>
                <w:lang w:val="en-US" w:eastAsia="zh-CN"/>
              </w:rPr>
            </w:pPr>
            <w:r>
              <w:rPr>
                <w:rFonts w:hint="eastAsia" w:ascii="宋体" w:hAnsi="_5b8b_4f53"/>
                <w:color w:val="auto"/>
                <w:kern w:val="0"/>
                <w:lang w:val="en-US" w:eastAsia="zh-CN"/>
              </w:rPr>
              <w:t>30.2</w:t>
            </w:r>
          </w:p>
        </w:tc>
        <w:tc>
          <w:tcPr>
            <w:tcW w:w="709"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hAnsi="_5b8b_4f53" w:cs="宋体"/>
                <w:color w:val="auto"/>
                <w:kern w:val="0"/>
              </w:rPr>
            </w:pPr>
            <w:r>
              <w:rPr>
                <w:rFonts w:hint="eastAsia"/>
                <w:color w:val="auto"/>
              </w:rPr>
              <w:t>《</w:t>
            </w:r>
            <w:r>
              <w:rPr>
                <w:rFonts w:hint="eastAsia"/>
                <w:color w:val="auto"/>
                <w:lang w:val="en-US" w:eastAsia="zh-CN"/>
              </w:rPr>
              <w:t>石油化工企业设计防火标准</w:t>
            </w:r>
            <w:r>
              <w:rPr>
                <w:rFonts w:hint="eastAsia"/>
                <w:color w:val="auto"/>
              </w:rPr>
              <w:t>》4</w:t>
            </w:r>
            <w:r>
              <w:rPr>
                <w:color w:val="auto"/>
              </w:rPr>
              <w:t>.2.</w:t>
            </w:r>
            <w:r>
              <w:rPr>
                <w:rFonts w:hint="eastAsia"/>
                <w:color w:val="auto"/>
                <w:lang w:val="en-US" w:eastAsia="zh-CN"/>
              </w:rPr>
              <w:t>12</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宋体"/>
                <w:color w:val="auto"/>
                <w:kern w:val="0"/>
                <w:lang w:val="en-US" w:eastAsia="zh-CN"/>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val="en-US" w:eastAsia="zh-CN"/>
              </w:rPr>
            </w:pPr>
            <w:r>
              <w:rPr>
                <w:rFonts w:hint="eastAsia" w:hAnsi="_5b8b_4f53" w:cs="宋体"/>
                <w:color w:val="auto"/>
                <w:kern w:val="0"/>
              </w:rPr>
              <w:t>《建筑设计防火规范》3</w:t>
            </w:r>
            <w:r>
              <w:rPr>
                <w:rFonts w:hAnsi="_5b8b_4f53" w:cs="宋体"/>
                <w:color w:val="auto"/>
                <w:kern w:val="0"/>
              </w:rPr>
              <w:t>.4.1</w:t>
            </w:r>
            <w:r>
              <w:rPr>
                <w:rFonts w:hint="eastAsia" w:hAnsi="_5b8b_4f53" w:cs="宋体"/>
                <w:color w:val="auto"/>
                <w:kern w:val="0"/>
                <w:lang w:val="en-US" w:eastAsia="zh-CN"/>
              </w:rPr>
              <w:t>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203</w:t>
            </w:r>
            <w:r>
              <w:rPr>
                <w:rFonts w:hint="eastAsia"/>
                <w:color w:val="auto"/>
                <w:kern w:val="0"/>
              </w:rPr>
              <w:t>丙类仓库一</w:t>
            </w: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2.5</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.5.5</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301</w:t>
            </w:r>
            <w:r>
              <w:rPr>
                <w:rFonts w:hint="eastAsia"/>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r>
              <w:rPr>
                <w:color w:val="auto"/>
                <w:kern w:val="0"/>
              </w:rPr>
              <w:t>301</w:t>
            </w:r>
            <w:r>
              <w:rPr>
                <w:rFonts w:hint="eastAsia"/>
                <w:color w:val="auto"/>
                <w:kern w:val="0"/>
              </w:rPr>
              <w:t>公用工程车间（丙类）</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color w:val="auto"/>
                <w:kern w:val="0"/>
              </w:rPr>
              <w:t>205</w:t>
            </w:r>
            <w:r>
              <w:rPr>
                <w:rFonts w:hint="eastAsia"/>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7.2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color w:val="auto"/>
                <w:kern w:val="0"/>
              </w:rPr>
            </w:pPr>
            <w:r>
              <w:rPr>
                <w:rFonts w:hint="eastAsia"/>
                <w:color w:val="auto"/>
                <w:kern w:val="0"/>
              </w:rPr>
              <w:t>2</w:t>
            </w:r>
            <w:r>
              <w:rPr>
                <w:color w:val="auto"/>
                <w:kern w:val="0"/>
              </w:rPr>
              <w:t>02</w:t>
            </w:r>
            <w:r>
              <w:rPr>
                <w:rFonts w:hint="eastAsia"/>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center"/>
              <w:rPr>
                <w:color w:val="auto"/>
                <w:kern w:val="0"/>
              </w:rPr>
            </w:pPr>
            <w:r>
              <w:rPr>
                <w:color w:val="auto"/>
                <w:kern w:val="0"/>
              </w:rPr>
              <w:t>205</w:t>
            </w:r>
            <w:r>
              <w:rPr>
                <w:rFonts w:hint="eastAsia"/>
                <w:color w:val="auto"/>
                <w:kern w:val="0"/>
              </w:rPr>
              <w:t>甲类仓库</w:t>
            </w:r>
          </w:p>
          <w:p>
            <w:pPr>
              <w:widowControl/>
              <w:spacing w:line="240" w:lineRule="exact"/>
              <w:jc w:val="center"/>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3</w:t>
            </w:r>
            <w:r>
              <w:rPr>
                <w:rFonts w:ascii="宋体" w:hAnsi="宋体"/>
                <w:color w:val="auto"/>
                <w:kern w:val="0"/>
              </w:rPr>
              <w:t>05</w:t>
            </w:r>
            <w:r>
              <w:rPr>
                <w:rFonts w:hint="eastAsia" w:ascii="宋体" w:hAnsi="宋体"/>
                <w:color w:val="auto"/>
                <w:kern w:val="0"/>
              </w:rPr>
              <w:t>泵房（丁类）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4.2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continue"/>
            <w:tcBorders>
              <w:left w:val="single" w:color="auto" w:sz="6" w:space="0"/>
              <w:right w:val="single" w:color="auto" w:sz="6" w:space="0"/>
            </w:tcBorders>
            <w:vAlign w:val="center"/>
          </w:tcPr>
          <w:p>
            <w:pPr>
              <w:widowControl/>
              <w:spacing w:line="240" w:lineRule="exact"/>
              <w:jc w:val="center"/>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hint="eastAsia"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302事故应急池（丙类）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22.2</w:t>
            </w:r>
          </w:p>
        </w:tc>
        <w:tc>
          <w:tcPr>
            <w:tcW w:w="3097"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r>
              <w:rPr>
                <w:rFonts w:hint="eastAsia" w:ascii="宋体" w:hAnsi="_5b8b_4f53"/>
                <w:color w:val="auto"/>
                <w:kern w:val="0"/>
              </w:rPr>
              <w:t>西北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color w:val="auto"/>
                <w:kern w:val="0"/>
              </w:rPr>
            </w:pPr>
            <w:r>
              <w:rPr>
                <w:color w:val="auto"/>
                <w:kern w:val="0"/>
              </w:rPr>
              <w:t>201</w:t>
            </w:r>
            <w:r>
              <w:rPr>
                <w:rFonts w:hint="eastAsia"/>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3.7</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02</w:t>
            </w:r>
            <w:r>
              <w:rPr>
                <w:rFonts w:hint="eastAsia" w:ascii="宋体" w:hAnsi="宋体"/>
                <w:color w:val="auto"/>
                <w:kern w:val="0"/>
              </w:rPr>
              <w:t>甲类车间二（封闭厂房）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eastAsia="zh-CN"/>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w:t>
            </w:r>
            <w:r>
              <w:rPr>
                <w:rFonts w:hint="eastAsia" w:ascii="宋体" w:hAnsi="宋体"/>
                <w:color w:val="auto"/>
                <w:kern w:val="0"/>
                <w:lang w:val="en-US" w:eastAsia="zh-CN"/>
              </w:rPr>
              <w:t>机修区（明火地点）</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hAnsi="_5b8b_4f53" w:eastAsia="宋体" w:cs="宋体"/>
                <w:color w:val="auto"/>
                <w:kern w:val="0"/>
                <w:lang w:val="en-US" w:eastAsia="zh-CN"/>
              </w:rPr>
            </w:pPr>
            <w:r>
              <w:rPr>
                <w:rFonts w:hint="eastAsia" w:hAnsi="_5b8b_4f53" w:cs="宋体"/>
                <w:color w:val="auto"/>
                <w:kern w:val="0"/>
                <w:lang w:val="en-US" w:eastAsia="zh-CN"/>
              </w:rPr>
              <w:t>32.1</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hAnsi="_5b8b_4f53" w:cs="宋体"/>
                <w:color w:val="auto"/>
                <w:kern w:val="0"/>
              </w:rPr>
              <w:t>1</w:t>
            </w:r>
            <w:r>
              <w:rPr>
                <w:rFonts w:hAnsi="_5b8b_4f53" w:cs="宋体"/>
                <w:color w:val="auto"/>
                <w:kern w:val="0"/>
              </w:rPr>
              <w:t>7.2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jc w:val="lef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spacing w:line="240" w:lineRule="exact"/>
              <w:jc w:val="left"/>
              <w:rPr>
                <w:rFonts w:eastAsiaTheme="minorEastAsia"/>
                <w:color w:val="auto"/>
                <w:kern w:val="0"/>
              </w:rPr>
            </w:pPr>
            <w:r>
              <w:rPr>
                <w:rFonts w:hint="eastAsia" w:eastAsiaTheme="minorEastAsia"/>
                <w:color w:val="auto"/>
                <w:kern w:val="0"/>
              </w:rPr>
              <w:t>1</w:t>
            </w:r>
            <w:r>
              <w:rPr>
                <w:rFonts w:eastAsiaTheme="minorEastAsia"/>
                <w:color w:val="auto"/>
                <w:kern w:val="0"/>
              </w:rPr>
              <w:t>4</w:t>
            </w:r>
          </w:p>
        </w:tc>
        <w:tc>
          <w:tcPr>
            <w:tcW w:w="709"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3</w:t>
            </w:r>
            <w:r>
              <w:rPr>
                <w:rFonts w:ascii="宋体" w:hAnsi="宋体"/>
                <w:color w:val="auto"/>
                <w:kern w:val="0"/>
              </w:rPr>
              <w:t>05</w:t>
            </w:r>
            <w:r>
              <w:rPr>
                <w:rFonts w:hint="eastAsia" w:ascii="宋体" w:hAnsi="宋体"/>
                <w:color w:val="auto"/>
                <w:kern w:val="0"/>
              </w:rPr>
              <w:t>泵房</w:t>
            </w:r>
          </w:p>
        </w:tc>
        <w:tc>
          <w:tcPr>
            <w:tcW w:w="425"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nil"/>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jc w:val="left"/>
              <w:rPr>
                <w:color w:val="auto"/>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spacing w:line="240" w:lineRule="exact"/>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hAnsi="_5b8b_4f53" w:cs="宋体"/>
                <w:color w:val="auto"/>
                <w:kern w:val="0"/>
              </w:rPr>
            </w:pPr>
          </w:p>
        </w:tc>
        <w:tc>
          <w:tcPr>
            <w:tcW w:w="425"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nil"/>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05</w:t>
            </w:r>
            <w:r>
              <w:rPr>
                <w:rFonts w:hint="eastAsia" w:ascii="宋体" w:hAnsi="宋体"/>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4.2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spacing w:line="240" w:lineRule="exact"/>
              <w:rPr>
                <w:color w:val="auto"/>
              </w:rPr>
            </w:pPr>
            <w:r>
              <w:rPr>
                <w:rFonts w:hint="eastAsia"/>
                <w:color w:val="auto"/>
              </w:rPr>
              <w:t>/</w:t>
            </w:r>
          </w:p>
        </w:tc>
      </w:tr>
    </w:tbl>
    <w:p>
      <w:pPr>
        <w:rPr>
          <w:rFonts w:ascii="宋体" w:hAnsi="宋体"/>
          <w:color w:val="auto"/>
        </w:rPr>
      </w:pPr>
      <w:r>
        <w:rPr>
          <w:rFonts w:hint="eastAsia" w:ascii="宋体" w:hAnsi="宋体"/>
          <w:color w:val="auto"/>
        </w:rPr>
        <w:t>注：该项目产品属于《精细化工企业工程设计防火标准》（GB51283-2020）产品分类表中的农药（植物激素和生长调节剂）；《精细化工企业工程设计防火标准》中无相应丙类仓库的防火间距要求，故执行《建筑设计防火规范（2018版）》（GB50016-2014）的要求。</w:t>
      </w:r>
    </w:p>
    <w:p>
      <w:pPr>
        <w:pStyle w:val="4"/>
        <w:rPr>
          <w:rFonts w:ascii="Times New Roman" w:hAnsi="Times New Roman" w:cs="Times New Roman"/>
          <w:bCs w:val="0"/>
          <w:color w:val="auto"/>
        </w:rPr>
      </w:pPr>
      <w:bookmarkStart w:id="41" w:name="_Toc144109156"/>
      <w:r>
        <w:rPr>
          <w:rFonts w:hint="eastAsia" w:ascii="Times New Roman" w:hAnsi="Times New Roman" w:cs="Times New Roman"/>
          <w:bCs w:val="0"/>
          <w:color w:val="auto"/>
        </w:rPr>
        <w:t>2</w:t>
      </w:r>
      <w:r>
        <w:rPr>
          <w:rFonts w:ascii="Times New Roman" w:hAnsi="Times New Roman" w:cs="Times New Roman"/>
          <w:bCs w:val="0"/>
          <w:color w:val="auto"/>
        </w:rPr>
        <w:t xml:space="preserve">.7 </w:t>
      </w:r>
      <w:r>
        <w:rPr>
          <w:rFonts w:hint="eastAsia" w:ascii="Times New Roman" w:hAnsi="Times New Roman" w:cs="Times New Roman"/>
          <w:bCs w:val="0"/>
          <w:color w:val="auto"/>
        </w:rPr>
        <w:t>公用辅助工程</w:t>
      </w:r>
      <w:bookmarkEnd w:id="41"/>
    </w:p>
    <w:p>
      <w:pPr>
        <w:keepNext/>
        <w:keepLines/>
        <w:tabs>
          <w:tab w:val="left" w:pos="3165"/>
        </w:tabs>
        <w:spacing w:line="600" w:lineRule="exact"/>
        <w:jc w:val="left"/>
        <w:outlineLvl w:val="2"/>
        <w:rPr>
          <w:b/>
          <w:color w:val="auto"/>
          <w:sz w:val="28"/>
          <w:szCs w:val="32"/>
        </w:rPr>
      </w:pPr>
      <w:bookmarkStart w:id="42" w:name="_Toc144109157"/>
      <w:r>
        <w:rPr>
          <w:rFonts w:hint="eastAsia"/>
          <w:b/>
          <w:color w:val="auto"/>
          <w:sz w:val="28"/>
          <w:szCs w:val="32"/>
        </w:rPr>
        <w:t>2</w:t>
      </w:r>
      <w:r>
        <w:rPr>
          <w:b/>
          <w:color w:val="auto"/>
          <w:sz w:val="28"/>
          <w:szCs w:val="32"/>
        </w:rPr>
        <w:t>.7.</w:t>
      </w:r>
      <w:r>
        <w:rPr>
          <w:rFonts w:hint="eastAsia"/>
          <w:b/>
          <w:color w:val="auto"/>
          <w:sz w:val="28"/>
          <w:szCs w:val="32"/>
        </w:rPr>
        <w:t>1</w:t>
      </w:r>
      <w:r>
        <w:rPr>
          <w:b/>
          <w:color w:val="auto"/>
          <w:sz w:val="28"/>
          <w:szCs w:val="32"/>
        </w:rPr>
        <w:t xml:space="preserve"> </w:t>
      </w:r>
      <w:r>
        <w:rPr>
          <w:rFonts w:hint="eastAsia"/>
          <w:b/>
          <w:color w:val="auto"/>
          <w:sz w:val="28"/>
          <w:szCs w:val="32"/>
        </w:rPr>
        <w:t>供配电</w:t>
      </w:r>
      <w:bookmarkEnd w:id="42"/>
    </w:p>
    <w:p>
      <w:pPr>
        <w:pStyle w:val="18"/>
        <w:ind w:firstLine="422"/>
        <w:jc w:val="left"/>
        <w:rPr>
          <w:rFonts w:ascii="宋体"/>
          <w:b/>
          <w:color w:val="auto"/>
          <w:kern w:val="0"/>
          <w:sz w:val="28"/>
          <w:szCs w:val="28"/>
        </w:rPr>
      </w:pPr>
      <w:r>
        <w:rPr>
          <w:rFonts w:hint="eastAsia" w:ascii="宋体"/>
          <w:b/>
          <w:color w:val="auto"/>
          <w:sz w:val="28"/>
          <w:szCs w:val="28"/>
        </w:rPr>
        <w:t>1.供电电源</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该项目供电电源从厂区东面引一路市政1</w:t>
      </w:r>
      <w:r>
        <w:rPr>
          <w:rFonts w:ascii="宋体" w:hAnsi="宋体"/>
          <w:color w:val="auto"/>
          <w:sz w:val="28"/>
          <w:szCs w:val="28"/>
        </w:rPr>
        <w:t>0</w:t>
      </w:r>
      <w:r>
        <w:rPr>
          <w:rFonts w:hint="eastAsia" w:ascii="宋体" w:hAnsi="宋体"/>
          <w:color w:val="auto"/>
          <w:sz w:val="28"/>
          <w:szCs w:val="28"/>
        </w:rPr>
        <w:t>KV高压电源，采用双回路10KV电源进线，双回路10KV电源进线互为备用，中间采用母联开关。</w:t>
      </w:r>
      <w:r>
        <w:rPr>
          <w:rFonts w:hint="eastAsia" w:hAnsi="宋体"/>
          <w:color w:val="auto"/>
          <w:sz w:val="28"/>
          <w:szCs w:val="28"/>
        </w:rPr>
        <w:t>10kV电源线路电缆采用直埋敷设进入3</w:t>
      </w:r>
      <w:r>
        <w:rPr>
          <w:rFonts w:hAnsi="宋体"/>
          <w:color w:val="auto"/>
          <w:sz w:val="28"/>
          <w:szCs w:val="28"/>
        </w:rPr>
        <w:t>01</w:t>
      </w:r>
      <w:r>
        <w:rPr>
          <w:rFonts w:hint="eastAsia" w:hAnsi="宋体"/>
          <w:color w:val="auto"/>
          <w:sz w:val="28"/>
          <w:szCs w:val="28"/>
        </w:rPr>
        <w:t>公用工程车间高压变配电间</w:t>
      </w:r>
      <w:r>
        <w:rPr>
          <w:rFonts w:hint="eastAsia" w:ascii="宋体" w:hAnsi="宋体"/>
          <w:color w:val="auto"/>
          <w:kern w:val="0"/>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2.负荷等级及供电电源可靠性</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根据工艺提出要求，该项目部分工艺设备长时间停电不会引起生产安全事故及污染事故的负荷供电属三级负荷；消防泵、应急照明为二级负荷，DCS、SIS系统以及可燃有毒气体报警系统电源为一级负荷中特别重要负荷，采用UPS不间断电源，持续时间不小于60分钟；应急照明拟采用自带蓄电池。其中该项目工艺装置二级负荷容量以及仪表电源、应急照明容量共计1</w:t>
      </w:r>
      <w:r>
        <w:rPr>
          <w:rFonts w:ascii="宋体" w:hAnsi="宋体"/>
          <w:color w:val="auto"/>
          <w:sz w:val="28"/>
          <w:szCs w:val="28"/>
        </w:rPr>
        <w:t>50</w:t>
      </w:r>
      <w:r>
        <w:rPr>
          <w:rFonts w:hint="eastAsia" w:ascii="宋体" w:hAnsi="宋体"/>
          <w:color w:val="auto"/>
          <w:sz w:val="28"/>
          <w:szCs w:val="28"/>
        </w:rPr>
        <w:t>KW。该项目拟在3</w:t>
      </w:r>
      <w:r>
        <w:rPr>
          <w:rFonts w:ascii="宋体" w:hAnsi="宋体"/>
          <w:color w:val="auto"/>
          <w:sz w:val="28"/>
          <w:szCs w:val="28"/>
        </w:rPr>
        <w:t>01</w:t>
      </w:r>
      <w:r>
        <w:rPr>
          <w:rFonts w:hint="eastAsia" w:ascii="宋体" w:hAnsi="宋体"/>
          <w:color w:val="auto"/>
          <w:sz w:val="28"/>
          <w:szCs w:val="28"/>
        </w:rPr>
        <w:t>公用工程车间一层发电机房设置容量为25</w:t>
      </w:r>
      <w:r>
        <w:rPr>
          <w:rFonts w:ascii="宋体" w:hAnsi="宋体"/>
          <w:color w:val="auto"/>
          <w:sz w:val="28"/>
          <w:szCs w:val="28"/>
        </w:rPr>
        <w:t>0</w:t>
      </w:r>
      <w:r>
        <w:rPr>
          <w:rFonts w:hint="eastAsia" w:ascii="宋体" w:hAnsi="宋体"/>
          <w:color w:val="auto"/>
          <w:sz w:val="28"/>
          <w:szCs w:val="28"/>
        </w:rPr>
        <w:t>KW的柴油发电机组</w:t>
      </w:r>
      <w:r>
        <w:rPr>
          <w:rFonts w:hint="eastAsia" w:ascii="宋体" w:hAnsi="宋体"/>
          <w:color w:val="auto"/>
          <w:sz w:val="28"/>
          <w:szCs w:val="28"/>
          <w:lang w:val="en-US" w:eastAsia="zh-CN"/>
        </w:rPr>
        <w:t>作为备用电源</w:t>
      </w:r>
      <w:r>
        <w:rPr>
          <w:rFonts w:hint="eastAsia" w:ascii="宋体" w:hAnsi="宋体"/>
          <w:color w:val="auto"/>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该项目3</w:t>
      </w:r>
      <w:r>
        <w:rPr>
          <w:rFonts w:ascii="宋体" w:hAnsi="宋体"/>
          <w:color w:val="auto"/>
          <w:sz w:val="28"/>
          <w:szCs w:val="28"/>
        </w:rPr>
        <w:t>01</w:t>
      </w:r>
      <w:r>
        <w:rPr>
          <w:rFonts w:hint="eastAsia" w:ascii="宋体" w:hAnsi="宋体"/>
          <w:color w:val="auto"/>
          <w:sz w:val="28"/>
          <w:szCs w:val="28"/>
        </w:rPr>
        <w:t>公用工程车间新建高、低压配电间，在高压配电间设置2台1</w:t>
      </w:r>
      <w:r>
        <w:rPr>
          <w:rFonts w:ascii="宋体" w:hAnsi="宋体"/>
          <w:color w:val="auto"/>
          <w:sz w:val="28"/>
          <w:szCs w:val="28"/>
        </w:rPr>
        <w:t>000</w:t>
      </w:r>
      <w:r>
        <w:rPr>
          <w:rFonts w:hint="eastAsia" w:ascii="宋体" w:hAnsi="宋体"/>
          <w:color w:val="auto"/>
          <w:sz w:val="28"/>
          <w:szCs w:val="28"/>
        </w:rPr>
        <w:t>KVA干式变压器，以放射式的形式向各工段用电负荷供电。该项目装机容量约为1</w:t>
      </w:r>
      <w:r>
        <w:rPr>
          <w:rFonts w:ascii="宋体" w:hAnsi="宋体"/>
          <w:color w:val="auto"/>
          <w:sz w:val="28"/>
          <w:szCs w:val="28"/>
        </w:rPr>
        <w:t>800</w:t>
      </w:r>
      <w:r>
        <w:rPr>
          <w:rFonts w:hint="eastAsia" w:ascii="宋体" w:hAnsi="宋体"/>
          <w:color w:val="auto"/>
          <w:sz w:val="28"/>
          <w:szCs w:val="28"/>
        </w:rPr>
        <w:t>KW，计算有功功率约为1</w:t>
      </w:r>
      <w:r>
        <w:rPr>
          <w:rFonts w:ascii="宋体" w:hAnsi="宋体"/>
          <w:color w:val="auto"/>
          <w:sz w:val="28"/>
          <w:szCs w:val="28"/>
        </w:rPr>
        <w:t>500</w:t>
      </w:r>
      <w:r>
        <w:rPr>
          <w:rFonts w:hint="eastAsia" w:ascii="宋体" w:hAnsi="宋体"/>
          <w:color w:val="auto"/>
          <w:sz w:val="28"/>
          <w:szCs w:val="28"/>
        </w:rPr>
        <w:t>KW，视在功率为1</w:t>
      </w:r>
      <w:r>
        <w:rPr>
          <w:rFonts w:ascii="宋体" w:hAnsi="宋体"/>
          <w:color w:val="auto"/>
          <w:sz w:val="28"/>
          <w:szCs w:val="28"/>
        </w:rPr>
        <w:t>600</w:t>
      </w:r>
      <w:r>
        <w:rPr>
          <w:rFonts w:hint="eastAsia" w:ascii="宋体" w:hAnsi="宋体"/>
          <w:color w:val="auto"/>
          <w:sz w:val="28"/>
          <w:szCs w:val="28"/>
        </w:rPr>
        <w:t>KVA。拟设置的2台1</w:t>
      </w:r>
      <w:r>
        <w:rPr>
          <w:rFonts w:ascii="宋体" w:hAnsi="宋体"/>
          <w:color w:val="auto"/>
          <w:sz w:val="28"/>
          <w:szCs w:val="28"/>
        </w:rPr>
        <w:t>000</w:t>
      </w:r>
      <w:r>
        <w:rPr>
          <w:rFonts w:hint="eastAsia" w:ascii="宋体" w:hAnsi="宋体"/>
          <w:color w:val="auto"/>
          <w:sz w:val="28"/>
          <w:szCs w:val="28"/>
        </w:rPr>
        <w:t>KVA干式变压器可以满足用电需求。</w:t>
      </w:r>
    </w:p>
    <w:p>
      <w:pPr>
        <w:pStyle w:val="15"/>
        <w:spacing w:line="360" w:lineRule="auto"/>
        <w:ind w:firstLine="560" w:firstLineChars="200"/>
        <w:jc w:val="left"/>
        <w:rPr>
          <w:rFonts w:hAnsi="宋体" w:cs="宋体"/>
          <w:color w:val="auto"/>
          <w:sz w:val="28"/>
          <w:szCs w:val="28"/>
        </w:rPr>
      </w:pPr>
      <w:r>
        <w:rPr>
          <w:rFonts w:hint="eastAsia" w:hAnsi="宋体"/>
          <w:color w:val="auto"/>
          <w:sz w:val="28"/>
          <w:szCs w:val="28"/>
        </w:rPr>
        <w:t>至各个生产车间的动力配线主要采用放射式电缆配线，电缆线路采用直埋敷设方式，穿钢管埋地至各生产车间配电箱。电缆进出建筑物、地面及与地下其它管线交叉时应穿钢管保护，遵守《电力工程电缆设计规范》。10kV电源线路电缆采用直埋敷设</w:t>
      </w:r>
      <w:r>
        <w:rPr>
          <w:rFonts w:hint="eastAsia" w:hAnsi="宋体"/>
          <w:color w:val="auto"/>
          <w:kern w:val="0"/>
          <w:sz w:val="28"/>
          <w:szCs w:val="28"/>
        </w:rPr>
        <w:t>10kv高压电机动力电缆采用ZA-YJV22-8.7/15KVV-3×120型</w:t>
      </w:r>
      <w:r>
        <w:rPr>
          <w:rFonts w:hint="eastAsia" w:hAnsi="宋体"/>
          <w:color w:val="auto"/>
          <w:sz w:val="28"/>
          <w:szCs w:val="28"/>
        </w:rPr>
        <w:t>。</w:t>
      </w:r>
    </w:p>
    <w:p>
      <w:pPr>
        <w:pStyle w:val="15"/>
        <w:spacing w:line="360" w:lineRule="auto"/>
        <w:ind w:firstLine="560" w:firstLineChars="200"/>
        <w:jc w:val="left"/>
        <w:rPr>
          <w:rFonts w:hAnsi="宋体"/>
          <w:color w:val="auto"/>
          <w:sz w:val="28"/>
          <w:szCs w:val="28"/>
        </w:rPr>
      </w:pPr>
      <w:r>
        <w:rPr>
          <w:rFonts w:hint="eastAsia" w:hAnsi="宋体"/>
          <w:color w:val="auto"/>
          <w:sz w:val="28"/>
          <w:szCs w:val="28"/>
        </w:rPr>
        <w:t>在该项目各生产车间设置配电装置，从各自配电装置向有关用电设备（或现场控制箱）放射式供电。现场设置设置就地控制操作按钮。</w:t>
      </w:r>
      <w:r>
        <w:rPr>
          <w:rFonts w:hint="eastAsia" w:hAnsi="宋体"/>
          <w:color w:val="auto"/>
          <w:kern w:val="0"/>
          <w:sz w:val="28"/>
          <w:szCs w:val="28"/>
        </w:rPr>
        <w:t>高压电力电缆选用交联聚乙烯电力电缆YJV22-10KVV型。低压负荷动力电力电缆选用ZA-YJV22-0.6/1KV型；控制电缆选用ZR-KYJV22-300/500V-10×1.5型。</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3.照明</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根据各场所不同照度要求和环境特征选用不同型式的灯具，爆炸危险场所选用相应防爆等级的灯具，照明电源引自公用工程车间变配电室低压配电间照明盘。</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照明回路电压为AC 220V；照明光源：室内照明光源以荧光灯为主，室外照明光源以金属卤化物灯为主。</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控制方式：设专用照明盘，户外场所采用照明电脑控制器控制，并设手动、自动转换开关；户内场所根据需要采用照明箱集中控制或就地分散控制。</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照明配线：室外照明采用铜芯电缆配线，室内照明采用铜芯塑料导线穿钢管暗配。配电线路采用BV型、ZR-BV型穿钢管敷设。</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照度标准：该项目各场所照度设计按现行国家标准《建筑照明设计标准》GB50034-2013执行，标准如下：一般生产区域  75-100 LX  控制室及操作室  200--300LX；其余部分按国家照度标准执行</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在生产厂房、仓库等建筑物各出入口、走廊和楼梯等疏散部位设置应急疏散照明灯；在变配电所、控制室等重要场所设置应急照明灯。所有应急照明灯具内设蓄电池作为第二电源，供电时间不小于90分钟。</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该项目在道路两侧适当位置设道路照明，道路照明选用节能型路灯，厂区外线选用YJV22-0.6/1KV电缆，沿道路直埋地敷设。道路照明选用LED型节能路灯，全厂路灯在控制室集中控制。</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4.防雷、防静电接地</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1）车间、仓库</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防雷设计：该项目1</w:t>
      </w:r>
      <w:r>
        <w:rPr>
          <w:rFonts w:ascii="宋体" w:hAnsi="宋体"/>
          <w:color w:val="auto"/>
          <w:sz w:val="28"/>
          <w:szCs w:val="28"/>
        </w:rPr>
        <w:t>01</w:t>
      </w:r>
      <w:r>
        <w:rPr>
          <w:rFonts w:hint="eastAsia" w:ascii="宋体" w:hAnsi="宋体"/>
          <w:color w:val="auto"/>
          <w:sz w:val="28"/>
          <w:szCs w:val="28"/>
        </w:rPr>
        <w:t>甲类车间一、2</w:t>
      </w:r>
      <w:r>
        <w:rPr>
          <w:rFonts w:ascii="宋体" w:hAnsi="宋体"/>
          <w:color w:val="auto"/>
          <w:sz w:val="28"/>
          <w:szCs w:val="28"/>
        </w:rPr>
        <w:t>01</w:t>
      </w:r>
      <w:r>
        <w:rPr>
          <w:rFonts w:hint="eastAsia" w:ascii="宋体" w:hAnsi="宋体"/>
          <w:color w:val="auto"/>
          <w:sz w:val="28"/>
          <w:szCs w:val="28"/>
        </w:rPr>
        <w:t>甲类仓库一、2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05</w:t>
      </w:r>
      <w:r>
        <w:rPr>
          <w:rFonts w:hint="eastAsia" w:ascii="宋体" w:hAnsi="宋体"/>
          <w:color w:val="auto"/>
          <w:sz w:val="28"/>
          <w:szCs w:val="28"/>
        </w:rPr>
        <w:t>甲类仓库三为第二类防雷建筑物，其它建筑物为第三类防雷建筑物。因此利用屋面接闪带防直击雷，屋面接闪带网格满足《建筑物防雷设计规范》相应要求。避雷引下线采用构造柱内四对角主筋(直径不小于10)，引下线上与接闪带焊接下与接地扁钢连通。所有防雷及接地构件均应热镀锌，焊接处须防腐处理。</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接地设计：该项目采用TN-S接地保护方式。采用建筑物基础底部钢筋或敷设-40×4热镀锌扁钢作环型连接体，建筑物柱内基础钢筋作接地极。防雷防静电及电气保护接地均连成一体，组成接地网，接地电阻不大于</w:t>
      </w:r>
      <w:r>
        <w:rPr>
          <w:rFonts w:ascii="宋体" w:hAnsi="宋体"/>
          <w:color w:val="auto"/>
          <w:sz w:val="28"/>
          <w:szCs w:val="28"/>
        </w:rPr>
        <w:t>1</w:t>
      </w:r>
      <w:r>
        <w:rPr>
          <w:rFonts w:hint="eastAsia" w:ascii="宋体" w:hAnsi="宋体"/>
          <w:color w:val="auto"/>
          <w:sz w:val="28"/>
          <w:szCs w:val="28"/>
        </w:rPr>
        <w:t>欧。当接地电阻达不到要求时，增加人工接地极。人工接地极采用L50×50×5热镀锌角钢，接地极水平间距应大于5米。所有设备上的电机均利用专用PE线作接地线。室外设备的金属外壳均需与室外接地干线作可靠连接。</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防静电设计：在甲类火灾危险环境生产车间内距地+0.3m明敷-40×4镀锌扁钢，作为防静电接地干线。所有金属设备，管道及钢平台扶手均应与防静电接地干线作可靠焊接，具体参见&lt;&lt;接地装置安装&gt;&gt;14D504。为防静电室内外一切工艺设备管道及电器设备外壳及避雷针防直击雷，防雷防静电及电气保护接地均连均应可靠接地，平行敷设的长金属管道其净距小于100mm的应每隔20~30m用金属线连接，交叉净距小于100mm时交叉处也应跨接，弯头阀门、法兰盘等应在连接处用金属线跨接并与接地网连成闭合回路。</w:t>
      </w:r>
    </w:p>
    <w:p>
      <w:pPr>
        <w:keepNext/>
        <w:keepLines/>
        <w:tabs>
          <w:tab w:val="left" w:pos="3165"/>
        </w:tabs>
        <w:spacing w:line="600" w:lineRule="exact"/>
        <w:jc w:val="left"/>
        <w:outlineLvl w:val="2"/>
        <w:rPr>
          <w:b/>
          <w:color w:val="auto"/>
          <w:sz w:val="28"/>
          <w:szCs w:val="32"/>
        </w:rPr>
      </w:pPr>
      <w:bookmarkStart w:id="43" w:name="_Toc144109158"/>
      <w:r>
        <w:rPr>
          <w:rFonts w:hint="eastAsia"/>
          <w:b/>
          <w:color w:val="auto"/>
          <w:sz w:val="28"/>
          <w:szCs w:val="32"/>
        </w:rPr>
        <w:t>2</w:t>
      </w:r>
      <w:r>
        <w:rPr>
          <w:b/>
          <w:color w:val="auto"/>
          <w:sz w:val="28"/>
          <w:szCs w:val="32"/>
        </w:rPr>
        <w:t>.7.</w:t>
      </w:r>
      <w:r>
        <w:rPr>
          <w:rFonts w:hint="eastAsia"/>
          <w:b/>
          <w:color w:val="auto"/>
          <w:sz w:val="28"/>
          <w:szCs w:val="32"/>
        </w:rPr>
        <w:t>2</w:t>
      </w:r>
      <w:r>
        <w:rPr>
          <w:b/>
          <w:color w:val="auto"/>
          <w:sz w:val="28"/>
          <w:szCs w:val="32"/>
        </w:rPr>
        <w:t xml:space="preserve"> </w:t>
      </w:r>
      <w:r>
        <w:rPr>
          <w:rFonts w:hint="eastAsia"/>
          <w:b/>
          <w:color w:val="auto"/>
          <w:sz w:val="28"/>
          <w:szCs w:val="32"/>
        </w:rPr>
        <w:t>给排水</w:t>
      </w:r>
      <w:bookmarkEnd w:id="43"/>
    </w:p>
    <w:p>
      <w:pPr>
        <w:spacing w:line="360" w:lineRule="auto"/>
        <w:ind w:firstLine="560" w:firstLineChars="200"/>
        <w:rPr>
          <w:rFonts w:ascii="宋体" w:hAnsi="宋体"/>
          <w:color w:val="auto"/>
          <w:sz w:val="28"/>
          <w:szCs w:val="28"/>
        </w:rPr>
      </w:pPr>
      <w:bookmarkStart w:id="44" w:name="_Hlk47908454"/>
      <w:r>
        <w:rPr>
          <w:rFonts w:hint="eastAsia" w:ascii="宋体" w:hAnsi="宋体"/>
          <w:color w:val="auto"/>
          <w:sz w:val="28"/>
          <w:szCs w:val="28"/>
        </w:rPr>
        <w:t>1）给排水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（1）供水水源</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该项目供水水源来自新干县盐化工业城市政供水管网提供，供水管网主管为DN</w:t>
      </w:r>
      <w:r>
        <w:rPr>
          <w:rFonts w:ascii="宋体" w:hAnsi="宋体"/>
          <w:color w:val="auto"/>
          <w:sz w:val="28"/>
          <w:szCs w:val="28"/>
        </w:rPr>
        <w:t>315</w:t>
      </w:r>
      <w:r>
        <w:rPr>
          <w:rFonts w:hint="eastAsia" w:ascii="宋体" w:hAnsi="宋体"/>
          <w:color w:val="auto"/>
          <w:sz w:val="28"/>
          <w:szCs w:val="28"/>
        </w:rPr>
        <w:t>，压力不小于0</w:t>
      </w:r>
      <w:r>
        <w:rPr>
          <w:rFonts w:ascii="宋体" w:hAnsi="宋体"/>
          <w:color w:val="auto"/>
          <w:sz w:val="28"/>
          <w:szCs w:val="28"/>
        </w:rPr>
        <w:t>.35</w:t>
      </w:r>
      <w:r>
        <w:rPr>
          <w:rFonts w:hint="eastAsia" w:ascii="宋体" w:hAnsi="宋体"/>
          <w:color w:val="auto"/>
          <w:sz w:val="28"/>
          <w:szCs w:val="28"/>
        </w:rPr>
        <w:t>MPa。厂区供水管接入管径DN</w:t>
      </w:r>
      <w:r>
        <w:rPr>
          <w:rFonts w:ascii="宋体" w:hAnsi="宋体"/>
          <w:color w:val="auto"/>
          <w:sz w:val="28"/>
          <w:szCs w:val="28"/>
        </w:rPr>
        <w:t>200</w:t>
      </w:r>
      <w:r>
        <w:rPr>
          <w:rFonts w:hint="eastAsia" w:ascii="宋体" w:hAnsi="宋体"/>
          <w:color w:val="auto"/>
          <w:sz w:val="28"/>
          <w:szCs w:val="28"/>
        </w:rPr>
        <w:t>，正常生产用水由接入管网供应，消防水池补充水由接入管网提供。</w:t>
      </w:r>
    </w:p>
    <w:p>
      <w:pPr>
        <w:spacing w:line="360" w:lineRule="auto"/>
        <w:ind w:firstLine="560" w:firstLineChars="200"/>
        <w:rPr>
          <w:rFonts w:ascii="宋体" w:hAnsi="宋体"/>
          <w:color w:val="auto"/>
          <w:sz w:val="28"/>
          <w:szCs w:val="28"/>
        </w:rPr>
      </w:pPr>
      <w:r>
        <w:rPr>
          <w:rFonts w:hint="eastAsia" w:ascii="宋体" w:hAnsi="宋体"/>
          <w:color w:val="auto"/>
          <w:sz w:val="28"/>
          <w:szCs w:val="28"/>
        </w:rPr>
        <w:t>（2）供水方案</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该项目用水分为生活用水、生产用水、绿化用水等。</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生产用水：该项目芸苔素内酯原药生产线新鲜用水量为3</w:t>
      </w:r>
      <w:r>
        <w:rPr>
          <w:rFonts w:ascii="宋体" w:hAnsi="宋体"/>
          <w:color w:val="auto"/>
          <w:sz w:val="28"/>
          <w:szCs w:val="28"/>
        </w:rPr>
        <w:t>027.53</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d，农药制剂生产线新鲜用水量为1</w:t>
      </w:r>
      <w:r>
        <w:rPr>
          <w:rFonts w:ascii="宋体" w:hAnsi="宋体"/>
          <w:color w:val="auto"/>
          <w:sz w:val="28"/>
          <w:szCs w:val="28"/>
        </w:rPr>
        <w:t>2.51</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d，新鲜水总用水量为3</w:t>
      </w:r>
      <w:r>
        <w:rPr>
          <w:rFonts w:ascii="宋体" w:hAnsi="宋体"/>
          <w:color w:val="auto"/>
          <w:sz w:val="28"/>
          <w:szCs w:val="28"/>
        </w:rPr>
        <w:t>040.04</w:t>
      </w:r>
      <w:r>
        <w:rPr>
          <w:rFonts w:hint="eastAsia" w:ascii="宋体" w:hAnsi="宋体"/>
          <w:color w:val="auto"/>
          <w:sz w:val="28"/>
          <w:szCs w:val="28"/>
        </w:rPr>
        <w:t xml:space="preserve"> 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生活用水：该项目劳动定员 200人，人员用水量按1</w:t>
      </w:r>
      <w:r>
        <w:rPr>
          <w:rFonts w:ascii="宋体" w:hAnsi="宋体"/>
          <w:color w:val="auto"/>
          <w:sz w:val="28"/>
          <w:szCs w:val="28"/>
        </w:rPr>
        <w:t>20</w:t>
      </w:r>
      <w:r>
        <w:rPr>
          <w:rFonts w:hint="eastAsia" w:ascii="宋体" w:hAnsi="宋体"/>
          <w:color w:val="auto"/>
          <w:sz w:val="28"/>
          <w:szCs w:val="28"/>
        </w:rPr>
        <w:t>L</w:t>
      </w:r>
      <w:r>
        <w:rPr>
          <w:rFonts w:ascii="宋体" w:hAnsi="宋体"/>
          <w:color w:val="auto"/>
          <w:sz w:val="28"/>
          <w:szCs w:val="28"/>
        </w:rPr>
        <w:t>/</w:t>
      </w:r>
      <w:r>
        <w:rPr>
          <w:rFonts w:hint="eastAsia" w:ascii="宋体" w:hAnsi="宋体"/>
          <w:color w:val="auto"/>
          <w:sz w:val="28"/>
          <w:szCs w:val="28"/>
        </w:rPr>
        <w:t>人·d计算，员工日常生活用水量为</w:t>
      </w:r>
      <w:r>
        <w:rPr>
          <w:rFonts w:ascii="宋体" w:hAnsi="宋体"/>
          <w:color w:val="auto"/>
          <w:sz w:val="28"/>
          <w:szCs w:val="28"/>
        </w:rPr>
        <w:t>200</w:t>
      </w:r>
      <w:r>
        <w:rPr>
          <w:rFonts w:hint="eastAsia" w:ascii="宋体" w:hAnsi="宋体"/>
          <w:color w:val="auto"/>
          <w:sz w:val="28"/>
          <w:szCs w:val="28"/>
        </w:rPr>
        <w:t>×</w:t>
      </w:r>
      <w:r>
        <w:rPr>
          <w:rFonts w:ascii="宋体" w:hAnsi="宋体"/>
          <w:color w:val="auto"/>
          <w:sz w:val="28"/>
          <w:szCs w:val="28"/>
        </w:rPr>
        <w:t>120*0.001</w:t>
      </w:r>
      <w:r>
        <w:rPr>
          <w:rFonts w:hint="eastAsia" w:ascii="宋体" w:hAnsi="宋体"/>
          <w:color w:val="auto"/>
          <w:sz w:val="28"/>
          <w:szCs w:val="28"/>
        </w:rPr>
        <w:t>=</w:t>
      </w:r>
      <w:r>
        <w:rPr>
          <w:rFonts w:ascii="宋体" w:hAnsi="宋体"/>
          <w:color w:val="auto"/>
          <w:sz w:val="28"/>
          <w:szCs w:val="28"/>
        </w:rPr>
        <w:t>24</w:t>
      </w:r>
      <w:r>
        <w:rPr>
          <w:rFonts w:hint="eastAsia" w:ascii="宋体" w:hAnsi="宋体"/>
          <w:color w:val="auto"/>
          <w:sz w:val="28"/>
          <w:szCs w:val="28"/>
        </w:rPr>
        <w:t>m</w:t>
      </w:r>
      <w:r>
        <w:rPr>
          <w:rFonts w:hint="eastAsia" w:ascii="宋体" w:hAnsi="宋体"/>
          <w:color w:val="auto"/>
          <w:sz w:val="28"/>
          <w:szCs w:val="28"/>
          <w:vertAlign w:val="superscript"/>
        </w:rPr>
        <w:t>3</w:t>
      </w:r>
      <w:r>
        <w:rPr>
          <w:rFonts w:hint="eastAsia" w:ascii="宋体" w:hAnsi="宋体"/>
          <w:color w:val="auto"/>
          <w:sz w:val="28"/>
          <w:szCs w:val="28"/>
        </w:rPr>
        <w:t>/d。</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绿化用水：绿化用水为 2.0L/m²·次，每五天浇水一次，则平均每天用水量为</w:t>
      </w:r>
      <w:r>
        <w:rPr>
          <w:rFonts w:ascii="宋体" w:hAnsi="宋体"/>
          <w:color w:val="auto"/>
          <w:sz w:val="28"/>
          <w:szCs w:val="28"/>
        </w:rPr>
        <w:t>1.44m³</w:t>
      </w:r>
      <w:r>
        <w:rPr>
          <w:rFonts w:hint="eastAsia" w:ascii="宋体" w:hAnsi="宋体"/>
          <w:color w:val="auto"/>
          <w:sz w:val="28"/>
          <w:szCs w:val="28"/>
        </w:rPr>
        <w:t>。</w:t>
      </w:r>
    </w:p>
    <w:p>
      <w:pPr>
        <w:spacing w:line="360" w:lineRule="auto"/>
        <w:ind w:firstLine="560" w:firstLineChars="200"/>
        <w:rPr>
          <w:rFonts w:ascii="宋体" w:hAnsi="宋体"/>
          <w:color w:val="auto"/>
          <w:sz w:val="28"/>
          <w:szCs w:val="28"/>
        </w:rPr>
      </w:pPr>
      <w:r>
        <w:rPr>
          <w:rFonts w:hint="eastAsia" w:ascii="宋体" w:hAnsi="宋体"/>
          <w:color w:val="auto"/>
          <w:sz w:val="28"/>
          <w:szCs w:val="28"/>
        </w:rPr>
        <w:t>不可预见水：该项目不可预见水按上述生产、生活、绿化用水总量的1</w:t>
      </w:r>
      <w:r>
        <w:rPr>
          <w:rFonts w:ascii="宋体" w:hAnsi="宋体"/>
          <w:color w:val="auto"/>
          <w:sz w:val="28"/>
          <w:szCs w:val="28"/>
        </w:rPr>
        <w:t>0%</w:t>
      </w:r>
      <w:r>
        <w:rPr>
          <w:rFonts w:hint="eastAsia" w:ascii="宋体" w:hAnsi="宋体"/>
          <w:color w:val="auto"/>
          <w:sz w:val="28"/>
          <w:szCs w:val="28"/>
        </w:rPr>
        <w:t>计算，不可预见用水量为3</w:t>
      </w:r>
      <w:r>
        <w:rPr>
          <w:rFonts w:ascii="宋体" w:hAnsi="宋体"/>
          <w:color w:val="auto"/>
          <w:sz w:val="28"/>
          <w:szCs w:val="28"/>
        </w:rPr>
        <w:t>06.548</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该项目生产用水、生活用水、绿化用水以及不可预见用水总量为3</w:t>
      </w:r>
      <w:r>
        <w:rPr>
          <w:rFonts w:ascii="宋体" w:hAnsi="宋体"/>
          <w:color w:val="auto"/>
          <w:sz w:val="28"/>
          <w:szCs w:val="28"/>
        </w:rPr>
        <w:t>372.028</w:t>
      </w:r>
      <w:r>
        <w:rPr>
          <w:rFonts w:hint="eastAsia" w:ascii="宋体" w:hAnsi="宋体"/>
          <w:color w:val="auto"/>
          <w:sz w:val="28"/>
          <w:szCs w:val="28"/>
        </w:rPr>
        <w:t xml:space="preserve"> 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w:t>
      </w:r>
    </w:p>
    <w:p>
      <w:pPr>
        <w:spacing w:line="360" w:lineRule="auto"/>
        <w:ind w:firstLine="560" w:firstLineChars="200"/>
        <w:rPr>
          <w:rFonts w:ascii="宋体" w:hAnsi="宋体"/>
          <w:color w:val="auto"/>
          <w:sz w:val="28"/>
          <w:szCs w:val="28"/>
        </w:rPr>
      </w:pPr>
      <w:r>
        <w:rPr>
          <w:rFonts w:hint="eastAsia" w:ascii="宋体" w:hAnsi="宋体"/>
          <w:color w:val="auto"/>
          <w:sz w:val="28"/>
          <w:szCs w:val="28"/>
        </w:rPr>
        <w:t>（2）排水方案</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该项目排水实行雨污分流制，根据排水来源及排水水质，排水划分为生产污水、生活污水、雨水。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生产污水排水系统：本工程生产排放废水主要为工艺废水、设备及地面冲洗废水、废气处理废水、分析化验室废水、真空泵废水和循环冷却水定排水。生产废水经厂区污水处理站处理后排入工业园污水管网。</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生活污水排水系统：该项目生活污水主要为人员用水产生的污水，生活污水拟经“化粪池”预处理后进入厂区污水处理站进一步处理。</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雨水排水系统：厂区初期雨水先排入初期雨水池，达到排放标准后雨水排入市政雨水管网；室外雨水采用暗管排水系统，雨水通过道路雨水口收集后，经雨水沟和雨水管就近排入厂外园区排水管网。</w:t>
      </w:r>
    </w:p>
    <w:bookmarkEnd w:id="44"/>
    <w:p>
      <w:pPr>
        <w:spacing w:line="360" w:lineRule="auto"/>
        <w:ind w:left="560"/>
        <w:rPr>
          <w:rFonts w:ascii="宋体" w:hAnsi="宋体"/>
          <w:color w:val="auto"/>
          <w:sz w:val="28"/>
          <w:szCs w:val="28"/>
        </w:rPr>
      </w:pPr>
      <w:r>
        <w:rPr>
          <w:rFonts w:hint="eastAsia" w:ascii="宋体" w:hAnsi="宋体"/>
          <w:color w:val="auto"/>
          <w:sz w:val="28"/>
          <w:szCs w:val="28"/>
        </w:rPr>
        <w:t>（2）循环冷却水系统</w:t>
      </w:r>
    </w:p>
    <w:p>
      <w:pPr>
        <w:pStyle w:val="49"/>
        <w:spacing w:line="360" w:lineRule="auto"/>
        <w:ind w:firstLine="560" w:firstLineChars="200"/>
        <w:rPr>
          <w:rFonts w:hAnsi="宋体" w:cs="Times New Roman"/>
          <w:color w:val="auto"/>
          <w:kern w:val="2"/>
          <w:sz w:val="28"/>
          <w:szCs w:val="28"/>
        </w:rPr>
      </w:pPr>
      <w:r>
        <w:rPr>
          <w:rFonts w:hint="eastAsia" w:hAnsi="宋体" w:cs="Times New Roman"/>
          <w:color w:val="auto"/>
          <w:kern w:val="2"/>
          <w:sz w:val="28"/>
          <w:szCs w:val="28"/>
        </w:rPr>
        <w:t>该项目芸苔素内酯原药生产过程中需使用循环冷却水降温，当循环冷却水盐含量达到一定浓度需要进行置换，用含盐量较低的新鲜水注入循环水系统，同时向污水处理站排放部分含盐量高的循环冷却水。该项目循环冷却水排放量约9</w:t>
      </w:r>
      <w:r>
        <w:rPr>
          <w:rFonts w:hAnsi="宋体" w:cs="Times New Roman"/>
          <w:color w:val="auto"/>
          <w:kern w:val="2"/>
          <w:sz w:val="28"/>
          <w:szCs w:val="28"/>
        </w:rPr>
        <w:t>50</w:t>
      </w:r>
      <w:r>
        <w:rPr>
          <w:rFonts w:hint="eastAsia" w:hAnsi="宋体" w:cs="Times New Roman"/>
          <w:color w:val="auto"/>
          <w:kern w:val="2"/>
          <w:sz w:val="28"/>
          <w:szCs w:val="28"/>
        </w:rPr>
        <w:t>m</w:t>
      </w:r>
      <w:r>
        <w:rPr>
          <w:rFonts w:hAnsi="宋体" w:cs="Times New Roman"/>
          <w:color w:val="auto"/>
          <w:kern w:val="2"/>
          <w:sz w:val="28"/>
          <w:szCs w:val="28"/>
          <w:vertAlign w:val="superscript"/>
        </w:rPr>
        <w:t>3</w:t>
      </w:r>
      <w:r>
        <w:rPr>
          <w:rFonts w:hAnsi="宋体" w:cs="Times New Roman"/>
          <w:color w:val="auto"/>
          <w:kern w:val="2"/>
          <w:sz w:val="28"/>
          <w:szCs w:val="28"/>
        </w:rPr>
        <w:t>/</w:t>
      </w:r>
      <w:r>
        <w:rPr>
          <w:rFonts w:hint="eastAsia" w:hAnsi="宋体" w:cs="Times New Roman"/>
          <w:color w:val="auto"/>
          <w:kern w:val="2"/>
          <w:sz w:val="28"/>
          <w:szCs w:val="28"/>
        </w:rPr>
        <w:t>a。</w:t>
      </w:r>
    </w:p>
    <w:p>
      <w:pPr>
        <w:pStyle w:val="49"/>
        <w:spacing w:line="360" w:lineRule="auto"/>
        <w:ind w:firstLine="560" w:firstLineChars="200"/>
        <w:rPr>
          <w:rFonts w:hAnsi="宋体" w:cs="Times New Roman"/>
          <w:color w:val="auto"/>
          <w:kern w:val="2"/>
          <w:sz w:val="28"/>
          <w:szCs w:val="28"/>
        </w:rPr>
      </w:pPr>
      <w:r>
        <w:rPr>
          <w:rFonts w:hint="eastAsia" w:hAnsi="宋体" w:cs="Times New Roman"/>
          <w:color w:val="auto"/>
          <w:kern w:val="2"/>
          <w:sz w:val="28"/>
          <w:szCs w:val="28"/>
        </w:rPr>
        <w:t>循环冷却水系统主要设备及构筑物技术参数：</w:t>
      </w:r>
    </w:p>
    <w:p>
      <w:pPr>
        <w:pStyle w:val="49"/>
        <w:spacing w:line="360" w:lineRule="auto"/>
        <w:ind w:firstLine="560" w:firstLineChars="200"/>
        <w:jc w:val="both"/>
        <w:rPr>
          <w:rFonts w:hAnsi="宋体" w:cs="Times New Roman"/>
          <w:color w:val="auto"/>
          <w:kern w:val="2"/>
          <w:sz w:val="28"/>
          <w:szCs w:val="28"/>
        </w:rPr>
      </w:pPr>
      <w:r>
        <w:rPr>
          <w:rFonts w:hint="eastAsia" w:hAnsi="宋体" w:cs="Times New Roman"/>
          <w:color w:val="auto"/>
          <w:kern w:val="2"/>
          <w:sz w:val="28"/>
          <w:szCs w:val="28"/>
        </w:rPr>
        <w:t>循环水泵：卧式双吸离心泵，Q=</w:t>
      </w:r>
      <w:r>
        <w:rPr>
          <w:rFonts w:hAnsi="宋体" w:cs="Times New Roman"/>
          <w:color w:val="auto"/>
          <w:kern w:val="2"/>
          <w:sz w:val="28"/>
          <w:szCs w:val="28"/>
        </w:rPr>
        <w:t>50</w:t>
      </w:r>
      <w:r>
        <w:rPr>
          <w:rFonts w:hint="eastAsia" w:hAnsi="宋体" w:cs="Times New Roman"/>
          <w:color w:val="auto"/>
          <w:kern w:val="2"/>
          <w:sz w:val="28"/>
          <w:szCs w:val="28"/>
        </w:rPr>
        <w:t>m3/h，H=</w:t>
      </w:r>
      <w:r>
        <w:rPr>
          <w:rFonts w:hAnsi="宋体" w:cs="Times New Roman"/>
          <w:color w:val="auto"/>
          <w:kern w:val="2"/>
          <w:sz w:val="28"/>
          <w:szCs w:val="28"/>
        </w:rPr>
        <w:t>35</w:t>
      </w:r>
      <w:r>
        <w:rPr>
          <w:rFonts w:hint="eastAsia" w:hAnsi="宋体" w:cs="Times New Roman"/>
          <w:color w:val="auto"/>
          <w:kern w:val="2"/>
          <w:sz w:val="28"/>
          <w:szCs w:val="28"/>
        </w:rPr>
        <w:t>m，P=400kW，3台，2用1备。</w:t>
      </w:r>
    </w:p>
    <w:p>
      <w:pPr>
        <w:pStyle w:val="49"/>
        <w:spacing w:line="360" w:lineRule="auto"/>
        <w:ind w:firstLine="560" w:firstLineChars="200"/>
        <w:jc w:val="both"/>
        <w:rPr>
          <w:rFonts w:hAnsi="宋体" w:cs="Times New Roman"/>
          <w:color w:val="auto"/>
          <w:kern w:val="2"/>
          <w:sz w:val="28"/>
          <w:szCs w:val="28"/>
        </w:rPr>
      </w:pPr>
      <w:r>
        <w:rPr>
          <w:rFonts w:hint="eastAsia" w:hAnsi="宋体" w:cs="Times New Roman"/>
          <w:color w:val="auto"/>
          <w:kern w:val="2"/>
          <w:sz w:val="28"/>
          <w:szCs w:val="28"/>
        </w:rPr>
        <w:t>冷却塔：双曲线自然通风冷却塔2台，单台处理能力1</w:t>
      </w:r>
      <w:r>
        <w:rPr>
          <w:rFonts w:hAnsi="宋体" w:cs="Times New Roman"/>
          <w:color w:val="auto"/>
          <w:kern w:val="2"/>
          <w:sz w:val="28"/>
          <w:szCs w:val="28"/>
        </w:rPr>
        <w:t>50</w:t>
      </w:r>
      <w:r>
        <w:rPr>
          <w:rFonts w:hint="eastAsia" w:hAnsi="宋体" w:cs="Times New Roman"/>
          <w:color w:val="auto"/>
          <w:kern w:val="2"/>
          <w:sz w:val="28"/>
          <w:szCs w:val="28"/>
        </w:rPr>
        <w:t>m3/h，</w:t>
      </w:r>
      <w:r>
        <w:rPr>
          <w:rFonts w:hint="eastAsia" w:hAnsi="宋体"/>
          <w:color w:val="auto"/>
          <w:sz w:val="28"/>
          <w:szCs w:val="28"/>
        </w:rPr>
        <w:t>循环水供水温度为</w:t>
      </w:r>
      <w:r>
        <w:rPr>
          <w:rFonts w:hAnsi="宋体"/>
          <w:color w:val="auto"/>
          <w:sz w:val="28"/>
          <w:szCs w:val="28"/>
        </w:rPr>
        <w:t>27</w:t>
      </w:r>
      <w:r>
        <w:rPr>
          <w:rFonts w:hint="eastAsia" w:hAnsi="宋体"/>
          <w:color w:val="auto"/>
          <w:sz w:val="28"/>
          <w:szCs w:val="28"/>
        </w:rPr>
        <w:t>℃，回水温度为37℃</w:t>
      </w:r>
      <w:r>
        <w:rPr>
          <w:rFonts w:hint="eastAsia" w:hAnsi="宋体" w:cs="Times New Roman"/>
          <w:color w:val="auto"/>
          <w:kern w:val="2"/>
          <w:sz w:val="28"/>
          <w:szCs w:val="28"/>
        </w:rPr>
        <w:t>。</w:t>
      </w:r>
    </w:p>
    <w:p>
      <w:pPr>
        <w:keepNext/>
        <w:keepLines/>
        <w:tabs>
          <w:tab w:val="left" w:pos="3165"/>
        </w:tabs>
        <w:spacing w:line="600" w:lineRule="exact"/>
        <w:jc w:val="left"/>
        <w:outlineLvl w:val="2"/>
        <w:rPr>
          <w:b/>
          <w:color w:val="auto"/>
          <w:sz w:val="28"/>
          <w:szCs w:val="32"/>
        </w:rPr>
      </w:pPr>
      <w:bookmarkStart w:id="45" w:name="_Toc144109159"/>
      <w:r>
        <w:rPr>
          <w:rFonts w:hint="eastAsia"/>
          <w:b/>
          <w:color w:val="auto"/>
          <w:sz w:val="28"/>
          <w:szCs w:val="32"/>
        </w:rPr>
        <w:t>2</w:t>
      </w:r>
      <w:r>
        <w:rPr>
          <w:b/>
          <w:color w:val="auto"/>
          <w:sz w:val="28"/>
          <w:szCs w:val="32"/>
        </w:rPr>
        <w:t>.7</w:t>
      </w:r>
      <w:r>
        <w:rPr>
          <w:rFonts w:hint="eastAsia"/>
          <w:b/>
          <w:color w:val="auto"/>
          <w:sz w:val="28"/>
          <w:szCs w:val="32"/>
        </w:rPr>
        <w:t>.3</w:t>
      </w:r>
      <w:r>
        <w:rPr>
          <w:b/>
          <w:color w:val="auto"/>
          <w:sz w:val="28"/>
          <w:szCs w:val="32"/>
        </w:rPr>
        <w:t xml:space="preserve"> </w:t>
      </w:r>
      <w:r>
        <w:rPr>
          <w:rFonts w:hint="eastAsia"/>
          <w:b/>
          <w:color w:val="auto"/>
          <w:sz w:val="28"/>
          <w:szCs w:val="32"/>
        </w:rPr>
        <w:t>供热</w:t>
      </w:r>
      <w:bookmarkEnd w:id="45"/>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该项目生产用蒸汽由园区蒸汽管网集中供应，蒸汽由管道输送至厂区，园区蒸汽管网供给饱和蒸汽压力0</w:t>
      </w:r>
      <w:r>
        <w:rPr>
          <w:rFonts w:ascii="宋体" w:hAnsi="宋体"/>
          <w:color w:val="auto"/>
          <w:sz w:val="28"/>
          <w:szCs w:val="28"/>
        </w:rPr>
        <w:t>.6</w:t>
      </w:r>
      <w:r>
        <w:rPr>
          <w:rFonts w:hint="eastAsia" w:ascii="宋体" w:hAnsi="宋体"/>
          <w:color w:val="auto"/>
          <w:sz w:val="28"/>
          <w:szCs w:val="28"/>
        </w:rPr>
        <w:t>MPa，可供应蒸汽用量153万吨/年。该项目蒸汽用量为</w:t>
      </w:r>
      <w:r>
        <w:rPr>
          <w:rFonts w:ascii="宋体" w:hAnsi="宋体"/>
          <w:color w:val="auto"/>
          <w:sz w:val="28"/>
          <w:szCs w:val="28"/>
        </w:rPr>
        <w:t>5712</w:t>
      </w:r>
      <w:r>
        <w:rPr>
          <w:rFonts w:hint="eastAsia" w:ascii="宋体" w:hAnsi="宋体"/>
          <w:color w:val="auto"/>
          <w:sz w:val="28"/>
          <w:szCs w:val="28"/>
        </w:rPr>
        <w:t>吨/年，园区供给蒸汽可满足项目蒸汽需求。</w:t>
      </w:r>
    </w:p>
    <w:p>
      <w:pPr>
        <w:keepNext/>
        <w:keepLines/>
        <w:tabs>
          <w:tab w:val="left" w:pos="3165"/>
        </w:tabs>
        <w:spacing w:line="600" w:lineRule="exact"/>
        <w:jc w:val="left"/>
        <w:outlineLvl w:val="2"/>
        <w:rPr>
          <w:b/>
          <w:color w:val="auto"/>
          <w:sz w:val="28"/>
          <w:szCs w:val="32"/>
        </w:rPr>
      </w:pPr>
      <w:bookmarkStart w:id="46" w:name="_Toc144109160"/>
      <w:r>
        <w:rPr>
          <w:rFonts w:hint="eastAsia"/>
          <w:b/>
          <w:color w:val="auto"/>
          <w:sz w:val="28"/>
          <w:szCs w:val="32"/>
        </w:rPr>
        <w:t>2</w:t>
      </w:r>
      <w:r>
        <w:rPr>
          <w:b/>
          <w:color w:val="auto"/>
          <w:sz w:val="28"/>
          <w:szCs w:val="32"/>
        </w:rPr>
        <w:t>.7</w:t>
      </w:r>
      <w:r>
        <w:rPr>
          <w:rFonts w:hint="eastAsia"/>
          <w:b/>
          <w:color w:val="auto"/>
          <w:sz w:val="28"/>
          <w:szCs w:val="32"/>
        </w:rPr>
        <w:t>.</w:t>
      </w:r>
      <w:r>
        <w:rPr>
          <w:b/>
          <w:color w:val="auto"/>
          <w:sz w:val="28"/>
          <w:szCs w:val="32"/>
        </w:rPr>
        <w:t xml:space="preserve">4 </w:t>
      </w:r>
      <w:r>
        <w:rPr>
          <w:rFonts w:hint="eastAsia"/>
          <w:b/>
          <w:color w:val="auto"/>
          <w:sz w:val="28"/>
          <w:szCs w:val="32"/>
        </w:rPr>
        <w:t>通讯</w:t>
      </w:r>
      <w:bookmarkEnd w:id="46"/>
    </w:p>
    <w:p>
      <w:pPr>
        <w:ind w:firstLine="560" w:firstLineChars="200"/>
        <w:rPr>
          <w:rFonts w:ascii="宋体" w:hAnsi="宋体"/>
          <w:color w:val="auto"/>
          <w:sz w:val="28"/>
          <w:szCs w:val="28"/>
        </w:rPr>
      </w:pPr>
      <w:r>
        <w:rPr>
          <w:rFonts w:hint="eastAsia" w:ascii="宋体" w:hAnsi="宋体"/>
          <w:color w:val="auto"/>
          <w:sz w:val="28"/>
          <w:szCs w:val="28"/>
        </w:rPr>
        <w:t>该项目采用电视、电话、网络三位一体式光纤通讯系统，在4</w:t>
      </w:r>
      <w:r>
        <w:rPr>
          <w:rFonts w:ascii="宋体" w:hAnsi="宋体"/>
          <w:color w:val="auto"/>
          <w:sz w:val="28"/>
          <w:szCs w:val="28"/>
        </w:rPr>
        <w:t>01</w:t>
      </w:r>
      <w:r>
        <w:rPr>
          <w:rFonts w:hint="eastAsia" w:ascii="宋体" w:hAnsi="宋体"/>
          <w:color w:val="auto"/>
          <w:sz w:val="28"/>
          <w:szCs w:val="28"/>
        </w:rPr>
        <w:t>综合楼一层公共区域设置电信综合布线机箱。</w:t>
      </w:r>
    </w:p>
    <w:p>
      <w:pPr>
        <w:ind w:firstLine="560" w:firstLineChars="200"/>
        <w:rPr>
          <w:color w:val="auto"/>
          <w:sz w:val="28"/>
          <w:szCs w:val="28"/>
        </w:rPr>
      </w:pPr>
      <w:r>
        <w:rPr>
          <w:rFonts w:hint="eastAsia" w:ascii="宋体" w:hAnsi="宋体"/>
          <w:color w:val="auto"/>
          <w:sz w:val="28"/>
          <w:szCs w:val="28"/>
        </w:rPr>
        <w:t>该项目拟在4</w:t>
      </w:r>
      <w:r>
        <w:rPr>
          <w:rFonts w:ascii="宋体" w:hAnsi="宋体"/>
          <w:color w:val="auto"/>
          <w:sz w:val="28"/>
          <w:szCs w:val="28"/>
        </w:rPr>
        <w:t>03</w:t>
      </w:r>
      <w:r>
        <w:rPr>
          <w:rFonts w:hint="eastAsia" w:ascii="宋体" w:hAnsi="宋体"/>
          <w:color w:val="auto"/>
          <w:sz w:val="28"/>
          <w:szCs w:val="28"/>
        </w:rPr>
        <w:t>控制室内设置生产调度电话、DCS（SIS）控制机柜、工业电视监控机柜、气体报警控制机柜等。控制室兼做厂区消防控制室，内设火灾自动报警联动控制器及相关消防配套设备。火灾自动报警与消防联动控制系统采用智能二总线制系统，能自行完成报警及消防联动控制。</w:t>
      </w:r>
    </w:p>
    <w:p>
      <w:pPr>
        <w:ind w:firstLine="560" w:firstLineChars="200"/>
        <w:rPr>
          <w:color w:val="auto"/>
        </w:rPr>
      </w:pPr>
      <w:r>
        <w:rPr>
          <w:rFonts w:hint="eastAsia" w:ascii="宋体" w:hAnsi="宋体"/>
          <w:color w:val="auto"/>
          <w:sz w:val="28"/>
          <w:szCs w:val="28"/>
        </w:rPr>
        <w:t>3</w:t>
      </w:r>
      <w:r>
        <w:rPr>
          <w:rFonts w:ascii="宋体" w:hAnsi="宋体"/>
          <w:color w:val="auto"/>
          <w:sz w:val="28"/>
          <w:szCs w:val="28"/>
        </w:rPr>
        <w:t>01</w:t>
      </w:r>
      <w:r>
        <w:rPr>
          <w:rFonts w:hint="eastAsia" w:ascii="宋体" w:hAnsi="宋体"/>
          <w:color w:val="auto"/>
          <w:sz w:val="28"/>
          <w:szCs w:val="28"/>
        </w:rPr>
        <w:t>公用工程车间变配电间、4</w:t>
      </w:r>
      <w:r>
        <w:rPr>
          <w:rFonts w:ascii="宋体" w:hAnsi="宋体"/>
          <w:color w:val="auto"/>
          <w:sz w:val="28"/>
          <w:szCs w:val="28"/>
        </w:rPr>
        <w:t>03</w:t>
      </w:r>
      <w:r>
        <w:rPr>
          <w:rFonts w:hint="eastAsia" w:ascii="宋体" w:hAnsi="宋体"/>
          <w:color w:val="auto"/>
          <w:sz w:val="28"/>
          <w:szCs w:val="28"/>
        </w:rPr>
        <w:t>控制室、各车间及仓库内设置点型感烟或感温探测器，在变压器室内设置缆式线型感温探测器。</w:t>
      </w:r>
    </w:p>
    <w:p>
      <w:pPr>
        <w:ind w:firstLine="560" w:firstLineChars="200"/>
        <w:rPr>
          <w:color w:val="auto"/>
          <w:sz w:val="28"/>
          <w:szCs w:val="28"/>
        </w:rPr>
      </w:pPr>
      <w:r>
        <w:rPr>
          <w:rFonts w:hint="eastAsia" w:ascii="宋体" w:hAnsi="宋体"/>
          <w:color w:val="auto"/>
          <w:sz w:val="28"/>
          <w:szCs w:val="28"/>
        </w:rPr>
        <w:t>在受保护区域的走道、出入口及生产区等处设置一定数量的手动报警按钮、声光警报器、火灾显示盘和扬声器。消防控制室内设置消防专用电话总机，在消防泵房、变配电室、控制室等处设置消防专用电话分机。消防控制室内设置消防专用</w:t>
      </w:r>
      <w:r>
        <w:rPr>
          <w:rFonts w:hint="eastAsia"/>
          <w:color w:val="auto"/>
          <w:sz w:val="28"/>
          <w:szCs w:val="28"/>
        </w:rPr>
        <w:t>119</w:t>
      </w:r>
      <w:r>
        <w:rPr>
          <w:rFonts w:hint="eastAsia" w:ascii="宋体" w:hAnsi="宋体"/>
          <w:color w:val="auto"/>
          <w:sz w:val="28"/>
          <w:szCs w:val="28"/>
        </w:rPr>
        <w:t>电话，并设置2</w:t>
      </w:r>
      <w:r>
        <w:rPr>
          <w:rFonts w:ascii="宋体" w:hAnsi="宋体"/>
          <w:color w:val="auto"/>
          <w:sz w:val="28"/>
          <w:szCs w:val="28"/>
        </w:rPr>
        <w:t>4</w:t>
      </w:r>
      <w:r>
        <w:rPr>
          <w:rFonts w:hint="eastAsia" w:ascii="宋体" w:hAnsi="宋体"/>
          <w:color w:val="auto"/>
          <w:sz w:val="28"/>
          <w:szCs w:val="28"/>
        </w:rPr>
        <w:t>小时专人值班。</w:t>
      </w:r>
    </w:p>
    <w:p>
      <w:pPr>
        <w:keepNext/>
        <w:keepLines/>
        <w:tabs>
          <w:tab w:val="left" w:pos="3165"/>
        </w:tabs>
        <w:spacing w:line="600" w:lineRule="exact"/>
        <w:jc w:val="left"/>
        <w:outlineLvl w:val="2"/>
        <w:rPr>
          <w:b/>
          <w:color w:val="auto"/>
          <w:sz w:val="28"/>
          <w:szCs w:val="32"/>
        </w:rPr>
      </w:pPr>
      <w:bookmarkStart w:id="47" w:name="_Toc144109161"/>
      <w:bookmarkStart w:id="48" w:name="_Toc4463"/>
      <w:bookmarkStart w:id="49" w:name="_Toc42679852"/>
      <w:bookmarkStart w:id="50" w:name="_Toc317"/>
      <w:bookmarkStart w:id="51" w:name="_Toc2121"/>
      <w:bookmarkStart w:id="52" w:name="_Toc4428"/>
      <w:bookmarkStart w:id="53" w:name="_Toc21080"/>
      <w:bookmarkStart w:id="54" w:name="_Toc26775"/>
      <w:r>
        <w:rPr>
          <w:rFonts w:hint="eastAsia"/>
          <w:b/>
          <w:color w:val="auto"/>
          <w:sz w:val="28"/>
          <w:szCs w:val="32"/>
        </w:rPr>
        <w:t>2.</w:t>
      </w:r>
      <w:r>
        <w:rPr>
          <w:b/>
          <w:color w:val="auto"/>
          <w:sz w:val="28"/>
          <w:szCs w:val="32"/>
        </w:rPr>
        <w:t>7</w:t>
      </w:r>
      <w:r>
        <w:rPr>
          <w:rFonts w:hint="eastAsia"/>
          <w:b/>
          <w:color w:val="auto"/>
          <w:sz w:val="28"/>
          <w:szCs w:val="32"/>
        </w:rPr>
        <w:t>.</w:t>
      </w:r>
      <w:r>
        <w:rPr>
          <w:b/>
          <w:color w:val="auto"/>
          <w:sz w:val="28"/>
          <w:szCs w:val="32"/>
        </w:rPr>
        <w:t>5</w:t>
      </w:r>
      <w:r>
        <w:rPr>
          <w:rFonts w:hint="eastAsia"/>
          <w:b/>
          <w:color w:val="auto"/>
          <w:sz w:val="28"/>
          <w:szCs w:val="32"/>
        </w:rPr>
        <w:t xml:space="preserve"> 供气</w:t>
      </w:r>
      <w:bookmarkEnd w:id="47"/>
    </w:p>
    <w:p>
      <w:pPr>
        <w:spacing w:line="360" w:lineRule="auto"/>
        <w:ind w:firstLine="560" w:firstLineChars="200"/>
        <w:rPr>
          <w:rFonts w:ascii="宋体" w:hAnsi="宋体"/>
          <w:color w:val="auto"/>
          <w:sz w:val="28"/>
          <w:szCs w:val="28"/>
        </w:rPr>
      </w:pPr>
      <w:r>
        <w:rPr>
          <w:rFonts w:hint="eastAsia" w:ascii="宋体" w:hAnsi="宋体"/>
          <w:color w:val="auto"/>
          <w:sz w:val="28"/>
          <w:szCs w:val="28"/>
        </w:rPr>
        <w:t>本项目选用两台1</w:t>
      </w:r>
      <w:r>
        <w:rPr>
          <w:rFonts w:ascii="宋体" w:hAnsi="宋体"/>
          <w:color w:val="auto"/>
          <w:sz w:val="28"/>
          <w:szCs w:val="28"/>
        </w:rPr>
        <w:t>0</w:t>
      </w:r>
      <w:r>
        <w:rPr>
          <w:rFonts w:hint="eastAsia" w:ascii="宋体" w:hAnsi="宋体"/>
          <w:color w:val="auto"/>
          <w:sz w:val="28"/>
          <w:szCs w:val="28"/>
        </w:rPr>
        <w:t>m</w:t>
      </w:r>
      <w:r>
        <w:rPr>
          <w:rFonts w:ascii="宋体" w:hAnsi="宋体"/>
          <w:color w:val="auto"/>
          <w:sz w:val="28"/>
          <w:szCs w:val="28"/>
        </w:rPr>
        <w:t>3/</w:t>
      </w:r>
      <w:r>
        <w:rPr>
          <w:rFonts w:hint="eastAsia" w:ascii="宋体" w:hAnsi="宋体"/>
          <w:color w:val="auto"/>
          <w:sz w:val="28"/>
          <w:szCs w:val="28"/>
        </w:rPr>
        <w:t>min、排气压力0</w:t>
      </w:r>
      <w:r>
        <w:rPr>
          <w:rFonts w:ascii="宋体" w:hAnsi="宋体"/>
          <w:color w:val="auto"/>
          <w:sz w:val="28"/>
          <w:szCs w:val="28"/>
        </w:rPr>
        <w:t>.8</w:t>
      </w:r>
      <w:r>
        <w:rPr>
          <w:rFonts w:hint="eastAsia" w:ascii="宋体" w:hAnsi="宋体"/>
          <w:color w:val="auto"/>
          <w:sz w:val="28"/>
          <w:szCs w:val="28"/>
        </w:rPr>
        <w:t>MPa的双螺杆空气压缩机，设置10m</w:t>
      </w:r>
      <w:r>
        <w:rPr>
          <w:rFonts w:hint="eastAsia" w:ascii="宋体" w:hAnsi="宋体"/>
          <w:color w:val="auto"/>
          <w:sz w:val="28"/>
          <w:szCs w:val="28"/>
          <w:vertAlign w:val="superscript"/>
        </w:rPr>
        <w:t>3</w:t>
      </w:r>
      <w:r>
        <w:rPr>
          <w:rFonts w:hint="eastAsia" w:ascii="宋体" w:hAnsi="宋体"/>
          <w:color w:val="auto"/>
          <w:sz w:val="28"/>
          <w:szCs w:val="28"/>
        </w:rPr>
        <w:t>储气罐1台。车间内及厂区压缩空气管道沿墙或柱架空敷设，压缩空气管网的设计压力为1.0MPa。压缩空气管道采用不锈钢无缝钢管。压缩空气总量5Nm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min，仪表用气量8 Nm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min，压缩空气站设在公用工程车间。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该项目拟设置2台制氮机，制氮机产能</w:t>
      </w:r>
      <w:r>
        <w:rPr>
          <w:rFonts w:ascii="宋体" w:hAnsi="宋体"/>
          <w:color w:val="auto"/>
          <w:sz w:val="28"/>
          <w:szCs w:val="28"/>
        </w:rPr>
        <w:t>100Nm³/h</w:t>
      </w:r>
      <w:r>
        <w:rPr>
          <w:rFonts w:hint="eastAsia" w:ascii="宋体" w:hAnsi="宋体"/>
          <w:color w:val="auto"/>
          <w:sz w:val="28"/>
          <w:szCs w:val="28"/>
        </w:rPr>
        <w:t>,</w:t>
      </w:r>
      <w:r>
        <w:rPr>
          <w:rFonts w:ascii="宋体" w:hAnsi="宋体"/>
          <w:color w:val="auto"/>
          <w:sz w:val="28"/>
          <w:szCs w:val="28"/>
        </w:rPr>
        <w:t>0.</w:t>
      </w:r>
      <w:r>
        <w:rPr>
          <w:rFonts w:hint="eastAsia" w:ascii="宋体" w:hAnsi="宋体"/>
          <w:color w:val="auto"/>
          <w:sz w:val="28"/>
          <w:szCs w:val="28"/>
        </w:rPr>
        <w:t>8MPa，并设置2台10m</w:t>
      </w:r>
      <w:r>
        <w:rPr>
          <w:rFonts w:ascii="宋体" w:hAnsi="宋体"/>
          <w:color w:val="auto"/>
          <w:sz w:val="28"/>
          <w:szCs w:val="28"/>
          <w:vertAlign w:val="superscript"/>
        </w:rPr>
        <w:t>3</w:t>
      </w:r>
      <w:r>
        <w:rPr>
          <w:rFonts w:hint="eastAsia" w:ascii="宋体" w:hAnsi="宋体"/>
          <w:color w:val="auto"/>
          <w:sz w:val="28"/>
          <w:szCs w:val="28"/>
        </w:rPr>
        <w:t>氮气储罐</w:t>
      </w:r>
      <w:r>
        <w:rPr>
          <w:rFonts w:ascii="宋体" w:hAnsi="宋体"/>
          <w:color w:val="auto"/>
          <w:sz w:val="28"/>
          <w:szCs w:val="28"/>
        </w:rPr>
        <w:t>。</w:t>
      </w:r>
      <w:r>
        <w:rPr>
          <w:rFonts w:hint="eastAsia" w:ascii="宋体" w:hAnsi="宋体"/>
          <w:color w:val="auto"/>
          <w:sz w:val="28"/>
          <w:szCs w:val="28"/>
        </w:rPr>
        <w:t>该</w:t>
      </w:r>
      <w:r>
        <w:rPr>
          <w:rFonts w:ascii="宋体" w:hAnsi="宋体"/>
          <w:color w:val="auto"/>
          <w:sz w:val="28"/>
          <w:szCs w:val="28"/>
        </w:rPr>
        <w:t>项目所需氮气的量为</w:t>
      </w:r>
      <w:r>
        <w:rPr>
          <w:rFonts w:hint="eastAsia" w:ascii="宋体" w:hAnsi="宋体"/>
          <w:color w:val="auto"/>
          <w:sz w:val="28"/>
          <w:szCs w:val="28"/>
        </w:rPr>
        <w:t>80</w:t>
      </w:r>
      <w:r>
        <w:rPr>
          <w:rFonts w:ascii="宋体" w:hAnsi="宋体"/>
          <w:color w:val="auto"/>
          <w:sz w:val="28"/>
          <w:szCs w:val="28"/>
        </w:rPr>
        <w:t>Nm³/h，</w:t>
      </w:r>
      <w:r>
        <w:rPr>
          <w:rFonts w:hint="eastAsia" w:ascii="宋体" w:hAnsi="宋体"/>
          <w:color w:val="auto"/>
          <w:sz w:val="28"/>
          <w:szCs w:val="28"/>
        </w:rPr>
        <w:t>氮气供应</w:t>
      </w:r>
      <w:r>
        <w:rPr>
          <w:rFonts w:ascii="宋体" w:hAnsi="宋体"/>
          <w:color w:val="auto"/>
          <w:sz w:val="28"/>
          <w:szCs w:val="28"/>
        </w:rPr>
        <w:t>能力能满足</w:t>
      </w:r>
      <w:r>
        <w:rPr>
          <w:rFonts w:hint="eastAsia" w:ascii="宋体" w:hAnsi="宋体"/>
          <w:color w:val="auto"/>
          <w:sz w:val="28"/>
          <w:szCs w:val="28"/>
        </w:rPr>
        <w:t>该</w:t>
      </w:r>
      <w:r>
        <w:rPr>
          <w:rFonts w:ascii="宋体" w:hAnsi="宋体"/>
          <w:color w:val="auto"/>
          <w:sz w:val="28"/>
          <w:szCs w:val="28"/>
        </w:rPr>
        <w:t>项目需要。</w:t>
      </w:r>
    </w:p>
    <w:p>
      <w:pPr>
        <w:spacing w:line="360" w:lineRule="auto"/>
        <w:ind w:firstLine="560" w:firstLineChars="200"/>
        <w:rPr>
          <w:color w:val="auto"/>
        </w:rPr>
      </w:pPr>
      <w:r>
        <w:rPr>
          <w:rFonts w:hint="eastAsia" w:ascii="宋体" w:hAnsi="宋体"/>
          <w:color w:val="auto"/>
          <w:sz w:val="28"/>
          <w:szCs w:val="28"/>
        </w:rPr>
        <w:t>工艺用液氮所需用量为0</w:t>
      </w:r>
      <w:r>
        <w:rPr>
          <w:rFonts w:ascii="宋体" w:hAnsi="宋体"/>
          <w:color w:val="auto"/>
          <w:sz w:val="28"/>
          <w:szCs w:val="28"/>
        </w:rPr>
        <w:t>.</w:t>
      </w:r>
      <w:r>
        <w:rPr>
          <w:rFonts w:hint="eastAsia" w:ascii="宋体" w:hAnsi="宋体"/>
          <w:color w:val="auto"/>
          <w:sz w:val="28"/>
          <w:szCs w:val="28"/>
          <w:lang w:val="en-US" w:eastAsia="zh-CN"/>
        </w:rPr>
        <w:t>5</w:t>
      </w:r>
      <w:r>
        <w:rPr>
          <w:rFonts w:hint="eastAsia" w:ascii="宋体" w:hAnsi="宋体"/>
          <w:color w:val="auto"/>
          <w:sz w:val="28"/>
          <w:szCs w:val="28"/>
        </w:rPr>
        <w:t>m³</w:t>
      </w:r>
      <w:r>
        <w:rPr>
          <w:rFonts w:ascii="宋体" w:hAnsi="宋体"/>
          <w:color w:val="auto"/>
          <w:sz w:val="28"/>
          <w:szCs w:val="28"/>
        </w:rPr>
        <w:t>/</w:t>
      </w:r>
      <w:r>
        <w:rPr>
          <w:rFonts w:hint="eastAsia" w:ascii="宋体" w:hAnsi="宋体"/>
          <w:color w:val="auto"/>
          <w:sz w:val="28"/>
          <w:szCs w:val="28"/>
        </w:rPr>
        <w:t>h，该项目拟设置</w:t>
      </w:r>
      <w:r>
        <w:rPr>
          <w:rFonts w:hint="eastAsia" w:ascii="宋体" w:hAnsi="宋体"/>
          <w:color w:val="auto"/>
          <w:sz w:val="28"/>
          <w:szCs w:val="28"/>
          <w:lang w:val="en-US" w:eastAsia="zh-CN"/>
        </w:rPr>
        <w:t>1</w:t>
      </w:r>
      <w:r>
        <w:rPr>
          <w:rFonts w:hint="eastAsia" w:ascii="宋体" w:hAnsi="宋体"/>
          <w:color w:val="auto"/>
          <w:sz w:val="28"/>
          <w:szCs w:val="28"/>
        </w:rPr>
        <w:t>台</w:t>
      </w:r>
      <w:r>
        <w:rPr>
          <w:rFonts w:hint="eastAsia" w:ascii="宋体" w:hAnsi="宋体"/>
          <w:color w:val="auto"/>
          <w:sz w:val="28"/>
          <w:szCs w:val="28"/>
          <w:lang w:val="en-US" w:eastAsia="zh-CN"/>
        </w:rPr>
        <w:t>10</w:t>
      </w:r>
      <w:r>
        <w:rPr>
          <w:rFonts w:hint="eastAsia" w:ascii="宋体" w:hAnsi="宋体"/>
          <w:color w:val="auto"/>
          <w:sz w:val="28"/>
          <w:szCs w:val="28"/>
        </w:rPr>
        <w:t>t的液氮罐，液氮可供使用</w:t>
      </w:r>
      <w:r>
        <w:rPr>
          <w:rFonts w:hint="eastAsia" w:ascii="宋体" w:hAnsi="宋体"/>
          <w:color w:val="auto"/>
          <w:sz w:val="28"/>
          <w:szCs w:val="28"/>
          <w:lang w:val="en-US" w:eastAsia="zh-CN"/>
        </w:rPr>
        <w:t>7</w:t>
      </w:r>
      <w:r>
        <w:rPr>
          <w:rFonts w:hint="eastAsia" w:ascii="宋体" w:hAnsi="宋体"/>
          <w:color w:val="auto"/>
          <w:sz w:val="28"/>
          <w:szCs w:val="28"/>
        </w:rPr>
        <w:t>天以上。</w:t>
      </w:r>
    </w:p>
    <w:p>
      <w:pPr>
        <w:keepNext/>
        <w:keepLines/>
        <w:tabs>
          <w:tab w:val="left" w:pos="3165"/>
        </w:tabs>
        <w:spacing w:line="600" w:lineRule="exact"/>
        <w:jc w:val="left"/>
        <w:outlineLvl w:val="2"/>
        <w:rPr>
          <w:b/>
          <w:color w:val="auto"/>
          <w:sz w:val="28"/>
          <w:szCs w:val="32"/>
        </w:rPr>
      </w:pPr>
      <w:bookmarkStart w:id="55" w:name="_Toc144109162"/>
      <w:r>
        <w:rPr>
          <w:rFonts w:hint="eastAsia"/>
          <w:b/>
          <w:color w:val="auto"/>
          <w:sz w:val="28"/>
          <w:szCs w:val="32"/>
        </w:rPr>
        <w:t>2.</w:t>
      </w:r>
      <w:r>
        <w:rPr>
          <w:b/>
          <w:color w:val="auto"/>
          <w:sz w:val="28"/>
          <w:szCs w:val="32"/>
        </w:rPr>
        <w:t>7</w:t>
      </w:r>
      <w:r>
        <w:rPr>
          <w:rFonts w:hint="eastAsia"/>
          <w:b/>
          <w:color w:val="auto"/>
          <w:sz w:val="28"/>
          <w:szCs w:val="32"/>
        </w:rPr>
        <w:t>.</w:t>
      </w:r>
      <w:r>
        <w:rPr>
          <w:b/>
          <w:color w:val="auto"/>
          <w:sz w:val="28"/>
          <w:szCs w:val="32"/>
        </w:rPr>
        <w:t>6</w:t>
      </w:r>
      <w:r>
        <w:rPr>
          <w:rFonts w:hint="eastAsia"/>
          <w:b/>
          <w:color w:val="auto"/>
          <w:sz w:val="28"/>
          <w:szCs w:val="32"/>
        </w:rPr>
        <w:t xml:space="preserve"> 通风</w:t>
      </w:r>
      <w:bookmarkEnd w:id="55"/>
    </w:p>
    <w:bookmarkEnd w:id="48"/>
    <w:bookmarkEnd w:id="49"/>
    <w:bookmarkEnd w:id="50"/>
    <w:bookmarkEnd w:id="51"/>
    <w:bookmarkEnd w:id="52"/>
    <w:bookmarkEnd w:id="53"/>
    <w:bookmarkEnd w:id="54"/>
    <w:p>
      <w:pPr>
        <w:spacing w:line="540" w:lineRule="exact"/>
        <w:ind w:firstLine="560" w:firstLineChars="200"/>
        <w:rPr>
          <w:color w:val="auto"/>
          <w:sz w:val="28"/>
        </w:rPr>
      </w:pPr>
      <w:r>
        <w:rPr>
          <w:color w:val="auto"/>
          <w:sz w:val="28"/>
        </w:rPr>
        <w:t>1）除尘设计方案</w:t>
      </w:r>
    </w:p>
    <w:p>
      <w:pPr>
        <w:spacing w:line="540" w:lineRule="exact"/>
        <w:ind w:firstLine="560" w:firstLineChars="200"/>
        <w:rPr>
          <w:color w:val="auto"/>
          <w:sz w:val="28"/>
          <w:szCs w:val="28"/>
        </w:rPr>
      </w:pPr>
      <w:r>
        <w:rPr>
          <w:color w:val="auto"/>
          <w:sz w:val="28"/>
          <w:szCs w:val="28"/>
        </w:rPr>
        <w:t>干燥包装生产线的产量、包装的产尘点设置除尘罩，除尘机组就近设置，除尘罩排风经除尘机组除尘并经机组高效过滤器过滤后排放。</w:t>
      </w:r>
    </w:p>
    <w:p>
      <w:pPr>
        <w:spacing w:line="540" w:lineRule="exact"/>
        <w:ind w:firstLine="560" w:firstLineChars="200"/>
        <w:rPr>
          <w:color w:val="auto"/>
          <w:sz w:val="28"/>
        </w:rPr>
      </w:pPr>
      <w:r>
        <w:rPr>
          <w:color w:val="auto"/>
          <w:sz w:val="28"/>
        </w:rPr>
        <w:t>2）通风</w:t>
      </w:r>
    </w:p>
    <w:p>
      <w:pPr>
        <w:spacing w:line="540" w:lineRule="exact"/>
        <w:ind w:firstLine="570"/>
        <w:rPr>
          <w:color w:val="auto"/>
          <w:sz w:val="28"/>
        </w:rPr>
      </w:pPr>
      <w:r>
        <w:rPr>
          <w:color w:val="auto"/>
          <w:sz w:val="28"/>
        </w:rPr>
        <w:t>甲类生产车间全面排风量的分配符合下列要求：放散气体或蒸汽比室内空气轻，或虽然比室内空气重，但厂房内放散的显热全年能形成稳定的上升气流时，从上部地带排出总风量的2/3，下部排出1/3；放散气体或蒸汽比室内空气重，且厂房内放散的显热不致形成稳定的上升气流或放散易挥发的液体，在挥发时吸收空气中热量致使气体或蒸汽沉聚在下部时，从下部地带排出总风量的2/3，上部排除1/3。</w:t>
      </w:r>
    </w:p>
    <w:p>
      <w:pPr>
        <w:spacing w:line="540" w:lineRule="exact"/>
        <w:ind w:firstLine="570"/>
        <w:rPr>
          <w:color w:val="auto"/>
          <w:sz w:val="28"/>
        </w:rPr>
      </w:pPr>
      <w:r>
        <w:rPr>
          <w:color w:val="auto"/>
          <w:sz w:val="28"/>
        </w:rPr>
        <w:t>甲类生产车间</w:t>
      </w:r>
      <w:r>
        <w:rPr>
          <w:rFonts w:hint="eastAsia"/>
          <w:color w:val="auto"/>
          <w:sz w:val="28"/>
        </w:rPr>
        <w:t>、仓库</w:t>
      </w:r>
      <w:r>
        <w:rPr>
          <w:color w:val="auto"/>
          <w:sz w:val="28"/>
        </w:rPr>
        <w:t>通风考虑机械通风，设机械排风、自然补风；风机选用防爆边墙轴流风机，在侧墙上、下部分别设置防爆边墙轴流风机进行排风。</w:t>
      </w:r>
    </w:p>
    <w:p>
      <w:pPr>
        <w:spacing w:line="360" w:lineRule="auto"/>
        <w:ind w:firstLine="560" w:firstLineChars="200"/>
        <w:rPr>
          <w:rFonts w:ascii="宋体" w:hAnsi="宋体"/>
          <w:bCs/>
          <w:color w:val="auto"/>
          <w:kern w:val="0"/>
          <w:sz w:val="28"/>
          <w:szCs w:val="28"/>
        </w:rPr>
      </w:pPr>
      <w:r>
        <w:rPr>
          <w:color w:val="auto"/>
          <w:sz w:val="28"/>
        </w:rPr>
        <w:t>其它丙类厂房、仓库、动力房的通风考虑机械通风；机械排风，自然补风；风机选用边墙轴流风机，在侧墙上部设置边墙轴流风机进行排风。</w:t>
      </w:r>
    </w:p>
    <w:p>
      <w:pPr>
        <w:keepNext/>
        <w:keepLines/>
        <w:tabs>
          <w:tab w:val="left" w:pos="3165"/>
        </w:tabs>
        <w:spacing w:line="600" w:lineRule="exact"/>
        <w:jc w:val="left"/>
        <w:outlineLvl w:val="2"/>
        <w:rPr>
          <w:b/>
          <w:color w:val="auto"/>
          <w:sz w:val="28"/>
          <w:szCs w:val="32"/>
        </w:rPr>
      </w:pPr>
      <w:bookmarkStart w:id="56" w:name="_Toc144109163"/>
      <w:r>
        <w:rPr>
          <w:rFonts w:hint="eastAsia"/>
          <w:b/>
          <w:color w:val="auto"/>
          <w:sz w:val="28"/>
          <w:szCs w:val="32"/>
        </w:rPr>
        <w:t>2.</w:t>
      </w:r>
      <w:r>
        <w:rPr>
          <w:b/>
          <w:color w:val="auto"/>
          <w:sz w:val="28"/>
          <w:szCs w:val="32"/>
        </w:rPr>
        <w:t>7</w:t>
      </w:r>
      <w:r>
        <w:rPr>
          <w:rFonts w:hint="eastAsia"/>
          <w:b/>
          <w:color w:val="auto"/>
          <w:sz w:val="28"/>
          <w:szCs w:val="32"/>
        </w:rPr>
        <w:t>.</w:t>
      </w:r>
      <w:r>
        <w:rPr>
          <w:b/>
          <w:color w:val="auto"/>
          <w:sz w:val="28"/>
          <w:szCs w:val="32"/>
        </w:rPr>
        <w:t>7</w:t>
      </w:r>
      <w:r>
        <w:rPr>
          <w:rFonts w:hint="eastAsia"/>
          <w:b/>
          <w:color w:val="auto"/>
          <w:sz w:val="28"/>
          <w:szCs w:val="32"/>
        </w:rPr>
        <w:t xml:space="preserve"> 消防</w:t>
      </w:r>
      <w:bookmarkEnd w:id="56"/>
    </w:p>
    <w:p>
      <w:pPr>
        <w:ind w:firstLine="560" w:firstLineChars="200"/>
        <w:rPr>
          <w:color w:val="auto"/>
        </w:rPr>
      </w:pPr>
      <w:r>
        <w:rPr>
          <w:rFonts w:hint="eastAsia" w:ascii="宋体" w:hAnsi="宋体"/>
          <w:color w:val="auto"/>
          <w:sz w:val="28"/>
          <w:szCs w:val="28"/>
        </w:rPr>
        <w:t>1）该项目厂址坐落在江西省吉安市新干县盐化工业城内，厂址距新干县消防救援大队距离约</w:t>
      </w:r>
      <w:r>
        <w:rPr>
          <w:color w:val="auto"/>
          <w:sz w:val="28"/>
          <w:szCs w:val="28"/>
        </w:rPr>
        <w:t>12</w:t>
      </w:r>
      <w:r>
        <w:rPr>
          <w:rFonts w:hint="eastAsia"/>
          <w:color w:val="auto"/>
          <w:sz w:val="28"/>
          <w:szCs w:val="28"/>
        </w:rPr>
        <w:t>km</w:t>
      </w:r>
      <w:r>
        <w:rPr>
          <w:rFonts w:hint="eastAsia" w:ascii="宋体" w:hAnsi="宋体"/>
          <w:color w:val="auto"/>
          <w:sz w:val="28"/>
          <w:szCs w:val="28"/>
        </w:rPr>
        <w:t>，最快行驶时间约</w:t>
      </w:r>
      <w:r>
        <w:rPr>
          <w:color w:val="auto"/>
          <w:sz w:val="28"/>
          <w:szCs w:val="28"/>
        </w:rPr>
        <w:t>17</w:t>
      </w:r>
      <w:r>
        <w:rPr>
          <w:rFonts w:hint="eastAsia" w:ascii="宋体" w:hAnsi="宋体"/>
          <w:color w:val="auto"/>
          <w:sz w:val="28"/>
          <w:szCs w:val="28"/>
        </w:rPr>
        <w:t>分钟。</w:t>
      </w:r>
    </w:p>
    <w:p>
      <w:pPr>
        <w:spacing w:line="360" w:lineRule="auto"/>
        <w:ind w:firstLine="560" w:firstLineChars="200"/>
        <w:jc w:val="left"/>
        <w:rPr>
          <w:color w:val="auto"/>
          <w:sz w:val="28"/>
          <w:szCs w:val="28"/>
        </w:rPr>
      </w:pPr>
      <w:r>
        <w:rPr>
          <w:rFonts w:hint="eastAsia" w:ascii="宋体" w:hAnsi="宋体"/>
          <w:color w:val="auto"/>
          <w:sz w:val="28"/>
          <w:szCs w:val="28"/>
        </w:rPr>
        <w:t>2）厂区道路根据运输需要和消防要求进行设计。每个台阶都有双车道道路与外界联系，保证消防车能方便、顺利地进出。厂区建构筑四周都设有环形消防道路，确保消防车能在建筑物不同方向进行扑救活动。</w:t>
      </w:r>
    </w:p>
    <w:p>
      <w:pPr>
        <w:ind w:firstLine="560" w:firstLineChars="200"/>
        <w:rPr>
          <w:rFonts w:ascii="宋体" w:hAnsi="宋体"/>
          <w:color w:val="auto"/>
          <w:sz w:val="28"/>
          <w:szCs w:val="28"/>
        </w:rPr>
      </w:pPr>
      <w:r>
        <w:rPr>
          <w:rFonts w:hint="eastAsia" w:ascii="宋体" w:hAnsi="宋体"/>
          <w:color w:val="auto"/>
          <w:sz w:val="28"/>
          <w:szCs w:val="28"/>
        </w:rPr>
        <w:t>场内</w:t>
      </w:r>
      <w:r>
        <w:rPr>
          <w:rFonts w:ascii="宋体" w:hAnsi="宋体"/>
          <w:color w:val="auto"/>
          <w:sz w:val="28"/>
          <w:szCs w:val="28"/>
        </w:rPr>
        <w:t>道路成环行布置，其宽度分别为：8米、7.5米、6米，主要道路的转弯半径为9米，能满足事故时消防车辆的出入及人员疏散要求。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3）消防水系统</w:t>
      </w:r>
    </w:p>
    <w:p>
      <w:pPr>
        <w:spacing w:line="360" w:lineRule="auto"/>
        <w:ind w:firstLine="560" w:firstLineChars="200"/>
        <w:rPr>
          <w:rFonts w:ascii="宋体" w:hAnsi="宋体"/>
          <w:color w:val="auto"/>
          <w:sz w:val="28"/>
          <w:szCs w:val="28"/>
        </w:rPr>
      </w:pPr>
      <w:r>
        <w:rPr>
          <w:rFonts w:ascii="宋体" w:hAnsi="宋体"/>
          <w:color w:val="auto"/>
          <w:sz w:val="28"/>
          <w:szCs w:val="28"/>
        </w:rPr>
        <w:t>消防用水量</w:t>
      </w:r>
    </w:p>
    <w:p>
      <w:pPr>
        <w:spacing w:line="360" w:lineRule="auto"/>
        <w:ind w:firstLine="560" w:firstLineChars="200"/>
        <w:rPr>
          <w:rFonts w:ascii="宋体" w:hAnsi="宋体"/>
          <w:color w:val="auto"/>
          <w:sz w:val="28"/>
          <w:szCs w:val="28"/>
        </w:rPr>
      </w:pPr>
      <w:r>
        <w:rPr>
          <w:rFonts w:ascii="宋体" w:hAnsi="宋体"/>
          <w:color w:val="auto"/>
          <w:sz w:val="28"/>
          <w:szCs w:val="28"/>
        </w:rPr>
        <w:t>根据《消防给水及消火栓系统技术规范》</w:t>
      </w:r>
      <w:r>
        <w:rPr>
          <w:rFonts w:hint="eastAsia" w:ascii="宋体" w:hAnsi="宋体"/>
          <w:color w:val="auto"/>
          <w:sz w:val="28"/>
          <w:szCs w:val="28"/>
        </w:rPr>
        <w:t>3</w:t>
      </w:r>
      <w:r>
        <w:rPr>
          <w:rFonts w:ascii="宋体" w:hAnsi="宋体"/>
          <w:color w:val="auto"/>
          <w:sz w:val="28"/>
          <w:szCs w:val="28"/>
        </w:rPr>
        <w:t>.1.1</w:t>
      </w:r>
      <w:r>
        <w:rPr>
          <w:rFonts w:hint="eastAsia" w:ascii="宋体" w:hAnsi="宋体"/>
          <w:color w:val="auto"/>
          <w:sz w:val="28"/>
          <w:szCs w:val="28"/>
        </w:rPr>
        <w:t>条</w:t>
      </w:r>
      <w:r>
        <w:rPr>
          <w:rFonts w:ascii="宋体" w:hAnsi="宋体"/>
          <w:color w:val="auto"/>
          <w:sz w:val="28"/>
          <w:szCs w:val="28"/>
        </w:rPr>
        <w:t>，</w:t>
      </w:r>
      <w:r>
        <w:rPr>
          <w:rFonts w:hint="eastAsia" w:ascii="宋体" w:hAnsi="宋体"/>
          <w:color w:val="auto"/>
          <w:sz w:val="28"/>
          <w:szCs w:val="28"/>
        </w:rPr>
        <w:t>该项目厂区占地面积为3</w:t>
      </w:r>
      <w:r>
        <w:rPr>
          <w:rFonts w:ascii="宋体" w:hAnsi="宋体"/>
          <w:color w:val="auto"/>
          <w:sz w:val="28"/>
          <w:szCs w:val="28"/>
        </w:rPr>
        <w:t>2413.79</w:t>
      </w:r>
      <w:r>
        <w:rPr>
          <w:rFonts w:hint="eastAsia" w:ascii="宋体" w:hAnsi="宋体"/>
          <w:color w:val="auto"/>
          <w:sz w:val="28"/>
          <w:szCs w:val="28"/>
        </w:rPr>
        <w:t>m</w:t>
      </w:r>
      <w:r>
        <w:rPr>
          <w:rFonts w:ascii="宋体" w:hAnsi="宋体"/>
          <w:color w:val="auto"/>
          <w:sz w:val="28"/>
          <w:szCs w:val="28"/>
        </w:rPr>
        <w:t>2</w:t>
      </w:r>
      <w:r>
        <w:rPr>
          <w:rFonts w:hint="eastAsia" w:ascii="宋体" w:hAnsi="宋体"/>
          <w:color w:val="auto"/>
          <w:sz w:val="28"/>
          <w:szCs w:val="28"/>
        </w:rPr>
        <w:t>，小于1</w:t>
      </w:r>
      <w:r>
        <w:rPr>
          <w:rFonts w:ascii="宋体" w:hAnsi="宋体"/>
          <w:color w:val="auto"/>
          <w:sz w:val="28"/>
          <w:szCs w:val="28"/>
        </w:rPr>
        <w:t>00</w:t>
      </w:r>
      <w:r>
        <w:rPr>
          <w:rFonts w:hint="eastAsia" w:ascii="宋体" w:hAnsi="宋体"/>
          <w:color w:val="auto"/>
          <w:sz w:val="28"/>
          <w:szCs w:val="28"/>
        </w:rPr>
        <w:t>hm</w:t>
      </w:r>
      <w:r>
        <w:rPr>
          <w:rFonts w:ascii="宋体" w:hAnsi="宋体"/>
          <w:color w:val="auto"/>
          <w:sz w:val="28"/>
          <w:szCs w:val="28"/>
        </w:rPr>
        <w:t>2</w:t>
      </w:r>
      <w:r>
        <w:rPr>
          <w:rFonts w:hint="eastAsia" w:ascii="宋体" w:hAnsi="宋体"/>
          <w:color w:val="auto"/>
          <w:sz w:val="28"/>
          <w:szCs w:val="28"/>
        </w:rPr>
        <w:t>。因此</w:t>
      </w:r>
      <w:r>
        <w:rPr>
          <w:rFonts w:ascii="宋体" w:hAnsi="宋体"/>
          <w:color w:val="auto"/>
          <w:sz w:val="28"/>
          <w:szCs w:val="28"/>
        </w:rPr>
        <w:t>同一时间内的火灾次数为一次。</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该项目火灾用水量最大的建筑物为1</w:t>
      </w:r>
      <w:r>
        <w:rPr>
          <w:rFonts w:ascii="宋体" w:hAnsi="宋体"/>
          <w:color w:val="auto"/>
          <w:sz w:val="28"/>
          <w:szCs w:val="28"/>
        </w:rPr>
        <w:t>03</w:t>
      </w:r>
      <w:r>
        <w:rPr>
          <w:rFonts w:hint="eastAsia" w:ascii="宋体" w:hAnsi="宋体"/>
          <w:color w:val="auto"/>
          <w:sz w:val="28"/>
          <w:szCs w:val="28"/>
        </w:rPr>
        <w:t>液体制剂车间，1</w:t>
      </w:r>
      <w:r>
        <w:rPr>
          <w:rFonts w:ascii="宋体" w:hAnsi="宋体"/>
          <w:color w:val="auto"/>
          <w:sz w:val="28"/>
          <w:szCs w:val="28"/>
        </w:rPr>
        <w:t>03</w:t>
      </w:r>
      <w:r>
        <w:rPr>
          <w:rFonts w:hint="eastAsia" w:ascii="宋体" w:hAnsi="宋体"/>
          <w:color w:val="auto"/>
          <w:sz w:val="28"/>
          <w:szCs w:val="28"/>
        </w:rPr>
        <w:t>液体制剂车间</w:t>
      </w:r>
      <w:r>
        <w:rPr>
          <w:rFonts w:ascii="宋体" w:hAnsi="宋体"/>
          <w:color w:val="auto"/>
          <w:sz w:val="28"/>
          <w:szCs w:val="28"/>
        </w:rPr>
        <w:t>火灾危险类别为</w:t>
      </w:r>
      <w:r>
        <w:rPr>
          <w:rFonts w:hint="eastAsia" w:ascii="宋体" w:hAnsi="宋体"/>
          <w:color w:val="auto"/>
          <w:sz w:val="28"/>
          <w:szCs w:val="28"/>
        </w:rPr>
        <w:t>丙</w:t>
      </w:r>
      <w:r>
        <w:rPr>
          <w:rFonts w:ascii="宋体" w:hAnsi="宋体"/>
          <w:color w:val="auto"/>
          <w:sz w:val="28"/>
          <w:szCs w:val="28"/>
        </w:rPr>
        <w:t>类，占地面积为1280.4m²，</w:t>
      </w:r>
      <w:r>
        <w:rPr>
          <w:rFonts w:hint="eastAsia" w:ascii="宋体" w:hAnsi="宋体"/>
          <w:color w:val="auto"/>
          <w:sz w:val="28"/>
          <w:szCs w:val="28"/>
        </w:rPr>
        <w:t>层高</w:t>
      </w:r>
      <w:r>
        <w:rPr>
          <w:rFonts w:hint="eastAsia" w:ascii="宋体" w:hAnsi="宋体"/>
          <w:color w:val="auto"/>
          <w:sz w:val="28"/>
          <w:szCs w:val="28"/>
          <w:lang w:val="en-US" w:eastAsia="zh-CN"/>
        </w:rPr>
        <w:t>5</w:t>
      </w:r>
      <w:r>
        <w:rPr>
          <w:rFonts w:hint="eastAsia" w:ascii="宋体" w:hAnsi="宋体"/>
          <w:color w:val="auto"/>
          <w:sz w:val="28"/>
          <w:szCs w:val="28"/>
        </w:rPr>
        <w:t>层，</w:t>
      </w:r>
      <w:r>
        <w:rPr>
          <w:rFonts w:ascii="宋体" w:hAnsi="宋体"/>
          <w:color w:val="auto"/>
          <w:sz w:val="28"/>
          <w:szCs w:val="28"/>
        </w:rPr>
        <w:t>建筑</w:t>
      </w:r>
      <w:r>
        <w:rPr>
          <w:rFonts w:hint="eastAsia" w:ascii="宋体" w:hAnsi="宋体"/>
          <w:color w:val="auto"/>
          <w:sz w:val="28"/>
          <w:szCs w:val="28"/>
        </w:rPr>
        <w:t>高</w:t>
      </w:r>
      <w:r>
        <w:rPr>
          <w:rFonts w:ascii="宋体" w:hAnsi="宋体"/>
          <w:color w:val="auto"/>
          <w:sz w:val="28"/>
          <w:szCs w:val="28"/>
        </w:rPr>
        <w:t>度</w:t>
      </w:r>
      <w:r>
        <w:rPr>
          <w:rFonts w:hint="eastAsia" w:ascii="宋体" w:hAnsi="宋体"/>
          <w:color w:val="auto"/>
          <w:sz w:val="28"/>
          <w:szCs w:val="28"/>
        </w:rPr>
        <w:t>约</w:t>
      </w:r>
      <w:r>
        <w:rPr>
          <w:rFonts w:hint="eastAsia" w:ascii="宋体" w:hAnsi="宋体"/>
          <w:color w:val="auto"/>
          <w:sz w:val="28"/>
          <w:szCs w:val="28"/>
          <w:lang w:val="en-US" w:eastAsia="zh-CN"/>
        </w:rPr>
        <w:t>23.3</w:t>
      </w:r>
      <w:r>
        <w:rPr>
          <w:rFonts w:ascii="宋体" w:hAnsi="宋体"/>
          <w:color w:val="auto"/>
          <w:sz w:val="28"/>
          <w:szCs w:val="28"/>
        </w:rPr>
        <w:t>m，体积V=1280.4×</w:t>
      </w:r>
      <w:r>
        <w:rPr>
          <w:rFonts w:hint="eastAsia" w:ascii="宋体" w:hAnsi="宋体"/>
          <w:color w:val="auto"/>
          <w:sz w:val="28"/>
          <w:szCs w:val="28"/>
          <w:lang w:val="en-US" w:eastAsia="zh-CN"/>
        </w:rPr>
        <w:t>23.3</w:t>
      </w:r>
      <w:r>
        <w:rPr>
          <w:rFonts w:ascii="宋体" w:hAnsi="宋体"/>
          <w:color w:val="auto"/>
          <w:sz w:val="28"/>
          <w:szCs w:val="28"/>
        </w:rPr>
        <w:t>=</w:t>
      </w:r>
      <w:r>
        <w:rPr>
          <w:rFonts w:hint="eastAsia" w:ascii="宋体" w:hAnsi="宋体"/>
          <w:color w:val="auto"/>
          <w:sz w:val="28"/>
          <w:szCs w:val="28"/>
          <w:lang w:val="en-US" w:eastAsia="zh-CN"/>
        </w:rPr>
        <w:t>29833.32</w:t>
      </w:r>
      <w:r>
        <w:rPr>
          <w:rFonts w:ascii="宋体" w:hAnsi="宋体"/>
          <w:color w:val="auto"/>
          <w:sz w:val="28"/>
          <w:szCs w:val="28"/>
        </w:rPr>
        <w:t>m³。根据《消防给水及消火栓系统技术规范》第3.3.2条和第3.5.2条，其室外消火栓用水量为30L/s，室内消火栓用水量2</w:t>
      </w:r>
      <w:r>
        <w:rPr>
          <w:rFonts w:hint="eastAsia" w:ascii="宋体" w:hAnsi="宋体"/>
          <w:color w:val="auto"/>
          <w:sz w:val="28"/>
          <w:szCs w:val="28"/>
        </w:rPr>
        <w:t>0</w:t>
      </w:r>
      <w:r>
        <w:rPr>
          <w:rFonts w:ascii="宋体" w:hAnsi="宋体"/>
          <w:color w:val="auto"/>
          <w:sz w:val="28"/>
          <w:szCs w:val="28"/>
        </w:rPr>
        <w:t>L/s，总消火栓用水流量为50L/s，火灾延续时间为3小时，一次火灾用水量540m³。</w:t>
      </w:r>
    </w:p>
    <w:p>
      <w:pPr>
        <w:ind w:firstLine="560" w:firstLineChars="200"/>
        <w:rPr>
          <w:color w:val="auto"/>
        </w:rPr>
      </w:pPr>
      <w:r>
        <w:rPr>
          <w:rFonts w:hint="eastAsia" w:ascii="宋体" w:hAnsi="宋体"/>
          <w:color w:val="auto"/>
          <w:sz w:val="28"/>
          <w:szCs w:val="28"/>
        </w:rPr>
        <w:t>因此，该</w:t>
      </w:r>
      <w:r>
        <w:rPr>
          <w:rFonts w:ascii="宋体" w:hAnsi="宋体"/>
          <w:color w:val="auto"/>
          <w:sz w:val="28"/>
          <w:szCs w:val="28"/>
        </w:rPr>
        <w:t>项目火灾事故时最大消防水用量为</w:t>
      </w:r>
      <w:r>
        <w:rPr>
          <w:rFonts w:ascii="宋体" w:hAnsi="宋体"/>
          <w:color w:val="auto"/>
          <w:sz w:val="28"/>
          <w:szCs w:val="28"/>
          <w:highlight w:val="none"/>
        </w:rPr>
        <w:t>540m³</w:t>
      </w:r>
      <w:r>
        <w:rPr>
          <w:rFonts w:ascii="宋体" w:hAnsi="宋体"/>
          <w:color w:val="auto"/>
          <w:sz w:val="28"/>
          <w:szCs w:val="28"/>
        </w:rPr>
        <w:t>。</w:t>
      </w:r>
      <w:r>
        <w:rPr>
          <w:rFonts w:hint="eastAsia" w:ascii="宋体" w:hAnsi="宋体"/>
          <w:color w:val="auto"/>
          <w:sz w:val="28"/>
          <w:szCs w:val="28"/>
        </w:rPr>
        <w:t>该</w:t>
      </w:r>
      <w:r>
        <w:rPr>
          <w:rFonts w:ascii="宋体" w:hAnsi="宋体"/>
          <w:color w:val="auto"/>
          <w:sz w:val="28"/>
          <w:szCs w:val="28"/>
        </w:rPr>
        <w:t>项目拟</w:t>
      </w:r>
      <w:r>
        <w:rPr>
          <w:rFonts w:hint="eastAsia" w:ascii="宋体" w:hAnsi="宋体"/>
          <w:color w:val="auto"/>
          <w:sz w:val="28"/>
          <w:szCs w:val="28"/>
        </w:rPr>
        <w:t>在3</w:t>
      </w:r>
      <w:r>
        <w:rPr>
          <w:rFonts w:ascii="宋体" w:hAnsi="宋体"/>
          <w:color w:val="auto"/>
          <w:sz w:val="28"/>
          <w:szCs w:val="28"/>
        </w:rPr>
        <w:t>05</w:t>
      </w:r>
      <w:r>
        <w:rPr>
          <w:rFonts w:hint="eastAsia" w:ascii="宋体" w:hAnsi="宋体"/>
          <w:color w:val="auto"/>
          <w:sz w:val="28"/>
          <w:szCs w:val="28"/>
        </w:rPr>
        <w:t>泵房</w:t>
      </w:r>
      <w:r>
        <w:rPr>
          <w:rFonts w:ascii="宋体" w:hAnsi="宋体"/>
          <w:color w:val="auto"/>
          <w:sz w:val="28"/>
          <w:szCs w:val="28"/>
        </w:rPr>
        <w:t>设</w:t>
      </w:r>
      <w:r>
        <w:rPr>
          <w:rFonts w:hint="eastAsia" w:ascii="宋体" w:hAnsi="宋体"/>
          <w:color w:val="auto"/>
          <w:sz w:val="28"/>
          <w:szCs w:val="28"/>
        </w:rPr>
        <w:t>消防泵两台（一用一备），型号为</w:t>
      </w:r>
      <w:r>
        <w:rPr>
          <w:rFonts w:ascii="宋体" w:hAnsi="宋体"/>
          <w:color w:val="auto"/>
          <w:sz w:val="28"/>
          <w:szCs w:val="28"/>
        </w:rPr>
        <w:t>XBD5.8/50G-FLG</w:t>
      </w:r>
      <w:r>
        <w:rPr>
          <w:rFonts w:hint="eastAsia" w:ascii="宋体" w:hAnsi="宋体"/>
          <w:color w:val="auto"/>
          <w:sz w:val="28"/>
          <w:szCs w:val="28"/>
        </w:rPr>
        <w:t>，</w:t>
      </w:r>
      <w:r>
        <w:rPr>
          <w:rFonts w:ascii="宋体" w:hAnsi="宋体"/>
          <w:color w:val="auto"/>
          <w:sz w:val="28"/>
          <w:szCs w:val="28"/>
        </w:rPr>
        <w:t>Q=</w:t>
      </w:r>
      <w:r>
        <w:rPr>
          <w:rFonts w:hint="eastAsia" w:ascii="宋体" w:hAnsi="宋体"/>
          <w:color w:val="auto"/>
          <w:sz w:val="28"/>
          <w:szCs w:val="28"/>
        </w:rPr>
        <w:t>5</w:t>
      </w:r>
      <w:r>
        <w:rPr>
          <w:rFonts w:ascii="宋体" w:hAnsi="宋体"/>
          <w:color w:val="auto"/>
          <w:sz w:val="28"/>
          <w:szCs w:val="28"/>
        </w:rPr>
        <w:t>0</w:t>
      </w:r>
      <w:r>
        <w:rPr>
          <w:rFonts w:hint="eastAsia" w:ascii="宋体" w:hAnsi="宋体"/>
          <w:color w:val="auto"/>
          <w:sz w:val="28"/>
          <w:szCs w:val="28"/>
        </w:rPr>
        <w:t>L</w:t>
      </w:r>
      <w:r>
        <w:rPr>
          <w:rFonts w:ascii="宋体" w:hAnsi="宋体"/>
          <w:color w:val="auto"/>
          <w:sz w:val="28"/>
          <w:szCs w:val="28"/>
        </w:rPr>
        <w:t>/</w:t>
      </w:r>
      <w:r>
        <w:rPr>
          <w:rFonts w:hint="eastAsia" w:ascii="宋体" w:hAnsi="宋体"/>
          <w:color w:val="auto"/>
          <w:sz w:val="28"/>
          <w:szCs w:val="28"/>
        </w:rPr>
        <w:t>s，P</w:t>
      </w:r>
      <w:r>
        <w:rPr>
          <w:rFonts w:ascii="宋体" w:hAnsi="宋体"/>
          <w:color w:val="auto"/>
          <w:sz w:val="28"/>
          <w:szCs w:val="28"/>
        </w:rPr>
        <w:t>=0.7</w:t>
      </w:r>
      <w:r>
        <w:rPr>
          <w:rFonts w:hint="eastAsia" w:ascii="宋体" w:hAnsi="宋体"/>
          <w:color w:val="auto"/>
          <w:sz w:val="28"/>
          <w:szCs w:val="28"/>
        </w:rPr>
        <w:t>MPa。厂区设有消防水池（</w:t>
      </w:r>
      <w:r>
        <w:rPr>
          <w:rFonts w:ascii="宋体" w:hAnsi="宋体"/>
          <w:color w:val="auto"/>
          <w:sz w:val="28"/>
          <w:szCs w:val="28"/>
        </w:rPr>
        <w:t>540</w:t>
      </w:r>
      <w:r>
        <w:rPr>
          <w:rFonts w:hint="eastAsia" w:ascii="宋体" w:hAnsi="宋体"/>
          <w:color w:val="auto"/>
          <w:sz w:val="28"/>
          <w:szCs w:val="28"/>
        </w:rPr>
        <w:t>m</w:t>
      </w:r>
      <w:r>
        <w:rPr>
          <w:rFonts w:ascii="宋体" w:hAnsi="宋体"/>
          <w:color w:val="auto"/>
          <w:sz w:val="28"/>
          <w:szCs w:val="28"/>
          <w:vertAlign w:val="superscript"/>
        </w:rPr>
        <w:t>3</w:t>
      </w:r>
      <w:r>
        <w:rPr>
          <w:rFonts w:hint="eastAsia" w:ascii="宋体" w:hAnsi="宋体"/>
          <w:color w:val="auto"/>
          <w:sz w:val="28"/>
          <w:szCs w:val="28"/>
        </w:rPr>
        <w:t>）和事故应急池（</w:t>
      </w:r>
      <w:r>
        <w:rPr>
          <w:rFonts w:ascii="宋体" w:hAnsi="宋体"/>
          <w:color w:val="auto"/>
          <w:sz w:val="28"/>
          <w:szCs w:val="28"/>
        </w:rPr>
        <w:t>630</w:t>
      </w:r>
      <w:r>
        <w:rPr>
          <w:rFonts w:hint="eastAsia" w:ascii="宋体" w:hAnsi="宋体"/>
          <w:color w:val="auto"/>
          <w:sz w:val="28"/>
          <w:szCs w:val="28"/>
        </w:rPr>
        <w:t>m</w:t>
      </w:r>
      <w:r>
        <w:rPr>
          <w:rFonts w:hint="eastAsia" w:ascii="宋体" w:hAnsi="宋体"/>
          <w:color w:val="auto"/>
          <w:sz w:val="28"/>
          <w:szCs w:val="28"/>
          <w:vertAlign w:val="superscript"/>
        </w:rPr>
        <w:t>3</w:t>
      </w:r>
      <w:r>
        <w:rPr>
          <w:rFonts w:hint="eastAsia" w:ascii="宋体" w:hAnsi="宋体"/>
          <w:color w:val="auto"/>
          <w:sz w:val="28"/>
          <w:szCs w:val="28"/>
        </w:rPr>
        <w:t>），</w:t>
      </w:r>
      <w:r>
        <w:rPr>
          <w:rFonts w:ascii="宋体" w:hAnsi="宋体"/>
          <w:color w:val="auto"/>
          <w:sz w:val="28"/>
          <w:szCs w:val="28"/>
        </w:rPr>
        <w:t>能满足项目消防供水需求。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该项目消火栓系统采用室内外临时高压，独立管道。该项目室外消火栓给水管在厂区内敷设成环状，室外消火栓给水管上设SS–100室外消火栓，消火栓间距小于1</w:t>
      </w:r>
      <w:r>
        <w:rPr>
          <w:rFonts w:ascii="宋体" w:hAnsi="宋体"/>
          <w:color w:val="auto"/>
          <w:sz w:val="28"/>
          <w:szCs w:val="28"/>
        </w:rPr>
        <w:t>2</w:t>
      </w:r>
      <w:r>
        <w:rPr>
          <w:rFonts w:hint="eastAsia" w:ascii="宋体" w:hAnsi="宋体"/>
          <w:color w:val="auto"/>
          <w:sz w:val="28"/>
          <w:szCs w:val="28"/>
        </w:rPr>
        <w:t>0m。1</w:t>
      </w:r>
      <w:r>
        <w:rPr>
          <w:rFonts w:ascii="宋体" w:hAnsi="宋体"/>
          <w:color w:val="auto"/>
          <w:sz w:val="28"/>
          <w:szCs w:val="28"/>
        </w:rPr>
        <w:t>01</w:t>
      </w:r>
      <w:r>
        <w:rPr>
          <w:rFonts w:hint="eastAsia" w:ascii="宋体" w:hAnsi="宋体"/>
          <w:color w:val="auto"/>
          <w:sz w:val="28"/>
          <w:szCs w:val="28"/>
        </w:rPr>
        <w:t>甲类车间一、</w:t>
      </w:r>
      <w:r>
        <w:rPr>
          <w:rFonts w:ascii="宋体" w:hAnsi="宋体"/>
          <w:color w:val="auto"/>
          <w:sz w:val="28"/>
          <w:szCs w:val="28"/>
        </w:rPr>
        <w:t>102</w:t>
      </w:r>
      <w:r>
        <w:rPr>
          <w:rFonts w:hint="eastAsia" w:ascii="宋体" w:hAnsi="宋体"/>
          <w:color w:val="auto"/>
          <w:sz w:val="28"/>
          <w:szCs w:val="28"/>
        </w:rPr>
        <w:t>甲类车间二（预留）、1</w:t>
      </w:r>
      <w:r>
        <w:rPr>
          <w:rFonts w:ascii="宋体" w:hAnsi="宋体"/>
          <w:color w:val="auto"/>
          <w:sz w:val="28"/>
          <w:szCs w:val="28"/>
        </w:rPr>
        <w:t>03</w:t>
      </w:r>
      <w:r>
        <w:rPr>
          <w:rFonts w:hint="eastAsia" w:ascii="宋体" w:hAnsi="宋体"/>
          <w:color w:val="auto"/>
          <w:sz w:val="28"/>
          <w:szCs w:val="28"/>
        </w:rPr>
        <w:t>液体制剂车间、1</w:t>
      </w:r>
      <w:r>
        <w:rPr>
          <w:rFonts w:ascii="宋体" w:hAnsi="宋体"/>
          <w:color w:val="auto"/>
          <w:sz w:val="28"/>
          <w:szCs w:val="28"/>
        </w:rPr>
        <w:t>04</w:t>
      </w:r>
      <w:r>
        <w:rPr>
          <w:rFonts w:hint="eastAsia" w:ascii="宋体" w:hAnsi="宋体"/>
          <w:color w:val="auto"/>
          <w:sz w:val="28"/>
          <w:szCs w:val="28"/>
        </w:rPr>
        <w:t>颗粒剂车间、2</w:t>
      </w:r>
      <w:r>
        <w:rPr>
          <w:rFonts w:ascii="宋体" w:hAnsi="宋体"/>
          <w:color w:val="auto"/>
          <w:sz w:val="28"/>
          <w:szCs w:val="28"/>
        </w:rPr>
        <w:t>01</w:t>
      </w:r>
      <w:r>
        <w:rPr>
          <w:rFonts w:hint="eastAsia" w:ascii="宋体" w:hAnsi="宋体"/>
          <w:color w:val="auto"/>
          <w:sz w:val="28"/>
          <w:szCs w:val="28"/>
        </w:rPr>
        <w:t>甲类仓库一、2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03</w:t>
      </w:r>
      <w:r>
        <w:rPr>
          <w:rFonts w:hint="eastAsia" w:ascii="宋体" w:hAnsi="宋体"/>
          <w:color w:val="auto"/>
          <w:sz w:val="28"/>
          <w:szCs w:val="28"/>
        </w:rPr>
        <w:t>丙类仓库一等室内按二股水柱同时到达任何部位设置SN65型室内消火栓，室内消火栓系统采用独立消防给水管。2</w:t>
      </w:r>
      <w:r>
        <w:rPr>
          <w:rFonts w:ascii="宋体" w:hAnsi="宋体"/>
          <w:color w:val="auto"/>
          <w:sz w:val="28"/>
          <w:szCs w:val="28"/>
        </w:rPr>
        <w:t>05</w:t>
      </w:r>
      <w:r>
        <w:rPr>
          <w:rFonts w:hint="eastAsia" w:ascii="宋体" w:hAnsi="宋体"/>
          <w:color w:val="auto"/>
          <w:sz w:val="28"/>
          <w:szCs w:val="28"/>
        </w:rPr>
        <w:t>甲类仓库存储的金属锂为遇湿易燃易爆品，因此该库不设置室内消火栓系统，灭火器采用碳酸钠干粉灭火器和消防沙。</w:t>
      </w:r>
    </w:p>
    <w:p>
      <w:pPr>
        <w:pStyle w:val="49"/>
        <w:ind w:firstLine="560" w:firstLineChars="200"/>
        <w:rPr>
          <w:rFonts w:hAnsi="宋体"/>
          <w:color w:val="auto"/>
          <w:sz w:val="28"/>
          <w:szCs w:val="28"/>
        </w:rPr>
      </w:pPr>
      <w:r>
        <w:rPr>
          <w:rFonts w:hint="eastAsia" w:hAnsi="宋体"/>
          <w:color w:val="auto"/>
          <w:sz w:val="28"/>
          <w:szCs w:val="28"/>
        </w:rPr>
        <w:t>根据《建筑灭火器配置设计规范》，该项目按中危险级A类火灾配置一定数量的磷酸铵盐干粉灭火器，单具灭火器最小配置灭火级别为3A，单位灭火级别最大保护面积为75m</w:t>
      </w:r>
      <w:r>
        <w:rPr>
          <w:rFonts w:hint="eastAsia" w:hAnsi="宋体"/>
          <w:color w:val="auto"/>
          <w:sz w:val="28"/>
          <w:szCs w:val="28"/>
          <w:vertAlign w:val="superscript"/>
        </w:rPr>
        <w:t>2</w:t>
      </w:r>
      <w:r>
        <w:rPr>
          <w:rFonts w:hint="eastAsia" w:hAnsi="宋体"/>
          <w:color w:val="auto"/>
          <w:sz w:val="28"/>
          <w:szCs w:val="28"/>
        </w:rPr>
        <w:t>/A，每个设置点设灭火器2具。</w:t>
      </w:r>
    </w:p>
    <w:p>
      <w:pPr>
        <w:pStyle w:val="4"/>
        <w:rPr>
          <w:rFonts w:ascii="Times New Roman" w:hAnsi="Times New Roman" w:cs="Times New Roman"/>
          <w:bCs w:val="0"/>
          <w:color w:val="auto"/>
        </w:rPr>
      </w:pPr>
      <w:bookmarkStart w:id="57" w:name="_Toc144109164"/>
      <w:r>
        <w:rPr>
          <w:rFonts w:hint="eastAsia" w:ascii="Times New Roman" w:hAnsi="Times New Roman" w:cs="Times New Roman"/>
          <w:bCs w:val="0"/>
          <w:color w:val="auto"/>
        </w:rPr>
        <w:t>2</w:t>
      </w:r>
      <w:r>
        <w:rPr>
          <w:rFonts w:ascii="Times New Roman" w:hAnsi="Times New Roman" w:cs="Times New Roman"/>
          <w:bCs w:val="0"/>
          <w:color w:val="auto"/>
        </w:rPr>
        <w:t xml:space="preserve">.8 </w:t>
      </w:r>
      <w:r>
        <w:rPr>
          <w:rFonts w:hint="eastAsia" w:ascii="Times New Roman" w:hAnsi="Times New Roman" w:cs="Times New Roman"/>
          <w:bCs w:val="0"/>
          <w:color w:val="auto"/>
        </w:rPr>
        <w:t>建设项目选用的主要装置（设备）和设施</w:t>
      </w:r>
      <w:bookmarkEnd w:id="57"/>
    </w:p>
    <w:p>
      <w:pPr>
        <w:spacing w:line="360" w:lineRule="auto"/>
        <w:ind w:firstLine="560" w:firstLineChars="200"/>
        <w:rPr>
          <w:rFonts w:ascii="宋体" w:hAnsi="宋体"/>
          <w:color w:val="auto"/>
          <w:sz w:val="28"/>
          <w:szCs w:val="28"/>
        </w:rPr>
      </w:pPr>
      <w:r>
        <w:rPr>
          <w:rFonts w:hint="eastAsia" w:ascii="宋体" w:hAnsi="宋体"/>
          <w:color w:val="auto"/>
          <w:sz w:val="28"/>
          <w:szCs w:val="28"/>
        </w:rPr>
        <w:t>1.本项目主要设备如下表：</w:t>
      </w:r>
    </w:p>
    <w:p>
      <w:pPr>
        <w:jc w:val="center"/>
        <w:rPr>
          <w:rFonts w:ascii="宋体" w:hAnsi="宋体"/>
          <w:color w:val="auto"/>
          <w:spacing w:val="-8"/>
          <w:sz w:val="24"/>
        </w:rPr>
      </w:pPr>
      <w:r>
        <w:rPr>
          <w:rFonts w:hint="eastAsia" w:ascii="宋体" w:hAnsi="宋体"/>
          <w:color w:val="auto"/>
          <w:spacing w:val="-8"/>
          <w:sz w:val="24"/>
        </w:rPr>
        <w:t>表2</w:t>
      </w:r>
      <w:r>
        <w:rPr>
          <w:rFonts w:ascii="宋体" w:hAnsi="宋体"/>
          <w:color w:val="auto"/>
          <w:spacing w:val="-8"/>
          <w:sz w:val="24"/>
        </w:rPr>
        <w:t>.8</w:t>
      </w:r>
      <w:r>
        <w:rPr>
          <w:rFonts w:hint="eastAsia" w:ascii="宋体" w:hAnsi="宋体"/>
          <w:color w:val="auto"/>
          <w:spacing w:val="-8"/>
          <w:sz w:val="24"/>
        </w:rPr>
        <w:t xml:space="preserve"> 主要设备清单</w:t>
      </w:r>
    </w:p>
    <w:tbl>
      <w:tblPr>
        <w:tblStyle w:val="31"/>
        <w:tblW w:w="10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1959"/>
        <w:gridCol w:w="942"/>
        <w:gridCol w:w="901"/>
        <w:gridCol w:w="660"/>
        <w:gridCol w:w="649"/>
        <w:gridCol w:w="669"/>
        <w:gridCol w:w="1282"/>
        <w:gridCol w:w="2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序号</w:t>
            </w: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设备名称</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规格</w:t>
            </w:r>
            <w:r>
              <w:rPr>
                <w:color w:val="auto"/>
                <w:kern w:val="0"/>
              </w:rPr>
              <w:t>/</w:t>
            </w:r>
            <w:r>
              <w:rPr>
                <w:rFonts w:hint="eastAsia" w:ascii="宋体" w:hAnsi="宋体"/>
                <w:color w:val="auto"/>
                <w:kern w:val="0"/>
              </w:rPr>
              <w:t>型号</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材质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数量</w:t>
            </w:r>
            <w:r>
              <w:rPr>
                <w:color w:val="auto"/>
                <w:kern w:val="0"/>
              </w:rPr>
              <w:t>/</w:t>
            </w:r>
            <w:r>
              <w:rPr>
                <w:rFonts w:hint="eastAsia" w:ascii="宋体" w:hAnsi="宋体"/>
                <w:color w:val="auto"/>
                <w:kern w:val="0"/>
              </w:rPr>
              <w:t>台</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温度</w:t>
            </w: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压力</w:t>
            </w:r>
            <w:r>
              <w:rPr>
                <w:color w:val="auto"/>
                <w:kern w:val="0"/>
              </w:rPr>
              <w:t>MPa</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介质</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0316" w:type="dxa"/>
            <w:gridSpan w:val="9"/>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b/>
                <w:bCs/>
                <w:color w:val="auto"/>
                <w:kern w:val="0"/>
              </w:rPr>
              <w:t>101</w:t>
            </w:r>
            <w:r>
              <w:rPr>
                <w:rFonts w:hint="eastAsia" w:ascii="宋体" w:hAnsi="宋体"/>
                <w:b/>
                <w:bCs/>
                <w:color w:val="auto"/>
                <w:kern w:val="0"/>
              </w:rPr>
              <w:t>甲类车间一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磺酰化反应釜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66</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r>
              <w:rPr>
                <w:color w:val="auto"/>
                <w:kern w:val="0"/>
              </w:rPr>
              <w:t>/</w:t>
            </w:r>
            <w:r>
              <w:rPr>
                <w:rFonts w:hint="eastAsia" w:ascii="宋体" w:hAnsi="宋体"/>
                <w:color w:val="auto"/>
                <w:kern w:val="0"/>
              </w:rPr>
              <w:t>丁酮、三乙胺</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高芸苔素、丙酰芸苔素生产共用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甲基磺酰氯计量罐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甲基磺酰氯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三乙胺计量罐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三乙胺</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四氢呋喃暂存罐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3000L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四氢呋喃</w:t>
            </w:r>
            <w:r>
              <w:rPr>
                <w:color w:val="auto"/>
                <w:kern w:val="0"/>
              </w:rPr>
              <w:t>/</w:t>
            </w:r>
            <w:r>
              <w:rPr>
                <w:rFonts w:hint="eastAsia" w:ascii="宋体" w:hAnsi="宋体"/>
                <w:color w:val="auto"/>
                <w:kern w:val="0"/>
              </w:rPr>
              <w:t>丁酮计量罐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r>
              <w:rPr>
                <w:color w:val="auto"/>
                <w:kern w:val="0"/>
              </w:rPr>
              <w:t>/</w:t>
            </w:r>
            <w:r>
              <w:rPr>
                <w:rFonts w:hint="eastAsia" w:ascii="宋体" w:hAnsi="宋体"/>
                <w:color w:val="auto"/>
                <w:kern w:val="0"/>
              </w:rPr>
              <w:t>丁酮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丁酮暂存罐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3000L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丁酮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饱和盐水配料釜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NaCl</w:t>
            </w:r>
            <w:r>
              <w:rPr>
                <w:rFonts w:hint="eastAsia" w:ascii="宋体" w:hAnsi="宋体"/>
                <w:color w:val="auto"/>
                <w:kern w:val="0"/>
              </w:rPr>
              <w:t>溶液</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饱和盐水计量罐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sz w:val="22"/>
                <w:szCs w:val="22"/>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NaCl</w:t>
            </w:r>
            <w:r>
              <w:rPr>
                <w:rFonts w:hint="eastAsia" w:ascii="宋体" w:hAnsi="宋体"/>
                <w:color w:val="auto"/>
                <w:kern w:val="0"/>
              </w:rPr>
              <w:t>溶液</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洗涤接收罐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NaCl</w:t>
            </w:r>
            <w:r>
              <w:rPr>
                <w:rFonts w:hint="eastAsia" w:ascii="宋体" w:hAnsi="宋体"/>
                <w:color w:val="auto"/>
                <w:kern w:val="0"/>
              </w:rPr>
              <w:t>溶液</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离心液输送泵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母液输送泵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离心机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20m2</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66</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四氢呋喃接收罐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四氢呋喃输送泵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丙酮暂存罐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丙酮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丙酮计量罐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丙酮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numPr>
                <w:ilvl w:val="0"/>
                <w:numId w:val="9"/>
              </w:numPr>
              <w:kinsoku/>
              <w:wordWrap/>
              <w:overflowPunct/>
              <w:topLinePunct w:val="0"/>
              <w:autoSpaceDE/>
              <w:autoSpaceDN/>
              <w:bidi w:val="0"/>
              <w:adjustRightInd/>
              <w:snapToGrid/>
              <w:spacing w:line="280" w:lineRule="exact"/>
              <w:textAlignment w:val="auto"/>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水解重排反应釜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6</w:t>
            </w:r>
            <w:r>
              <w:rPr>
                <w:rFonts w:hint="eastAsia"/>
                <w:color w:val="auto"/>
                <w:kern w:val="0"/>
              </w:rPr>
              <w:t>5</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r>
              <w:rPr>
                <w:color w:val="auto"/>
                <w:kern w:val="0"/>
              </w:rPr>
              <w:t>/</w:t>
            </w:r>
            <w:r>
              <w:rPr>
                <w:rFonts w:hint="eastAsia" w:ascii="宋体" w:hAnsi="宋体"/>
                <w:color w:val="auto"/>
                <w:kern w:val="0"/>
              </w:rPr>
              <w:t>丙酮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kern w:val="0"/>
              </w:rPr>
              <w:t>碳酸氢钾</w:t>
            </w:r>
            <w:r>
              <w:rPr>
                <w:color w:val="auto"/>
                <w:kern w:val="0"/>
              </w:rPr>
              <w:t>/</w:t>
            </w:r>
            <w:r>
              <w:rPr>
                <w:rFonts w:hint="eastAsia" w:ascii="宋体" w:hAnsi="宋体"/>
                <w:color w:val="auto"/>
                <w:kern w:val="0"/>
              </w:rPr>
              <w:t>碳酸氢钠溶解釜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color w:val="auto"/>
                <w:kern w:val="0"/>
              </w:rPr>
              <w:t>1000L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碳酸氢钾</w:t>
            </w:r>
            <w:r>
              <w:rPr>
                <w:color w:val="auto"/>
                <w:kern w:val="0"/>
              </w:rPr>
              <w:t>/</w:t>
            </w:r>
            <w:r>
              <w:rPr>
                <w:rFonts w:hint="eastAsia" w:ascii="宋体" w:hAnsi="宋体"/>
                <w:color w:val="auto"/>
                <w:kern w:val="0"/>
              </w:rPr>
              <w:t>碳酸氢钠溶液</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kern w:val="0"/>
              </w:rPr>
              <w:t>冷凝器</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color w:val="auto"/>
                <w:kern w:val="0"/>
              </w:rPr>
              <w:t>20m2</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60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kern w:val="0"/>
              </w:rPr>
              <w:t>丙酮输送泵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color w:val="auto"/>
                <w:kern w:val="0"/>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kern w:val="0"/>
              </w:rPr>
              <w:t>丙酮接收罐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color w:val="auto"/>
                <w:kern w:val="0"/>
              </w:rPr>
              <w:t>1000L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丙酮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离心机</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废水</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离心液输送泵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母液输送泵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烘箱</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ascii="宋体" w:hAnsi="宋体"/>
                <w:color w:val="auto"/>
                <w:sz w:val="22"/>
                <w:szCs w:val="22"/>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甲苯暂存罐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甲苯</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甲苯计量罐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甲苯</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氧化反应釜</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2</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110.6</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甲苯</w:t>
            </w:r>
            <w:r>
              <w:rPr>
                <w:color w:val="auto"/>
                <w:kern w:val="0"/>
              </w:rPr>
              <w:t>/</w:t>
            </w:r>
            <w:r>
              <w:rPr>
                <w:rFonts w:hint="eastAsia" w:ascii="宋体" w:hAnsi="宋体"/>
                <w:color w:val="auto"/>
                <w:kern w:val="0"/>
              </w:rPr>
              <w:t>丁酮</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次氯酸钠溶液计量罐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rPr>
              <w:t>次氯酸钠溶液</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110.6/-15</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甲苯接收罐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甲苯</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甲苯输送泵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浓硫酸高位槽</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kern w:val="0"/>
              </w:rPr>
              <w:t>碳钢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浓硫酸</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硫酸稀释釜</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kern w:val="0"/>
              </w:rPr>
              <w:t>500L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稀硫酸</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稀酸计量罐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kern w:val="0"/>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稀硫酸</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甲醇计量罐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100L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甲醇</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66</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甲醇接收罐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甲醇</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离心机</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ascii="宋体" w:hAnsi="宋体"/>
                <w:color w:val="auto"/>
                <w:sz w:val="22"/>
                <w:szCs w:val="22"/>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离心液输送泵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母液输送泵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洗涤废水</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烘箱</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20m2</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80</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丁酮接收罐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1000L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丁酮</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丁酮输送泵</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sz w:val="22"/>
                <w:szCs w:val="22"/>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四氢呋喃计量罐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水计量罐</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水</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ascii="宋体" w:hAnsi="宋体"/>
                <w:color w:val="auto"/>
              </w:rPr>
            </w:pPr>
            <w:r>
              <w:rPr>
                <w:rFonts w:hint="eastAsia" w:ascii="宋体" w:hAnsi="宋体"/>
                <w:color w:val="auto"/>
              </w:rPr>
              <w:t>锂投料箱</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jc w:val="both"/>
              <w:rPr>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ascii="宋体" w:hAnsi="宋体"/>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both"/>
              <w:rPr>
                <w:color w:val="auto"/>
              </w:rPr>
            </w:pPr>
          </w:p>
        </w:tc>
        <w:tc>
          <w:tcPr>
            <w:tcW w:w="649"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ascii="宋体" w:hAnsi="宋体"/>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ascii="宋体" w:hAnsi="宋体"/>
                <w:color w:val="auto"/>
                <w:kern w:val="0"/>
              </w:rPr>
            </w:pPr>
            <w:r>
              <w:rPr>
                <w:rFonts w:hint="eastAsia" w:ascii="宋体" w:hAnsi="宋体"/>
                <w:color w:val="auto"/>
                <w:kern w:val="0"/>
              </w:rPr>
              <w:t>微正压</w:t>
            </w:r>
          </w:p>
        </w:tc>
        <w:tc>
          <w:tcPr>
            <w:tcW w:w="1282"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ascii="宋体" w:hAnsi="宋体"/>
                <w:color w:val="auto"/>
                <w:kern w:val="0"/>
              </w:rPr>
            </w:pPr>
            <w:r>
              <w:rPr>
                <w:rFonts w:hint="eastAsia" w:ascii="宋体" w:hAnsi="宋体"/>
                <w:color w:val="auto"/>
                <w:kern w:val="0"/>
              </w:rPr>
              <w:t>锂、氮气</w:t>
            </w:r>
          </w:p>
        </w:tc>
        <w:tc>
          <w:tcPr>
            <w:tcW w:w="2807" w:type="dxa"/>
            <w:tcBorders>
              <w:top w:val="single" w:color="auto" w:sz="4" w:space="0"/>
              <w:left w:val="nil"/>
              <w:bottom w:val="single" w:color="auto" w:sz="4" w:space="0"/>
              <w:right w:val="single" w:color="auto" w:sz="4" w:space="0"/>
            </w:tcBorders>
            <w:vAlign w:val="center"/>
          </w:tcPr>
          <w:p>
            <w:pPr>
              <w:widowControl/>
              <w:spacing w:line="260" w:lineRule="exact"/>
              <w:jc w:val="both"/>
              <w:rPr>
                <w:rFonts w:hint="eastAsia"/>
                <w:color w:val="auto"/>
                <w:kern w:val="0"/>
              </w:rPr>
            </w:pPr>
            <w:r>
              <w:rPr>
                <w:rFonts w:hint="eastAsia"/>
                <w:color w:val="auto"/>
                <w:kern w:val="0"/>
              </w:rPr>
              <w:t>氮气环境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低温还原反应釜</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66</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r>
              <w:rPr>
                <w:rFonts w:hint="eastAsia" w:ascii="宋体" w:hAnsi="宋体"/>
                <w:color w:val="auto"/>
                <w:kern w:val="0"/>
              </w:rPr>
              <w:t>液氨、四氢呋喃</w:t>
            </w: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spacing w:line="260" w:lineRule="exact"/>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6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66</w:t>
            </w:r>
          </w:p>
        </w:tc>
        <w:tc>
          <w:tcPr>
            <w:tcW w:w="669"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6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60" w:lineRule="exact"/>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四氢呋喃接收罐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四氢呋喃输送泵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中间产物</w:t>
            </w:r>
            <w:r>
              <w:rPr>
                <w:color w:val="auto"/>
              </w:rPr>
              <w:t>Z3</w:t>
            </w:r>
            <w:r>
              <w:rPr>
                <w:rFonts w:hint="eastAsia" w:ascii="宋体" w:hAnsi="宋体"/>
                <w:color w:val="auto"/>
              </w:rPr>
              <w:t>溶解釜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40</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氯化铵配置釜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氯化铵</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氨气吸收釜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稀硫酸水溶液</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萃取精馏釜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DMF</w:t>
            </w:r>
            <w:r>
              <w:rPr>
                <w:rFonts w:hint="eastAsia" w:ascii="宋体" w:hAnsi="宋体"/>
                <w:color w:val="auto"/>
              </w:rPr>
              <w:t>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DMF</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DMF</w:t>
            </w:r>
            <w:r>
              <w:rPr>
                <w:rFonts w:hint="eastAsia" w:ascii="宋体" w:hAnsi="宋体"/>
                <w:color w:val="auto"/>
              </w:rPr>
              <w:t>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DMF</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高温开环反应釜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w:t>
            </w:r>
            <w:r>
              <w:rPr>
                <w:rFonts w:hint="eastAsia"/>
                <w:color w:val="auto"/>
                <w:kern w:val="0"/>
              </w:rPr>
              <w:t>50</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DMF</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氢溴酸计量罐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氢溴酸</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高芸苔素、丙酰芸苔素生产共用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147</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DMF</w:t>
            </w:r>
            <w:r>
              <w:rPr>
                <w:rFonts w:hint="eastAsia" w:ascii="宋体" w:hAnsi="宋体"/>
                <w:color w:val="auto"/>
              </w:rPr>
              <w:t>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DMF</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DMF</w:t>
            </w:r>
            <w:r>
              <w:rPr>
                <w:rFonts w:hint="eastAsia" w:ascii="宋体" w:hAnsi="宋体"/>
                <w:color w:val="auto"/>
              </w:rPr>
              <w:t>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萃取精馏釜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饱和盐水计量罐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sz w:val="22"/>
                <w:szCs w:val="22"/>
              </w:rPr>
            </w:pPr>
            <w:r>
              <w:rPr>
                <w:rFonts w:ascii="宋体" w:hAnsi="宋体"/>
                <w:color w:val="auto"/>
                <w:sz w:val="22"/>
                <w:szCs w:val="22"/>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sz w:val="22"/>
                <w:szCs w:val="22"/>
              </w:rPr>
            </w:pPr>
            <w:r>
              <w:rPr>
                <w:rFonts w:ascii="宋体" w:hAnsi="宋体"/>
                <w:color w:val="auto"/>
                <w:sz w:val="22"/>
                <w:szCs w:val="22"/>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NaCl</w:t>
            </w:r>
            <w:r>
              <w:rPr>
                <w:rFonts w:hint="eastAsia" w:ascii="宋体" w:hAnsi="宋体"/>
                <w:color w:val="auto"/>
                <w:kern w:val="0"/>
              </w:rPr>
              <w:t>溶液</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高芸苔素、丙酰芸苔素生产共用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sz w:val="22"/>
                <w:szCs w:val="22"/>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2000L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废水</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乙酸乙酯输送泵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石油醚暂存罐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ascii="Calibri" w:hAnsi="Calibri"/>
                <w:color w:val="auto"/>
                <w:kern w:val="0"/>
              </w:rPr>
            </w:pPr>
            <w:r>
              <w:rPr>
                <w:rFonts w:hint="eastAsia" w:ascii="宋体" w:hAnsi="宋体"/>
                <w:color w:val="auto"/>
                <w:kern w:val="0"/>
              </w:rPr>
              <w:t>石油醚</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8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石油醚计量罐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石油醚</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水计量槽</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水</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纯化结晶釜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60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color w:val="auto"/>
                <w:kern w:val="0"/>
              </w:rPr>
              <w:t>-0.08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石油醚</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60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石油醚接收罐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石油醚</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石油醚输送泵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离心机</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sz w:val="22"/>
                <w:szCs w:val="22"/>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离心母液输送泵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sz w:val="22"/>
                <w:szCs w:val="22"/>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烘箱</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叔丁醇暂存罐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叔丁醇</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叔丁醇计量罐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叔丁醇</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四氢呋喃计量罐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N-</w:t>
            </w:r>
            <w:r>
              <w:rPr>
                <w:rFonts w:hint="eastAsia" w:ascii="宋体" w:hAnsi="宋体"/>
                <w:color w:val="auto"/>
              </w:rPr>
              <w:t>甲基氧化吗啉计量罐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rPr>
              <w:t>N-</w:t>
            </w:r>
            <w:r>
              <w:rPr>
                <w:rFonts w:hint="eastAsia" w:ascii="宋体" w:hAnsi="宋体"/>
                <w:color w:val="auto"/>
              </w:rPr>
              <w:t>甲基氧化吗啉</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铁氰化钾配置釜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铁氰化钾、碳酸钾、锇酸钾</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双羟化反应釜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5000L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4</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50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叔丁醇</w:t>
            </w:r>
            <w:r>
              <w:rPr>
                <w:color w:val="auto"/>
                <w:kern w:val="0"/>
              </w:rPr>
              <w:t>/</w:t>
            </w:r>
            <w:r>
              <w:rPr>
                <w:rFonts w:hint="eastAsia" w:ascii="宋体" w:hAnsi="宋体"/>
                <w:color w:val="auto"/>
                <w:kern w:val="0"/>
              </w:rPr>
              <w:t>四氢呋喃</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亚硫酸钠溶解釜</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5000L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rPr>
              <w:t>亚硫酸钠水溶液</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亚硫酸氢钠溶解釜</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rPr>
              <w:t>亚硫酸氢钠水溶液</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饱和盐水计量罐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color w:val="auto"/>
                <w:kern w:val="0"/>
              </w:rPr>
              <w:t>NaCl</w:t>
            </w:r>
            <w:r>
              <w:rPr>
                <w:rFonts w:hint="eastAsia" w:ascii="宋体" w:hAnsi="宋体"/>
                <w:color w:val="auto"/>
                <w:kern w:val="0"/>
              </w:rPr>
              <w:t>水溶液</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废水</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洗涤液输送泵</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85</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四氢呋喃接收罐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rPr>
              <w:t>四氢呋喃</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四氢呋喃输送泵</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叔丁醇接收罐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叔丁醇</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叔丁醇输送泵</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乙酸乙酯计量罐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备用釜</w:t>
            </w:r>
          </w:p>
        </w:tc>
        <w:tc>
          <w:tcPr>
            <w:tcW w:w="942"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备用釜</w:t>
            </w:r>
          </w:p>
        </w:tc>
        <w:tc>
          <w:tcPr>
            <w:tcW w:w="942"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脱溶结晶釜</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水计量罐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水</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乙酸乙酯接收罐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离心机</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离心母液输送泵</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烘箱</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二氯甲烷暂存罐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二氯甲烷计量罐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三乙胺计量罐</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三乙胺</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rFonts w:hint="eastAsia" w:ascii="宋体" w:hAnsi="宋体"/>
                <w:color w:val="auto"/>
              </w:rPr>
              <w:t>丙酰化反应釜</w:t>
            </w:r>
          </w:p>
        </w:tc>
        <w:tc>
          <w:tcPr>
            <w:tcW w:w="942" w:type="dxa"/>
            <w:tcBorders>
              <w:top w:val="single" w:color="auto" w:sz="4" w:space="0"/>
              <w:left w:val="nil"/>
              <w:bottom w:val="single" w:color="auto" w:sz="4" w:space="0"/>
              <w:right w:val="single" w:color="auto" w:sz="4" w:space="0"/>
            </w:tcBorders>
            <w:vAlign w:val="center"/>
          </w:tcPr>
          <w:p>
            <w:pPr>
              <w:widowControl/>
              <w:spacing w:line="280" w:lineRule="exact"/>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color w:val="auto"/>
                <w:kern w:val="0"/>
              </w:rPr>
              <w:t>50</w:t>
            </w:r>
          </w:p>
        </w:tc>
        <w:tc>
          <w:tcPr>
            <w:tcW w:w="669"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80" w:lineRule="exact"/>
              <w:jc w:val="center"/>
              <w:rPr>
                <w:rFonts w:ascii="Calibri" w:hAnsi="Calibri"/>
                <w:color w:val="auto"/>
                <w:kern w:val="0"/>
              </w:rPr>
            </w:pPr>
            <w:r>
              <w:rPr>
                <w:rFonts w:hint="eastAsia" w:ascii="宋体" w:hAnsi="宋体"/>
                <w:color w:val="auto"/>
                <w:kern w:val="0"/>
              </w:rPr>
              <w:t>二氯甲烷、三乙胺</w:t>
            </w:r>
          </w:p>
        </w:tc>
        <w:tc>
          <w:tcPr>
            <w:tcW w:w="2807" w:type="dxa"/>
            <w:tcBorders>
              <w:top w:val="single" w:color="auto" w:sz="4" w:space="0"/>
              <w:left w:val="nil"/>
              <w:bottom w:val="single" w:color="auto" w:sz="4" w:space="0"/>
              <w:right w:val="single" w:color="auto" w:sz="4" w:space="0"/>
            </w:tcBorders>
          </w:tcPr>
          <w:p>
            <w:pPr>
              <w:widowControl/>
              <w:spacing w:line="280" w:lineRule="exact"/>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饱和盐水计量罐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NaCl</w:t>
            </w:r>
            <w:r>
              <w:rPr>
                <w:rFonts w:hint="eastAsia" w:ascii="宋体" w:hAnsi="宋体"/>
                <w:color w:val="auto"/>
                <w:kern w:val="0"/>
              </w:rPr>
              <w:t>水溶液</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洗涤液输送泵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50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二氯甲烷接收罐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二氯甲烷输送泵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ascii="宋体" w:hAnsi="宋体"/>
                <w:color w:val="auto"/>
                <w:sz w:val="22"/>
                <w:szCs w:val="22"/>
              </w:rPr>
              <w:t>/</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二氯甲烷计量罐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内酯化反应釜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3</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二氯甲烷、双氧水</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间氯过氧苯甲酸计量罐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rPr>
              <w:t>间氯过氧苯甲酸</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丙酰芸苔生产线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双氧水计量罐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双氧水</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碳酸钾溶解釜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碳酸钾水溶液</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亚硫酸氢钠计量罐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rPr>
              <w:t>亚硫酸氢钠</w:t>
            </w:r>
            <w:r>
              <w:rPr>
                <w:rFonts w:hint="eastAsia" w:ascii="宋体" w:hAnsi="宋体"/>
                <w:color w:val="auto"/>
                <w:kern w:val="0"/>
              </w:rPr>
              <w:t>水溶液</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饱和盐水计量罐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NaCl</w:t>
            </w:r>
            <w:r>
              <w:rPr>
                <w:rFonts w:hint="eastAsia" w:ascii="宋体" w:hAnsi="宋体"/>
                <w:color w:val="auto"/>
                <w:kern w:val="0"/>
              </w:rPr>
              <w:t>水溶液</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洗涤接收罐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废水</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二氯甲烷计量罐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rPr>
              <w:t>二氯甲烷</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乙酸乙酯计量罐</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rPr>
              <w:t>乙酸乙酯</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萃取精馏釜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50</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color w:val="auto"/>
                <w:kern w:val="0"/>
              </w:rPr>
              <w:t>-0.08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50</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纯化结晶釜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w:t>
            </w: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离心机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离心母液输送泵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水计量罐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水</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28-</w:t>
            </w:r>
            <w:r>
              <w:rPr>
                <w:rFonts w:hint="eastAsia" w:ascii="宋体" w:hAnsi="宋体"/>
                <w:color w:val="auto"/>
                <w:kern w:val="0"/>
              </w:rPr>
              <w:t>高芸苔生产线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冷凝器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20m2</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石墨</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78</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-0.08</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二氯甲烷接收罐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二氯甲烷</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二氯甲烷输送泵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乙酸乙酯接收罐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rPr>
              <w:t>乙酸乙酯</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烘箱</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不锈钢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24</w:t>
            </w:r>
            <w:r>
              <w:rPr>
                <w:rFonts w:hint="eastAsia" w:ascii="宋体" w:hAnsi="宋体"/>
                <w:color w:val="auto"/>
                <w:kern w:val="0"/>
              </w:rPr>
              <w:t>表芸苔素、</w:t>
            </w:r>
            <w:r>
              <w:rPr>
                <w:color w:val="auto"/>
                <w:kern w:val="0"/>
              </w:rPr>
              <w:t>28</w:t>
            </w:r>
            <w:r>
              <w:rPr>
                <w:rFonts w:hint="eastAsia" w:ascii="宋体" w:hAnsi="宋体"/>
                <w:color w:val="auto"/>
                <w:kern w:val="0"/>
              </w:rPr>
              <w:t>高芸苔素、丙酰芸苔生产共用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0316" w:type="dxa"/>
            <w:gridSpan w:val="9"/>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b/>
                <w:bCs/>
                <w:color w:val="auto"/>
                <w:kern w:val="0"/>
              </w:rPr>
            </w:pPr>
            <w:r>
              <w:rPr>
                <w:rFonts w:hint="eastAsia" w:ascii="宋体" w:hAnsi="宋体"/>
                <w:b/>
                <w:bCs/>
                <w:color w:val="auto"/>
                <w:kern w:val="0"/>
              </w:rPr>
              <w:t>1</w:t>
            </w:r>
            <w:r>
              <w:rPr>
                <w:rFonts w:ascii="宋体" w:hAnsi="宋体"/>
                <w:b/>
                <w:bCs/>
                <w:color w:val="auto"/>
                <w:kern w:val="0"/>
              </w:rPr>
              <w:t>03</w:t>
            </w:r>
            <w:r>
              <w:rPr>
                <w:rFonts w:hint="eastAsia" w:ascii="宋体" w:hAnsi="宋体"/>
                <w:b/>
                <w:bCs/>
                <w:color w:val="auto"/>
                <w:kern w:val="0"/>
              </w:rPr>
              <w:t>液体制剂车间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负压投料斗</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660*600*948</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隔膜泵</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w:t>
            </w:r>
            <w:r>
              <w:rPr>
                <w:rFonts w:hint="eastAsia" w:ascii="宋体" w:hAnsi="宋体"/>
                <w:color w:val="auto"/>
              </w:rPr>
              <w:t>寸</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宋体" w:hAnsi="宋体"/>
                <w:color w:val="auto"/>
              </w:rPr>
            </w:pPr>
            <w:r>
              <w:rPr>
                <w:rFonts w:hint="eastAsia" w:ascii="宋体" w:hAnsi="宋体"/>
                <w:color w:val="auto"/>
              </w:rPr>
              <w:t>铝合金</w:t>
            </w:r>
          </w:p>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w:t>
            </w:r>
            <w:r>
              <w:rPr>
                <w:rFonts w:hint="eastAsia" w:ascii="宋体" w:hAnsi="宋体"/>
                <w:color w:val="auto"/>
              </w:rPr>
              <w:t>聚四氟乙烯内膜</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rPr>
              <w:t>4</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投料剪切釜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立式，</w:t>
            </w: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前缓冲罐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立式，</w:t>
            </w: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砂磨机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37KW</w:t>
            </w:r>
            <w:r>
              <w:rPr>
                <w:rFonts w:hint="eastAsia" w:ascii="宋体" w:hAnsi="宋体"/>
                <w:color w:val="auto"/>
              </w:rPr>
              <w:t>，</w:t>
            </w:r>
            <w:r>
              <w:rPr>
                <w:color w:val="auto"/>
              </w:rPr>
              <w:t>2170×1080×1445</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rPr>
              <w:t>2</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中间罐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200L</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rFonts w:hint="eastAsia" w:ascii="宋体" w:hAnsi="宋体"/>
                <w:color w:val="auto"/>
              </w:rPr>
              <w:t>单袋式过滤器</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Φ200×910×3</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9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后剪切釜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成品釜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负压投料斗</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660*600*948</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5</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隔膜泵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w:t>
            </w:r>
            <w:r>
              <w:rPr>
                <w:rFonts w:hint="eastAsia" w:ascii="宋体" w:hAnsi="宋体"/>
                <w:color w:val="auto"/>
              </w:rPr>
              <w:t>寸</w:t>
            </w:r>
          </w:p>
        </w:tc>
        <w:tc>
          <w:tcPr>
            <w:tcW w:w="901" w:type="dxa"/>
            <w:tcBorders>
              <w:top w:val="single" w:color="auto" w:sz="4" w:space="0"/>
              <w:left w:val="nil"/>
              <w:bottom w:val="single" w:color="auto" w:sz="4" w:space="0"/>
              <w:right w:val="single" w:color="auto" w:sz="4" w:space="0"/>
            </w:tcBorders>
            <w:vAlign w:val="center"/>
          </w:tcPr>
          <w:p>
            <w:pPr>
              <w:widowControl/>
              <w:rPr>
                <w:rFonts w:ascii="宋体" w:hAnsi="宋体"/>
                <w:color w:val="auto"/>
              </w:rPr>
            </w:pPr>
            <w:r>
              <w:rPr>
                <w:rFonts w:hint="eastAsia" w:ascii="宋体" w:hAnsi="宋体"/>
                <w:color w:val="auto"/>
              </w:rPr>
              <w:t>铝合金</w:t>
            </w:r>
          </w:p>
          <w:p>
            <w:pPr>
              <w:widowControl/>
              <w:rPr>
                <w:rFonts w:ascii="Calibri" w:hAnsi="Calibri"/>
                <w:color w:val="auto"/>
              </w:rPr>
            </w:pPr>
            <w:r>
              <w:rPr>
                <w:color w:val="auto"/>
              </w:rPr>
              <w:t>+</w:t>
            </w:r>
            <w:r>
              <w:rPr>
                <w:rFonts w:hint="eastAsia" w:ascii="宋体" w:hAnsi="宋体"/>
                <w:color w:val="auto"/>
              </w:rPr>
              <w:t>聚四氟乙烯内膜</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5</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调配釜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3</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调配釜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磁力泵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4KW</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衬四氟</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5</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单袋式过滤器</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Φ 200×910×3</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5</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成品釜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5</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负压投料斗</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660*600*948</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隔膜泵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w:t>
            </w:r>
            <w:r>
              <w:rPr>
                <w:rFonts w:hint="eastAsia" w:ascii="宋体" w:hAnsi="宋体"/>
                <w:color w:val="auto"/>
              </w:rPr>
              <w:t>寸</w:t>
            </w:r>
          </w:p>
        </w:tc>
        <w:tc>
          <w:tcPr>
            <w:tcW w:w="901" w:type="dxa"/>
            <w:tcBorders>
              <w:top w:val="single" w:color="auto" w:sz="4" w:space="0"/>
              <w:left w:val="nil"/>
              <w:bottom w:val="single" w:color="auto" w:sz="4" w:space="0"/>
              <w:right w:val="single" w:color="auto" w:sz="4" w:space="0"/>
            </w:tcBorders>
            <w:vAlign w:val="center"/>
          </w:tcPr>
          <w:p>
            <w:pPr>
              <w:widowControl/>
              <w:rPr>
                <w:rFonts w:ascii="宋体" w:hAnsi="宋体"/>
                <w:color w:val="auto"/>
              </w:rPr>
            </w:pPr>
            <w:r>
              <w:rPr>
                <w:rFonts w:hint="eastAsia" w:ascii="宋体" w:hAnsi="宋体"/>
                <w:color w:val="auto"/>
              </w:rPr>
              <w:t>铝合金</w:t>
            </w:r>
          </w:p>
          <w:p>
            <w:pPr>
              <w:widowControl/>
              <w:rPr>
                <w:rFonts w:ascii="Calibri" w:hAnsi="Calibri"/>
                <w:color w:val="auto"/>
              </w:rPr>
            </w:pPr>
            <w:r>
              <w:rPr>
                <w:color w:val="auto"/>
              </w:rPr>
              <w:t>+</w:t>
            </w:r>
            <w:r>
              <w:rPr>
                <w:rFonts w:hint="eastAsia" w:ascii="宋体" w:hAnsi="宋体"/>
                <w:color w:val="auto"/>
              </w:rPr>
              <w:t>聚四氟乙烯内膜</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调配釜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调配釜</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2000L</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搪玻璃</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磁力泵</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4KW</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衬四氟</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rFonts w:hint="eastAsia" w:ascii="宋体" w:hAnsi="宋体"/>
                <w:color w:val="auto"/>
              </w:rPr>
              <w:t>单袋式过滤器</w:t>
            </w:r>
          </w:p>
        </w:tc>
        <w:tc>
          <w:tcPr>
            <w:tcW w:w="942"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Φ 200×910×3</w:t>
            </w:r>
          </w:p>
        </w:tc>
        <w:tc>
          <w:tcPr>
            <w:tcW w:w="901" w:type="dxa"/>
            <w:tcBorders>
              <w:top w:val="single" w:color="auto" w:sz="4" w:space="0"/>
              <w:left w:val="nil"/>
              <w:bottom w:val="single" w:color="auto" w:sz="4" w:space="0"/>
              <w:right w:val="single" w:color="auto" w:sz="4" w:space="0"/>
            </w:tcBorders>
            <w:vAlign w:val="center"/>
          </w:tcPr>
          <w:p>
            <w:pPr>
              <w:widowControl/>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jc w:val="center"/>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成品釜</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3000L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全自动包装线</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200-1000g</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3</w:t>
            </w:r>
            <w:r>
              <w:rPr>
                <w:rFonts w:hint="eastAsia" w:ascii="宋体" w:hAnsi="宋体"/>
                <w:color w:val="auto"/>
              </w:rPr>
              <w:t>条</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半自动</w:t>
            </w:r>
            <w:r>
              <w:rPr>
                <w:color w:val="auto"/>
              </w:rPr>
              <w:t>5L</w:t>
            </w:r>
            <w:r>
              <w:rPr>
                <w:rFonts w:hint="eastAsia" w:ascii="宋体" w:hAnsi="宋体"/>
                <w:color w:val="auto"/>
              </w:rPr>
              <w:t>桶装线</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5L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1</w:t>
            </w:r>
            <w:r>
              <w:rPr>
                <w:rFonts w:hint="eastAsia" w:ascii="宋体" w:hAnsi="宋体"/>
                <w:color w:val="auto"/>
              </w:rPr>
              <w:t>条</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rFonts w:hint="eastAsia" w:ascii="宋体" w:hAnsi="宋体"/>
                <w:color w:val="auto"/>
                <w:kern w:val="0"/>
              </w:rPr>
              <w:t>无水乙醇、异丙醇、</w:t>
            </w:r>
            <w:r>
              <w:rPr>
                <w:color w:val="auto"/>
                <w:kern w:val="0"/>
              </w:rPr>
              <w:t>DMF</w:t>
            </w:r>
            <w:r>
              <w:rPr>
                <w:rFonts w:hint="eastAsia" w:ascii="宋体" w:hAnsi="宋体"/>
                <w:color w:val="auto"/>
                <w:kern w:val="0"/>
              </w:rPr>
              <w:t>、环己酮</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码垛系统</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1</w:t>
            </w:r>
            <w:r>
              <w:rPr>
                <w:rFonts w:hint="eastAsia" w:ascii="宋体" w:hAnsi="宋体"/>
                <w:color w:val="auto"/>
              </w:rPr>
              <w:t>套</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包装料罐</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1m3</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12</w:t>
            </w:r>
            <w:r>
              <w:rPr>
                <w:rFonts w:hint="eastAsia" w:ascii="宋体" w:hAnsi="宋体"/>
                <w:color w:val="auto"/>
              </w:rPr>
              <w:t>台</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双联袋包装机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3500×1000×2500</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12</w:t>
            </w:r>
            <w:r>
              <w:rPr>
                <w:rFonts w:hint="eastAsia" w:ascii="宋体" w:hAnsi="宋体"/>
                <w:color w:val="auto"/>
              </w:rPr>
              <w:t>套</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0316" w:type="dxa"/>
            <w:gridSpan w:val="9"/>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b/>
                <w:bCs/>
                <w:color w:val="auto"/>
                <w:kern w:val="0"/>
              </w:rPr>
            </w:pPr>
            <w:r>
              <w:rPr>
                <w:rFonts w:hint="eastAsia" w:ascii="宋体" w:hAnsi="宋体"/>
                <w:b/>
                <w:bCs/>
                <w:color w:val="auto"/>
                <w:kern w:val="0"/>
              </w:rPr>
              <w:t>1</w:t>
            </w:r>
            <w:r>
              <w:rPr>
                <w:rFonts w:ascii="宋体" w:hAnsi="宋体"/>
                <w:b/>
                <w:bCs/>
                <w:color w:val="auto"/>
                <w:kern w:val="0"/>
              </w:rPr>
              <w:t>04</w:t>
            </w:r>
            <w:r>
              <w:rPr>
                <w:rFonts w:hint="eastAsia" w:ascii="宋体" w:hAnsi="宋体"/>
                <w:b/>
                <w:bCs/>
                <w:color w:val="auto"/>
                <w:kern w:val="0"/>
              </w:rPr>
              <w:t>颗粒剂车间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投料抽风罩</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投料仓</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10m3</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6</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双轴粉碎机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304</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2</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预混合机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500L</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小料皮带输送机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5m</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皮带秤</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20m3/h</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6</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汇总皮带输送机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12.5m</w:t>
            </w:r>
          </w:p>
        </w:tc>
        <w:tc>
          <w:tcPr>
            <w:tcW w:w="901"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环链式斗式提升机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TH500</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2</w:t>
            </w:r>
            <w:r>
              <w:rPr>
                <w:rFonts w:hint="eastAsia" w:ascii="宋体" w:hAnsi="宋体"/>
                <w:color w:val="auto"/>
              </w:rPr>
              <w:t>立方螺带混合机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18.5kw</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长</w:t>
            </w:r>
            <w:r>
              <w:rPr>
                <w:color w:val="auto"/>
              </w:rPr>
              <w:t>8m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立式分料机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L*C*H=2500*2500*2000mm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长</w:t>
            </w:r>
            <w:r>
              <w:rPr>
                <w:color w:val="auto"/>
              </w:rPr>
              <w:t>11m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3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立式分料机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L*C*H=1800*1800*1800mm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3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对辊挤压造粒机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cs="Arial"/>
                <w:color w:val="auto"/>
              </w:rPr>
              <w:t>Ø</w:t>
            </w:r>
            <w:r>
              <w:rPr>
                <w:rFonts w:ascii="宋体" w:hAnsi="宋体"/>
                <w:color w:val="auto"/>
                <w:sz w:val="22"/>
                <w:szCs w:val="22"/>
              </w:rPr>
              <w:t>150*300mm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12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成粒汇总皮带输送机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长</w:t>
            </w:r>
            <w:r>
              <w:rPr>
                <w:color w:val="auto"/>
              </w:rPr>
              <w:t>9m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组合件</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环链式斗式提升机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提升高度：</w:t>
            </w:r>
            <w:r>
              <w:rPr>
                <w:color w:val="auto"/>
              </w:rPr>
              <w:t>9m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line="260" w:lineRule="exact"/>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滚筒筛</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color w:val="auto"/>
              </w:rPr>
              <w:t>6.9*1.9*3.0</w:t>
            </w:r>
            <w:r>
              <w:rPr>
                <w:rFonts w:hint="eastAsia" w:ascii="宋体" w:hAnsi="宋体"/>
                <w:color w:val="auto"/>
              </w:rPr>
              <w:t>米</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皮带输送机</w:t>
            </w:r>
          </w:p>
        </w:tc>
        <w:tc>
          <w:tcPr>
            <w:tcW w:w="942"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长</w:t>
            </w:r>
            <w:r>
              <w:rPr>
                <w:color w:val="auto"/>
              </w:rPr>
              <w:t>10m</w:t>
            </w:r>
          </w:p>
        </w:tc>
        <w:tc>
          <w:tcPr>
            <w:tcW w:w="901"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jc w:val="center"/>
              <w:textAlignment w:val="auto"/>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keepNext w:val="0"/>
              <w:keepLines w:val="0"/>
              <w:pageBreakBefore w:val="0"/>
              <w:widowControl/>
              <w:kinsoku/>
              <w:wordWrap/>
              <w:overflowPunct/>
              <w:topLinePunct w:val="0"/>
              <w:autoSpaceDE/>
              <w:autoSpaceDN/>
              <w:bidi w:val="0"/>
              <w:adjustRightInd/>
              <w:snapToGrid/>
              <w:spacing w:line="260" w:lineRule="exact"/>
              <w:textAlignment w:val="auto"/>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整粒烘干一体机</w:t>
            </w:r>
          </w:p>
        </w:tc>
        <w:tc>
          <w:tcPr>
            <w:tcW w:w="942"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型号：</w:t>
            </w:r>
            <w:r>
              <w:rPr>
                <w:color w:val="auto"/>
              </w:rPr>
              <w:t>ZG20200</w:t>
            </w:r>
          </w:p>
        </w:tc>
        <w:tc>
          <w:tcPr>
            <w:tcW w:w="901"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widowControl/>
              <w:spacing w:line="29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55</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rFonts w:hint="eastAsia" w:ascii="宋体" w:hAnsi="宋体"/>
                <w:color w:val="auto"/>
                <w:kern w:val="0"/>
              </w:rPr>
              <w:t>颗粒剂</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皮带输送机</w:t>
            </w:r>
          </w:p>
        </w:tc>
        <w:tc>
          <w:tcPr>
            <w:tcW w:w="942"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9m</w:t>
            </w:r>
          </w:p>
        </w:tc>
        <w:tc>
          <w:tcPr>
            <w:tcW w:w="901"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滚筒筛</w:t>
            </w:r>
          </w:p>
        </w:tc>
        <w:tc>
          <w:tcPr>
            <w:tcW w:w="942"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color w:val="auto"/>
              </w:rPr>
              <w:t>6.9*1.9*3.0</w:t>
            </w:r>
            <w:r>
              <w:rPr>
                <w:rFonts w:hint="eastAsia" w:ascii="宋体" w:hAnsi="宋体"/>
                <w:color w:val="auto"/>
              </w:rPr>
              <w:t>米</w:t>
            </w:r>
          </w:p>
        </w:tc>
        <w:tc>
          <w:tcPr>
            <w:tcW w:w="901"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auto" w:sz="4" w:space="0"/>
              <w:left w:val="nil"/>
              <w:bottom w:val="single" w:color="auto" w:sz="4" w:space="0"/>
              <w:right w:val="single" w:color="auto" w:sz="4" w:space="0"/>
            </w:tcBorders>
            <w:vAlign w:val="center"/>
          </w:tcPr>
          <w:p>
            <w:pPr>
              <w:widowControl/>
              <w:spacing w:line="29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1#</w:t>
            </w:r>
            <w:r>
              <w:rPr>
                <w:rFonts w:hint="eastAsia" w:ascii="宋体" w:hAnsi="宋体"/>
                <w:color w:val="auto"/>
              </w:rPr>
              <w:t>返粉皮带输送机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6m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2#</w:t>
            </w:r>
            <w:r>
              <w:rPr>
                <w:rFonts w:hint="eastAsia" w:ascii="宋体" w:hAnsi="宋体"/>
                <w:color w:val="auto"/>
              </w:rPr>
              <w:t>返粉皮带输送机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22.8m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3#</w:t>
            </w:r>
            <w:r>
              <w:rPr>
                <w:rFonts w:hint="eastAsia" w:ascii="宋体" w:hAnsi="宋体"/>
                <w:color w:val="auto"/>
              </w:rPr>
              <w:t>返粉皮带输送机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5.2m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4#</w:t>
            </w:r>
            <w:r>
              <w:rPr>
                <w:rFonts w:hint="eastAsia" w:ascii="宋体" w:hAnsi="宋体"/>
                <w:color w:val="auto"/>
              </w:rPr>
              <w:t>返粉皮带输送机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9.5m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5#</w:t>
            </w:r>
            <w:r>
              <w:rPr>
                <w:rFonts w:hint="eastAsia" w:ascii="宋体" w:hAnsi="宋体"/>
                <w:color w:val="auto"/>
              </w:rPr>
              <w:t>返粉皮带输送机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11m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10m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过渡料仓</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3m3</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皮带秤</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型号：</w:t>
            </w:r>
            <w:r>
              <w:rPr>
                <w:color w:val="auto"/>
              </w:rPr>
              <w:t>DEL800</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包膜机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型号：</w:t>
            </w:r>
            <w:r>
              <w:rPr>
                <w:color w:val="auto"/>
              </w:rPr>
              <w:t>BM15600</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rFonts w:hint="eastAsia" w:ascii="宋体" w:hAnsi="宋体"/>
                <w:color w:val="auto"/>
              </w:rPr>
              <w:t>搅拌釜</w:t>
            </w:r>
          </w:p>
        </w:tc>
        <w:tc>
          <w:tcPr>
            <w:tcW w:w="942"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color w:val="auto"/>
              </w:rPr>
              <w:t>1000L</w:t>
            </w:r>
          </w:p>
        </w:tc>
        <w:tc>
          <w:tcPr>
            <w:tcW w:w="901" w:type="dxa"/>
            <w:tcBorders>
              <w:top w:val="single" w:color="auto" w:sz="4" w:space="0"/>
              <w:left w:val="nil"/>
              <w:bottom w:val="single" w:color="auto" w:sz="4" w:space="0"/>
              <w:right w:val="single" w:color="auto"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auto" w:sz="4" w:space="0"/>
              <w:left w:val="nil"/>
              <w:bottom w:val="single" w:color="auto" w:sz="4" w:space="0"/>
              <w:right w:val="single" w:color="auto" w:sz="4" w:space="0"/>
            </w:tcBorders>
            <w:vAlign w:val="center"/>
          </w:tcPr>
          <w:p>
            <w:pPr>
              <w:widowControl/>
              <w:spacing w:line="290" w:lineRule="exact"/>
              <w:jc w:val="center"/>
              <w:rPr>
                <w:rFonts w:ascii="Calibri" w:hAnsi="Calibri"/>
                <w:color w:val="auto"/>
                <w:kern w:val="0"/>
              </w:rPr>
            </w:pPr>
            <w:r>
              <w:rPr>
                <w:color w:val="auto"/>
                <w:kern w:val="0"/>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rFonts w:hint="eastAsia" w:ascii="宋体" w:hAnsi="宋体"/>
                <w:color w:val="auto"/>
                <w:kern w:val="0"/>
              </w:rPr>
              <w:t>无水乙醇</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螺杆计量泵</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配套</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皮带输送机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长</w:t>
            </w:r>
            <w:r>
              <w:rPr>
                <w:color w:val="auto"/>
              </w:rPr>
              <w:t>12.5m</w:t>
            </w:r>
          </w:p>
        </w:tc>
        <w:tc>
          <w:tcPr>
            <w:tcW w:w="901" w:type="dxa"/>
            <w:tcBorders>
              <w:top w:val="single" w:color="000000" w:sz="4" w:space="0"/>
              <w:left w:val="nil"/>
              <w:bottom w:val="single" w:color="000000" w:sz="4" w:space="0"/>
              <w:right w:val="single" w:color="000000" w:sz="4" w:space="0"/>
            </w:tcBorders>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脉冲布袋除尘器</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碳钢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2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脉冲布袋除尘器</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MC-220</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2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引风机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Q235</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2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水幕除尘器</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φ2800mm* H5000mm</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δ3mm</w:t>
            </w:r>
            <w:r>
              <w:rPr>
                <w:rFonts w:hint="eastAsia" w:ascii="宋体" w:hAnsi="宋体"/>
                <w:color w:val="auto"/>
              </w:rPr>
              <w:t>不锈钢</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kern w:val="0"/>
              </w:rPr>
            </w:pPr>
            <w:r>
              <w:rPr>
                <w:color w:val="auto"/>
              </w:rPr>
              <w:t xml:space="preserve">1 </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料仓</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2m3</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十四斗组合秤</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1.6L</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包装机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FJ250FV</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1</w:t>
            </w:r>
            <w:r>
              <w:rPr>
                <w:rFonts w:hint="eastAsia" w:ascii="宋体" w:hAnsi="宋体"/>
                <w:color w:val="auto"/>
              </w:rPr>
              <w:t>套</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包装机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FJ350FV</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1</w:t>
            </w:r>
            <w:r>
              <w:rPr>
                <w:rFonts w:hint="eastAsia" w:ascii="宋体" w:hAnsi="宋体"/>
                <w:color w:val="auto"/>
              </w:rPr>
              <w:t>套</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单袋检重秤</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UCD-220A</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抖袋输送机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2m</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人工装箱台</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L=3000</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rFonts w:hint="eastAsia" w:ascii="宋体" w:hAnsi="宋体"/>
                <w:color w:val="auto"/>
              </w:rPr>
              <w:t>封箱打包一体机</w:t>
            </w:r>
          </w:p>
        </w:tc>
        <w:tc>
          <w:tcPr>
            <w:tcW w:w="942"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KXB-3AE+101B</w:t>
            </w:r>
          </w:p>
        </w:tc>
        <w:tc>
          <w:tcPr>
            <w:tcW w:w="901" w:type="dxa"/>
            <w:tcBorders>
              <w:top w:val="single" w:color="000000" w:sz="4" w:space="0"/>
              <w:left w:val="nil"/>
              <w:bottom w:val="single" w:color="000000" w:sz="4" w:space="0"/>
              <w:right w:val="single" w:color="000000" w:sz="4" w:space="0"/>
            </w:tcBorders>
            <w:vAlign w:val="center"/>
          </w:tcPr>
          <w:p>
            <w:pPr>
              <w:widowControl/>
              <w:spacing w:line="290" w:lineRule="exact"/>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spacing w:line="290" w:lineRule="exact"/>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spacing w:line="290" w:lineRule="exact"/>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spacing w:line="290" w:lineRule="exact"/>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双净重秤半自动化包装机</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400-500</w:t>
            </w:r>
            <w:r>
              <w:rPr>
                <w:rFonts w:hint="eastAsia" w:ascii="宋体" w:hAnsi="宋体"/>
                <w:color w:val="auto"/>
              </w:rPr>
              <w:t>包</w:t>
            </w:r>
            <w:r>
              <w:rPr>
                <w:color w:val="auto"/>
              </w:rPr>
              <w:t>/</w:t>
            </w:r>
            <w:r>
              <w:rPr>
                <w:rFonts w:hint="eastAsia" w:ascii="宋体" w:hAnsi="宋体"/>
                <w:color w:val="auto"/>
              </w:rPr>
              <w:t>小时</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自动化封口机</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GP6000+GKS-9</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料仓</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无搅拌</w:t>
            </w:r>
            <w:r>
              <w:rPr>
                <w:color w:val="auto"/>
              </w:rPr>
              <w:t>10m³</w:t>
            </w:r>
            <w:r>
              <w:rPr>
                <w:rFonts w:hint="eastAsia" w:ascii="宋体" w:hAnsi="宋体"/>
                <w:color w:val="auto"/>
              </w:rPr>
              <w:t>料仓，气动蝶阀下料控制</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常温</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宋体" w:hAnsi="宋体"/>
                <w:color w:val="auto"/>
                <w:kern w:val="0"/>
              </w:rPr>
              <w:t>常压</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颗粒剂</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输送皮带</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5m</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SUS304</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码垛系统</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1</w:t>
            </w:r>
            <w:r>
              <w:rPr>
                <w:rFonts w:hint="eastAsia" w:ascii="宋体" w:hAnsi="宋体"/>
                <w:color w:val="auto"/>
              </w:rPr>
              <w:t>套</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0316" w:type="dxa"/>
            <w:gridSpan w:val="9"/>
            <w:tcBorders>
              <w:top w:val="single" w:color="auto" w:sz="4" w:space="0"/>
              <w:left w:val="single" w:color="auto" w:sz="4" w:space="0"/>
              <w:bottom w:val="single" w:color="auto" w:sz="4" w:space="0"/>
              <w:right w:val="single" w:color="auto" w:sz="4" w:space="0"/>
            </w:tcBorders>
            <w:vAlign w:val="center"/>
          </w:tcPr>
          <w:p>
            <w:pPr>
              <w:widowControl/>
              <w:jc w:val="center"/>
              <w:rPr>
                <w:rFonts w:ascii="Calibri" w:hAnsi="Calibri"/>
                <w:color w:val="auto"/>
                <w:kern w:val="0"/>
              </w:rPr>
            </w:pPr>
            <w:r>
              <w:rPr>
                <w:rFonts w:hint="eastAsia" w:ascii="宋体" w:hAnsi="宋体"/>
                <w:color w:val="auto"/>
                <w:kern w:val="0"/>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rFonts w:hint="eastAsia" w:ascii="宋体" w:hAnsi="宋体"/>
                <w:color w:val="auto"/>
                <w:highlight w:val="none"/>
              </w:rPr>
              <w:t>液氮罐</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rFonts w:hint="eastAsia"/>
                <w:color w:val="auto"/>
                <w:highlight w:val="none"/>
                <w:lang w:val="en-US" w:eastAsia="zh-CN"/>
              </w:rPr>
              <w:t>10</w:t>
            </w:r>
            <w:r>
              <w:rPr>
                <w:color w:val="auto"/>
                <w:highlight w:val="none"/>
              </w:rPr>
              <w:t>t</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rFonts w:hint="eastAsia" w:ascii="宋体" w:hAnsi="宋体"/>
                <w:color w:val="auto"/>
                <w:highlight w:val="none"/>
              </w:rPr>
              <w:t>不锈钢</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hint="eastAsia" w:ascii="Calibri" w:hAnsi="Calibri" w:eastAsia="宋体"/>
                <w:color w:val="auto"/>
                <w:highlight w:val="none"/>
                <w:lang w:eastAsia="zh-CN"/>
              </w:rPr>
            </w:pPr>
            <w:r>
              <w:rPr>
                <w:rFonts w:hint="eastAsia"/>
                <w:color w:val="auto"/>
                <w:highlight w:val="none"/>
                <w:lang w:val="en-US" w:eastAsia="zh-CN"/>
              </w:rPr>
              <w:t>1</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highlight w:val="none"/>
              </w:rPr>
            </w:pPr>
            <w:r>
              <w:rPr>
                <w:color w:val="auto"/>
                <w:kern w:val="0"/>
                <w:highlight w:val="none"/>
              </w:rPr>
              <w:t>-196</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highlight w:val="none"/>
              </w:rPr>
            </w:pPr>
            <w:r>
              <w:rPr>
                <w:color w:val="auto"/>
                <w:kern w:val="0"/>
                <w:highlight w:val="none"/>
              </w:rPr>
              <w:t>0.8</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highlight w:val="none"/>
              </w:rPr>
            </w:pPr>
            <w:r>
              <w:rPr>
                <w:rFonts w:hint="eastAsia" w:ascii="宋体" w:hAnsi="宋体"/>
                <w:color w:val="auto"/>
                <w:kern w:val="0"/>
                <w:highlight w:val="none"/>
              </w:rPr>
              <w:t>液氮</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汽化器</w:t>
            </w:r>
          </w:p>
        </w:tc>
        <w:tc>
          <w:tcPr>
            <w:tcW w:w="942" w:type="dxa"/>
            <w:tcBorders>
              <w:top w:val="single" w:color="000000" w:sz="4" w:space="0"/>
              <w:left w:val="nil"/>
              <w:bottom w:val="single" w:color="000000" w:sz="4" w:space="0"/>
              <w:right w:val="single" w:color="000000" w:sz="4" w:space="0"/>
            </w:tcBorders>
            <w:vAlign w:val="center"/>
          </w:tcPr>
          <w:p>
            <w:pPr>
              <w:spacing w:line="240" w:lineRule="atLeast"/>
              <w:jc w:val="left"/>
              <w:rPr>
                <w:rFonts w:ascii="Calibri" w:hAnsi="Calibri"/>
                <w:color w:val="auto"/>
                <w:kern w:val="0"/>
                <w:sz w:val="24"/>
                <w:szCs w:val="24"/>
              </w:rPr>
            </w:pPr>
            <w:r>
              <w:rPr>
                <w:rFonts w:hint="eastAsia" w:ascii="宋体" w:hAnsi="宋体"/>
                <w:color w:val="auto"/>
              </w:rPr>
              <w:t>工作压力：</w:t>
            </w:r>
            <w:r>
              <w:rPr>
                <w:color w:val="auto"/>
              </w:rPr>
              <w:t>0.4~2.4</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不锈钢</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Calibri" w:hAnsi="Calibri"/>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rFonts w:hint="eastAsia" w:ascii="Calibri" w:hAnsi="Calibri"/>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rFonts w:hint="eastAsia" w:ascii="宋体" w:hAnsi="宋体"/>
                <w:color w:val="auto"/>
                <w:kern w:val="0"/>
              </w:rPr>
              <w:t>氮气</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rFonts w:hint="eastAsia" w:ascii="宋体" w:hAnsi="宋体"/>
                <w:color w:val="auto"/>
                <w:highlight w:val="none"/>
              </w:rPr>
              <w:t>液氨钢瓶</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rFonts w:hint="eastAsia"/>
                <w:color w:val="auto"/>
                <w:highlight w:val="none"/>
                <w:lang w:val="en-US" w:eastAsia="zh-CN"/>
              </w:rPr>
              <w:t>8</w:t>
            </w:r>
            <w:r>
              <w:rPr>
                <w:color w:val="auto"/>
                <w:highlight w:val="none"/>
              </w:rPr>
              <w:t>00L</w:t>
            </w:r>
            <w:r>
              <w:rPr>
                <w:rFonts w:hint="eastAsia" w:ascii="宋体" w:hAnsi="宋体"/>
                <w:color w:val="auto"/>
                <w:highlight w:val="none"/>
              </w:rPr>
              <w:t>、</w:t>
            </w:r>
            <w:r>
              <w:rPr>
                <w:color w:val="auto"/>
                <w:highlight w:val="none"/>
              </w:rPr>
              <w:t>0.</w:t>
            </w:r>
            <w:r>
              <w:rPr>
                <w:rFonts w:hint="eastAsia"/>
                <w:color w:val="auto"/>
                <w:highlight w:val="none"/>
                <w:lang w:val="en-US" w:eastAsia="zh-CN"/>
              </w:rPr>
              <w:t>4</w:t>
            </w:r>
            <w:r>
              <w:rPr>
                <w:color w:val="auto"/>
                <w:highlight w:val="none"/>
              </w:rPr>
              <w:t>t</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highlight w:val="none"/>
              </w:rPr>
            </w:pPr>
            <w:r>
              <w:rPr>
                <w:color w:val="auto"/>
                <w:highlight w:val="none"/>
              </w:rPr>
              <w:t>SUS304</w:t>
            </w: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hint="eastAsia" w:ascii="Calibri" w:hAnsi="Calibri" w:eastAsia="宋体"/>
                <w:color w:val="auto"/>
                <w:highlight w:val="none"/>
                <w:lang w:eastAsia="zh-CN"/>
              </w:rPr>
            </w:pPr>
            <w:r>
              <w:rPr>
                <w:rFonts w:hint="eastAsia"/>
                <w:color w:val="auto"/>
                <w:highlight w:val="none"/>
                <w:lang w:val="en-US" w:eastAsia="zh-CN"/>
              </w:rPr>
              <w:t>6</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highlight w:val="none"/>
              </w:rPr>
            </w:pPr>
            <w:r>
              <w:rPr>
                <w:rFonts w:hint="eastAsia" w:ascii="宋体" w:hAnsi="宋体"/>
                <w:color w:val="auto"/>
                <w:kern w:val="0"/>
                <w:highlight w:val="none"/>
              </w:rPr>
              <w:t>常温</w:t>
            </w:r>
          </w:p>
        </w:tc>
        <w:tc>
          <w:tcPr>
            <w:tcW w:w="669" w:type="dxa"/>
            <w:tcBorders>
              <w:top w:val="single" w:color="auto" w:sz="4" w:space="0"/>
              <w:left w:val="nil"/>
              <w:bottom w:val="single" w:color="auto" w:sz="4" w:space="0"/>
              <w:right w:val="single" w:color="auto" w:sz="4" w:space="0"/>
            </w:tcBorders>
          </w:tcPr>
          <w:p>
            <w:pPr>
              <w:widowControl/>
              <w:rPr>
                <w:rFonts w:hint="default" w:ascii="Calibri" w:hAnsi="Calibri" w:eastAsia="宋体"/>
                <w:color w:val="auto"/>
                <w:kern w:val="0"/>
                <w:highlight w:val="none"/>
                <w:lang w:val="en-US" w:eastAsia="zh-CN"/>
              </w:rPr>
            </w:pPr>
            <w:r>
              <w:rPr>
                <w:rFonts w:hint="eastAsia"/>
                <w:color w:val="auto"/>
                <w:kern w:val="0"/>
                <w:highlight w:val="none"/>
                <w:lang w:val="en-US" w:eastAsia="zh-CN"/>
              </w:rPr>
              <w:t>2.4</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highlight w:val="none"/>
              </w:rPr>
            </w:pPr>
            <w:r>
              <w:rPr>
                <w:rFonts w:hint="eastAsia" w:ascii="宋体" w:hAnsi="宋体"/>
                <w:color w:val="auto"/>
                <w:kern w:val="0"/>
                <w:highlight w:val="none"/>
              </w:rPr>
              <w:t>液氨</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电动叉车</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3t</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2</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jc w:val="center"/>
        </w:trPr>
        <w:tc>
          <w:tcPr>
            <w:tcW w:w="447" w:type="dxa"/>
            <w:tcBorders>
              <w:top w:val="single" w:color="auto" w:sz="4" w:space="0"/>
              <w:left w:val="single" w:color="auto" w:sz="4" w:space="0"/>
              <w:bottom w:val="single" w:color="auto" w:sz="4" w:space="0"/>
              <w:right w:val="single" w:color="auto" w:sz="4" w:space="0"/>
            </w:tcBorders>
            <w:vAlign w:val="center"/>
          </w:tcPr>
          <w:p>
            <w:pPr>
              <w:widowControl/>
              <w:numPr>
                <w:ilvl w:val="0"/>
                <w:numId w:val="9"/>
              </w:numPr>
              <w:rPr>
                <w:color w:val="auto"/>
                <w:kern w:val="0"/>
              </w:rPr>
            </w:pPr>
          </w:p>
        </w:tc>
        <w:tc>
          <w:tcPr>
            <w:tcW w:w="1959"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rFonts w:hint="eastAsia" w:ascii="宋体" w:hAnsi="宋体"/>
                <w:color w:val="auto"/>
              </w:rPr>
              <w:t>电梯</w:t>
            </w:r>
          </w:p>
        </w:tc>
        <w:tc>
          <w:tcPr>
            <w:tcW w:w="942"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r>
              <w:rPr>
                <w:color w:val="auto"/>
              </w:rPr>
              <w:t>7.5kw</w:t>
            </w:r>
          </w:p>
        </w:tc>
        <w:tc>
          <w:tcPr>
            <w:tcW w:w="901" w:type="dxa"/>
            <w:tcBorders>
              <w:top w:val="single" w:color="000000" w:sz="4" w:space="0"/>
              <w:left w:val="nil"/>
              <w:bottom w:val="single" w:color="000000" w:sz="4" w:space="0"/>
              <w:right w:val="single" w:color="000000" w:sz="4" w:space="0"/>
            </w:tcBorders>
            <w:vAlign w:val="center"/>
          </w:tcPr>
          <w:p>
            <w:pPr>
              <w:widowControl/>
              <w:rPr>
                <w:rFonts w:ascii="Calibri" w:hAnsi="Calibri"/>
                <w:color w:val="auto"/>
              </w:rPr>
            </w:pPr>
          </w:p>
        </w:tc>
        <w:tc>
          <w:tcPr>
            <w:tcW w:w="660" w:type="dxa"/>
            <w:tcBorders>
              <w:top w:val="single" w:color="000000" w:sz="4" w:space="0"/>
              <w:left w:val="nil"/>
              <w:bottom w:val="single" w:color="000000" w:sz="4" w:space="0"/>
              <w:right w:val="single" w:color="000000" w:sz="4" w:space="0"/>
            </w:tcBorders>
            <w:vAlign w:val="center"/>
          </w:tcPr>
          <w:p>
            <w:pPr>
              <w:widowControl/>
              <w:jc w:val="center"/>
              <w:rPr>
                <w:rFonts w:ascii="Calibri" w:hAnsi="Calibri"/>
                <w:color w:val="auto"/>
              </w:rPr>
            </w:pPr>
            <w:r>
              <w:rPr>
                <w:color w:val="auto"/>
              </w:rPr>
              <w:t>4</w:t>
            </w:r>
          </w:p>
        </w:tc>
        <w:tc>
          <w:tcPr>
            <w:tcW w:w="64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669" w:type="dxa"/>
            <w:tcBorders>
              <w:top w:val="single" w:color="auto" w:sz="4" w:space="0"/>
              <w:left w:val="nil"/>
              <w:bottom w:val="single" w:color="auto" w:sz="4" w:space="0"/>
              <w:right w:val="single" w:color="auto" w:sz="4" w:space="0"/>
            </w:tcBorders>
          </w:tcPr>
          <w:p>
            <w:pPr>
              <w:widowControl/>
              <w:rPr>
                <w:rFonts w:ascii="Calibri" w:hAnsi="Calibri"/>
                <w:color w:val="auto"/>
                <w:kern w:val="0"/>
              </w:rPr>
            </w:pPr>
            <w:r>
              <w:rPr>
                <w:color w:val="auto"/>
                <w:kern w:val="0"/>
              </w:rPr>
              <w:t>-</w:t>
            </w:r>
          </w:p>
        </w:tc>
        <w:tc>
          <w:tcPr>
            <w:tcW w:w="1282" w:type="dxa"/>
            <w:tcBorders>
              <w:top w:val="single" w:color="auto" w:sz="4" w:space="0"/>
              <w:left w:val="nil"/>
              <w:bottom w:val="single" w:color="auto" w:sz="4" w:space="0"/>
              <w:right w:val="single" w:color="auto" w:sz="4" w:space="0"/>
            </w:tcBorders>
          </w:tcPr>
          <w:p>
            <w:pPr>
              <w:widowControl/>
              <w:jc w:val="center"/>
              <w:rPr>
                <w:rFonts w:ascii="Calibri" w:hAnsi="Calibri"/>
                <w:color w:val="auto"/>
                <w:kern w:val="0"/>
              </w:rPr>
            </w:pPr>
            <w:r>
              <w:rPr>
                <w:color w:val="auto"/>
                <w:kern w:val="0"/>
              </w:rPr>
              <w:t>-</w:t>
            </w:r>
          </w:p>
        </w:tc>
        <w:tc>
          <w:tcPr>
            <w:tcW w:w="2807" w:type="dxa"/>
            <w:tcBorders>
              <w:top w:val="single" w:color="auto" w:sz="4" w:space="0"/>
              <w:left w:val="nil"/>
              <w:bottom w:val="single" w:color="auto" w:sz="4" w:space="0"/>
              <w:right w:val="single" w:color="auto" w:sz="4" w:space="0"/>
            </w:tcBorders>
          </w:tcPr>
          <w:p>
            <w:pPr>
              <w:widowControl/>
              <w:rPr>
                <w:rFonts w:ascii="Calibri" w:hAnsi="Calibri"/>
                <w:color w:val="auto"/>
                <w:kern w:val="0"/>
              </w:rPr>
            </w:pPr>
          </w:p>
        </w:tc>
      </w:tr>
    </w:tbl>
    <w:p>
      <w:pPr>
        <w:pStyle w:val="49"/>
        <w:ind w:firstLine="560" w:firstLineChars="200"/>
        <w:rPr>
          <w:color w:val="auto"/>
          <w:sz w:val="28"/>
          <w:szCs w:val="28"/>
        </w:rPr>
      </w:pPr>
      <w:r>
        <w:rPr>
          <w:rFonts w:hint="eastAsia"/>
          <w:color w:val="auto"/>
          <w:sz w:val="28"/>
          <w:szCs w:val="28"/>
        </w:rPr>
        <w:t>2.特种设备</w:t>
      </w:r>
    </w:p>
    <w:p>
      <w:pPr>
        <w:spacing w:line="360" w:lineRule="auto"/>
        <w:ind w:firstLine="420" w:firstLineChars="200"/>
        <w:jc w:val="center"/>
        <w:rPr>
          <w:color w:val="auto"/>
        </w:rPr>
      </w:pPr>
      <w:r>
        <w:rPr>
          <w:rFonts w:hint="eastAsia" w:ascii="宋体" w:hAnsi="宋体"/>
          <w:color w:val="auto"/>
        </w:rPr>
        <w:t>表2</w:t>
      </w:r>
      <w:r>
        <w:rPr>
          <w:rFonts w:ascii="宋体" w:hAnsi="宋体"/>
          <w:color w:val="auto"/>
        </w:rPr>
        <w:t xml:space="preserve">.9 </w:t>
      </w:r>
      <w:r>
        <w:rPr>
          <w:rFonts w:hint="eastAsia" w:ascii="宋体" w:hAnsi="宋体"/>
          <w:color w:val="auto"/>
        </w:rPr>
        <w:t>项目特种设备一览表</w:t>
      </w:r>
    </w:p>
    <w:tbl>
      <w:tblPr>
        <w:tblStyle w:val="31"/>
        <w:tblW w:w="897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47"/>
        <w:gridCol w:w="2242"/>
        <w:gridCol w:w="1180"/>
        <w:gridCol w:w="993"/>
        <w:gridCol w:w="850"/>
        <w:gridCol w:w="902"/>
        <w:gridCol w:w="1134"/>
        <w:gridCol w:w="122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4" w:space="0"/>
              <w:left w:val="single" w:color="auto" w:sz="4" w:space="0"/>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序号</w:t>
            </w:r>
          </w:p>
        </w:tc>
        <w:tc>
          <w:tcPr>
            <w:tcW w:w="2242"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设备名称</w:t>
            </w:r>
          </w:p>
        </w:tc>
        <w:tc>
          <w:tcPr>
            <w:tcW w:w="1180"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规格</w:t>
            </w:r>
            <w:r>
              <w:rPr>
                <w:rFonts w:hint="eastAsia"/>
                <w:color w:val="auto"/>
                <w:kern w:val="0"/>
              </w:rPr>
              <w:t>/</w:t>
            </w:r>
            <w:r>
              <w:rPr>
                <w:rFonts w:hint="eastAsia" w:ascii="宋体" w:hAnsi="宋体"/>
                <w:color w:val="auto"/>
                <w:kern w:val="0"/>
              </w:rPr>
              <w:t>型号</w:t>
            </w:r>
          </w:p>
        </w:tc>
        <w:tc>
          <w:tcPr>
            <w:tcW w:w="993"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材质</w:t>
            </w:r>
          </w:p>
        </w:tc>
        <w:tc>
          <w:tcPr>
            <w:tcW w:w="850"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数量台</w:t>
            </w:r>
          </w:p>
        </w:tc>
        <w:tc>
          <w:tcPr>
            <w:tcW w:w="902"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温度</w:t>
            </w:r>
            <w:r>
              <w:rPr>
                <w:rFonts w:hint="eastAsia"/>
                <w:color w:val="auto"/>
                <w:kern w:val="0"/>
              </w:rPr>
              <w:t>℃</w:t>
            </w:r>
          </w:p>
        </w:tc>
        <w:tc>
          <w:tcPr>
            <w:tcW w:w="1134" w:type="dxa"/>
            <w:tcBorders>
              <w:top w:val="single" w:color="auto" w:sz="4"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kern w:val="0"/>
              </w:rPr>
              <w:t>压力</w:t>
            </w:r>
            <w:r>
              <w:rPr>
                <w:rFonts w:hint="eastAsia"/>
                <w:color w:val="auto"/>
                <w:kern w:val="0"/>
              </w:rPr>
              <w:t>MPa</w:t>
            </w:r>
          </w:p>
        </w:tc>
        <w:tc>
          <w:tcPr>
            <w:tcW w:w="1224" w:type="dxa"/>
            <w:tcBorders>
              <w:top w:val="single" w:color="auto" w:sz="4" w:space="0"/>
              <w:left w:val="nil"/>
              <w:bottom w:val="single" w:color="auto" w:sz="6" w:space="0"/>
              <w:right w:val="single" w:color="auto" w:sz="4" w:space="0"/>
            </w:tcBorders>
            <w:vAlign w:val="center"/>
          </w:tcPr>
          <w:p>
            <w:pPr>
              <w:widowControl/>
              <w:jc w:val="center"/>
              <w:rPr>
                <w:color w:val="auto"/>
                <w:kern w:val="0"/>
              </w:rPr>
            </w:pPr>
            <w:r>
              <w:rPr>
                <w:rFonts w:hint="eastAsia" w:ascii="宋体" w:hAnsi="宋体"/>
                <w:color w:val="auto"/>
                <w:kern w:val="0"/>
              </w:rPr>
              <w:t>介质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rPr>
              <w:t>磺酰化反应釜夹套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yellow"/>
              </w:rPr>
            </w:pPr>
            <w:r>
              <w:rPr>
                <w:color w:val="auto"/>
                <w:kern w:val="0"/>
              </w:rPr>
              <w:t>2000L</w:t>
            </w:r>
          </w:p>
        </w:tc>
        <w:tc>
          <w:tcPr>
            <w:tcW w:w="993"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66</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kern w:val="0"/>
              </w:rPr>
              <w:t>水解重排反应釜</w:t>
            </w:r>
            <w:r>
              <w:rPr>
                <w:rFonts w:hint="eastAsia" w:ascii="宋体" w:hAnsi="宋体"/>
                <w:color w:val="auto"/>
              </w:rPr>
              <w:t>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kern w:val="0"/>
              </w:rPr>
              <w:t>2000L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65</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氧化反应釜夹套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2000L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2</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110.6</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低温还原反应釜夹套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2000L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66</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萃取精馏釜夹套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1000L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78</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高温开环反应釜夹套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1000L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150</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萃取精馏釜夹套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1000L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78</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纯化结晶釜夹套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60</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ascii="宋体" w:hAnsi="宋体"/>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双羟化反应釜夹套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5000L</w:t>
            </w:r>
          </w:p>
        </w:tc>
        <w:tc>
          <w:tcPr>
            <w:tcW w:w="993" w:type="dxa"/>
            <w:tcBorders>
              <w:top w:val="single" w:color="auto" w:sz="6" w:space="0"/>
              <w:left w:val="nil"/>
              <w:bottom w:val="single" w:color="auto" w:sz="6" w:space="0"/>
              <w:right w:val="single" w:color="auto" w:sz="6" w:space="0"/>
            </w:tcBorders>
          </w:tcPr>
          <w:p>
            <w:pPr>
              <w:widowControl/>
              <w:jc w:val="center"/>
              <w:rPr>
                <w:rFonts w:hint="eastAsia" w:ascii="宋体" w:hAnsi="宋体"/>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4</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50</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ascii="宋体" w:hAnsi="宋体"/>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脱溶结晶釜夹套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2000L</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78</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ascii="宋体" w:hAnsi="宋体"/>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丙酰化反应釜夹套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2000L</w:t>
            </w:r>
          </w:p>
        </w:tc>
        <w:tc>
          <w:tcPr>
            <w:tcW w:w="993" w:type="dxa"/>
            <w:tcBorders>
              <w:top w:val="single" w:color="auto" w:sz="6" w:space="0"/>
              <w:left w:val="nil"/>
              <w:bottom w:val="single" w:color="auto" w:sz="6" w:space="0"/>
              <w:right w:val="single" w:color="auto" w:sz="6" w:space="0"/>
            </w:tcBorders>
          </w:tcPr>
          <w:p>
            <w:pPr>
              <w:widowControl/>
              <w:jc w:val="center"/>
              <w:rPr>
                <w:rFonts w:hint="eastAsia" w:ascii="宋体" w:hAnsi="宋体"/>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50</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ascii="宋体" w:hAnsi="宋体"/>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ascii="宋体" w:hAnsi="宋体"/>
                <w:color w:val="auto"/>
              </w:rPr>
            </w:pPr>
            <w:r>
              <w:rPr>
                <w:rFonts w:hint="eastAsia" w:ascii="宋体" w:hAnsi="宋体"/>
                <w:color w:val="auto"/>
              </w:rPr>
              <w:t>萃取精馏釜夹套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1000L</w:t>
            </w:r>
          </w:p>
        </w:tc>
        <w:tc>
          <w:tcPr>
            <w:tcW w:w="993" w:type="dxa"/>
            <w:tcBorders>
              <w:top w:val="single" w:color="auto" w:sz="6" w:space="0"/>
              <w:left w:val="nil"/>
              <w:bottom w:val="single" w:color="auto" w:sz="6" w:space="0"/>
              <w:right w:val="single" w:color="auto" w:sz="6" w:space="0"/>
            </w:tcBorders>
          </w:tcPr>
          <w:p>
            <w:pPr>
              <w:widowControl/>
              <w:jc w:val="center"/>
              <w:rPr>
                <w:rFonts w:hint="eastAsia" w:ascii="宋体" w:hAnsi="宋体"/>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color w:val="auto"/>
                <w:kern w:val="0"/>
              </w:rPr>
              <w:t>50</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ascii="宋体" w:hAnsi="宋体"/>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rFonts w:hint="eastAsia" w:ascii="宋体" w:hAnsi="宋体"/>
                <w:color w:val="auto"/>
              </w:rPr>
              <w:t>纯化结晶釜夹套</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yellow"/>
              </w:rPr>
            </w:pPr>
            <w:r>
              <w:rPr>
                <w:color w:val="auto"/>
              </w:rPr>
              <w:t>1000L</w:t>
            </w:r>
          </w:p>
        </w:tc>
        <w:tc>
          <w:tcPr>
            <w:tcW w:w="993" w:type="dxa"/>
            <w:tcBorders>
              <w:top w:val="single" w:color="auto" w:sz="6" w:space="0"/>
              <w:left w:val="nil"/>
              <w:bottom w:val="single" w:color="auto" w:sz="6" w:space="0"/>
              <w:right w:val="single" w:color="auto" w:sz="6" w:space="0"/>
            </w:tcBorders>
          </w:tcPr>
          <w:p>
            <w:pPr>
              <w:widowControl/>
              <w:jc w:val="center"/>
              <w:rPr>
                <w:rFonts w:hint="eastAsia"/>
                <w:color w:val="auto"/>
              </w:rPr>
            </w:pPr>
            <w:r>
              <w:rPr>
                <w:rFonts w:hint="eastAsia" w:ascii="宋体" w:hAnsi="宋体"/>
                <w:color w:val="auto"/>
              </w:rPr>
              <w:t>搪玻璃</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rPr>
            </w:pPr>
            <w:r>
              <w:rPr>
                <w:color w:val="auto"/>
              </w:rPr>
              <w:t>1</w:t>
            </w:r>
          </w:p>
        </w:tc>
        <w:tc>
          <w:tcPr>
            <w:tcW w:w="902"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color w:val="auto"/>
                <w:kern w:val="0"/>
              </w:rPr>
              <w:t>78</w:t>
            </w:r>
          </w:p>
        </w:tc>
        <w:tc>
          <w:tcPr>
            <w:tcW w:w="1134" w:type="dxa"/>
            <w:tcBorders>
              <w:top w:val="single" w:color="auto" w:sz="6" w:space="0"/>
              <w:left w:val="nil"/>
              <w:bottom w:val="single" w:color="auto" w:sz="6" w:space="0"/>
              <w:right w:val="single" w:color="auto" w:sz="6" w:space="0"/>
            </w:tcBorders>
          </w:tcPr>
          <w:p>
            <w:pPr>
              <w:widowControl/>
              <w:jc w:val="center"/>
              <w:rPr>
                <w:rFonts w:hint="eastAsia"/>
                <w:color w:val="auto"/>
                <w:kern w:val="0"/>
              </w:rPr>
            </w:pPr>
            <w:r>
              <w:rPr>
                <w:rFonts w:hint="eastAsia"/>
                <w:color w:val="auto"/>
                <w:kern w:val="0"/>
              </w:rPr>
              <w:t>0</w:t>
            </w:r>
            <w:r>
              <w:rPr>
                <w:color w:val="auto"/>
                <w:kern w:val="0"/>
              </w:rPr>
              <w:t>.6</w:t>
            </w:r>
          </w:p>
        </w:tc>
        <w:tc>
          <w:tcPr>
            <w:tcW w:w="1224" w:type="dxa"/>
            <w:tcBorders>
              <w:top w:val="single" w:color="auto" w:sz="6" w:space="0"/>
              <w:left w:val="nil"/>
              <w:bottom w:val="single" w:color="auto" w:sz="6" w:space="0"/>
              <w:right w:val="single" w:color="auto" w:sz="4" w:space="0"/>
            </w:tcBorders>
          </w:tcPr>
          <w:p>
            <w:pPr>
              <w:widowControl/>
              <w:jc w:val="center"/>
              <w:rPr>
                <w:rFonts w:hint="eastAsia"/>
                <w:color w:val="auto"/>
                <w:kern w:val="0"/>
              </w:rPr>
            </w:pPr>
            <w:r>
              <w:rPr>
                <w:rFonts w:hint="eastAsia"/>
                <w:color w:val="auto"/>
                <w:kern w:val="0"/>
              </w:rPr>
              <w:t>蒸汽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none"/>
              </w:rPr>
            </w:pPr>
            <w:r>
              <w:rPr>
                <w:rFonts w:hint="eastAsia"/>
                <w:color w:val="auto"/>
                <w:kern w:val="0"/>
                <w:highlight w:val="none"/>
              </w:rPr>
              <w:t>液氮罐</w:t>
            </w:r>
          </w:p>
        </w:tc>
        <w:tc>
          <w:tcPr>
            <w:tcW w:w="1180"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none"/>
              </w:rPr>
            </w:pPr>
            <w:r>
              <w:rPr>
                <w:rFonts w:hint="eastAsia"/>
                <w:color w:val="auto"/>
                <w:kern w:val="0"/>
                <w:highlight w:val="none"/>
                <w:lang w:val="en-US" w:eastAsia="zh-CN"/>
              </w:rPr>
              <w:t>10</w:t>
            </w:r>
            <w:r>
              <w:rPr>
                <w:rFonts w:hint="eastAsia"/>
                <w:color w:val="auto"/>
                <w:kern w:val="0"/>
                <w:highlight w:val="none"/>
              </w:rPr>
              <w:t>t</w:t>
            </w:r>
          </w:p>
        </w:tc>
        <w:tc>
          <w:tcPr>
            <w:tcW w:w="993" w:type="dxa"/>
            <w:tcBorders>
              <w:top w:val="single" w:color="auto" w:sz="6" w:space="0"/>
              <w:left w:val="nil"/>
              <w:bottom w:val="single" w:color="auto" w:sz="6" w:space="0"/>
              <w:right w:val="single" w:color="auto" w:sz="6" w:space="0"/>
            </w:tcBorders>
            <w:vAlign w:val="center"/>
          </w:tcPr>
          <w:p>
            <w:pPr>
              <w:widowControl/>
              <w:jc w:val="center"/>
              <w:rPr>
                <w:rFonts w:hint="eastAsia"/>
                <w:color w:val="auto"/>
                <w:highlight w:val="none"/>
              </w:rPr>
            </w:pPr>
            <w:r>
              <w:rPr>
                <w:rFonts w:hint="eastAsia"/>
                <w:color w:val="auto"/>
                <w:highlight w:val="none"/>
              </w:rPr>
              <w:t>不锈钢</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eastAsia="宋体"/>
                <w:color w:val="auto"/>
                <w:kern w:val="0"/>
                <w:highlight w:val="none"/>
                <w:lang w:eastAsia="zh-CN"/>
              </w:rPr>
            </w:pPr>
            <w:r>
              <w:rPr>
                <w:rFonts w:hint="eastAsia"/>
                <w:color w:val="auto"/>
                <w:kern w:val="0"/>
                <w:highlight w:val="none"/>
                <w:lang w:val="en-US" w:eastAsia="zh-CN"/>
              </w:rPr>
              <w:t>1</w:t>
            </w:r>
          </w:p>
        </w:tc>
        <w:tc>
          <w:tcPr>
            <w:tcW w:w="902"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none"/>
              </w:rPr>
            </w:pPr>
            <w:r>
              <w:rPr>
                <w:rFonts w:hint="eastAsia"/>
                <w:color w:val="auto"/>
                <w:kern w:val="0"/>
                <w:highlight w:val="none"/>
              </w:rPr>
              <w:t>-196</w:t>
            </w:r>
          </w:p>
        </w:tc>
        <w:tc>
          <w:tcPr>
            <w:tcW w:w="1134" w:type="dxa"/>
            <w:tcBorders>
              <w:top w:val="single" w:color="auto" w:sz="6" w:space="0"/>
              <w:left w:val="nil"/>
              <w:bottom w:val="single" w:color="auto" w:sz="6" w:space="0"/>
              <w:right w:val="single" w:color="auto" w:sz="6" w:space="0"/>
            </w:tcBorders>
            <w:vAlign w:val="center"/>
          </w:tcPr>
          <w:p>
            <w:pPr>
              <w:widowControl/>
              <w:jc w:val="center"/>
              <w:rPr>
                <w:rFonts w:hint="eastAsia"/>
                <w:color w:val="auto"/>
                <w:kern w:val="0"/>
                <w:highlight w:val="none"/>
              </w:rPr>
            </w:pPr>
            <w:r>
              <w:rPr>
                <w:rFonts w:hint="eastAsia"/>
                <w:color w:val="auto"/>
                <w:kern w:val="0"/>
                <w:highlight w:val="none"/>
              </w:rPr>
              <w:t>0.8</w:t>
            </w:r>
          </w:p>
        </w:tc>
        <w:tc>
          <w:tcPr>
            <w:tcW w:w="1224" w:type="dxa"/>
            <w:tcBorders>
              <w:top w:val="single" w:color="auto" w:sz="6" w:space="0"/>
              <w:left w:val="nil"/>
              <w:bottom w:val="single" w:color="auto" w:sz="6" w:space="0"/>
              <w:right w:val="single" w:color="auto" w:sz="4" w:space="0"/>
            </w:tcBorders>
            <w:vAlign w:val="center"/>
          </w:tcPr>
          <w:p>
            <w:pPr>
              <w:widowControl/>
              <w:jc w:val="center"/>
              <w:rPr>
                <w:rFonts w:hint="eastAsia"/>
                <w:color w:val="auto"/>
                <w:kern w:val="0"/>
                <w:highlight w:val="none"/>
              </w:rPr>
            </w:pPr>
            <w:r>
              <w:rPr>
                <w:rFonts w:hint="eastAsia"/>
                <w:color w:val="auto"/>
                <w:kern w:val="0"/>
                <w:highlight w:val="none"/>
              </w:rPr>
              <w:t>液氮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none"/>
              </w:rPr>
            </w:pPr>
            <w:r>
              <w:rPr>
                <w:rFonts w:hint="eastAsia"/>
                <w:color w:val="auto"/>
                <w:kern w:val="0"/>
                <w:highlight w:val="none"/>
              </w:rPr>
              <w:t>液氨钢瓶</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none"/>
              </w:rPr>
            </w:pPr>
            <w:r>
              <w:rPr>
                <w:rFonts w:hint="eastAsia"/>
                <w:color w:val="auto"/>
                <w:kern w:val="0"/>
                <w:highlight w:val="none"/>
              </w:rPr>
              <w:t>0.</w:t>
            </w:r>
            <w:r>
              <w:rPr>
                <w:rFonts w:hint="eastAsia"/>
                <w:color w:val="auto"/>
                <w:kern w:val="0"/>
                <w:highlight w:val="none"/>
                <w:lang w:val="en-US" w:eastAsia="zh-CN"/>
              </w:rPr>
              <w:t>4</w:t>
            </w:r>
            <w:r>
              <w:rPr>
                <w:rFonts w:hint="eastAsia"/>
                <w:color w:val="auto"/>
                <w:kern w:val="0"/>
                <w:highlight w:val="none"/>
              </w:rPr>
              <w:t>t</w:t>
            </w:r>
          </w:p>
        </w:tc>
        <w:tc>
          <w:tcPr>
            <w:tcW w:w="993"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none"/>
              </w:rPr>
            </w:pPr>
            <w:r>
              <w:rPr>
                <w:color w:val="auto"/>
                <w:highlight w:val="none"/>
              </w:rPr>
              <w:t>SUS304</w:t>
            </w:r>
          </w:p>
        </w:tc>
        <w:tc>
          <w:tcPr>
            <w:tcW w:w="850" w:type="dxa"/>
            <w:tcBorders>
              <w:top w:val="single" w:color="auto" w:sz="6" w:space="0"/>
              <w:left w:val="nil"/>
              <w:bottom w:val="single" w:color="auto" w:sz="6" w:space="0"/>
              <w:right w:val="single" w:color="auto" w:sz="6" w:space="0"/>
            </w:tcBorders>
            <w:vAlign w:val="center"/>
          </w:tcPr>
          <w:p>
            <w:pPr>
              <w:widowControl/>
              <w:jc w:val="center"/>
              <w:rPr>
                <w:rFonts w:hint="eastAsia" w:eastAsia="宋体"/>
                <w:color w:val="auto"/>
                <w:kern w:val="0"/>
                <w:highlight w:val="none"/>
                <w:lang w:eastAsia="zh-CN"/>
              </w:rPr>
            </w:pPr>
            <w:r>
              <w:rPr>
                <w:rFonts w:hint="eastAsia"/>
                <w:color w:val="auto"/>
                <w:kern w:val="0"/>
                <w:highlight w:val="none"/>
                <w:lang w:val="en-US" w:eastAsia="zh-CN"/>
              </w:rPr>
              <w:t>6</w:t>
            </w:r>
          </w:p>
        </w:tc>
        <w:tc>
          <w:tcPr>
            <w:tcW w:w="902"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none"/>
              </w:rPr>
            </w:pPr>
            <w:r>
              <w:rPr>
                <w:rFonts w:hint="eastAsia"/>
                <w:color w:val="auto"/>
                <w:kern w:val="0"/>
                <w:highlight w:val="none"/>
              </w:rPr>
              <w:t>常温</w:t>
            </w:r>
          </w:p>
        </w:tc>
        <w:tc>
          <w:tcPr>
            <w:tcW w:w="1134" w:type="dxa"/>
            <w:tcBorders>
              <w:top w:val="single" w:color="auto" w:sz="6" w:space="0"/>
              <w:left w:val="nil"/>
              <w:bottom w:val="single" w:color="auto" w:sz="6" w:space="0"/>
              <w:right w:val="single" w:color="auto" w:sz="6" w:space="0"/>
            </w:tcBorders>
            <w:vAlign w:val="center"/>
          </w:tcPr>
          <w:p>
            <w:pPr>
              <w:widowControl/>
              <w:jc w:val="center"/>
              <w:rPr>
                <w:color w:val="auto"/>
                <w:kern w:val="0"/>
                <w:highlight w:val="none"/>
              </w:rPr>
            </w:pPr>
            <w:r>
              <w:rPr>
                <w:color w:val="auto"/>
                <w:kern w:val="0"/>
                <w:highlight w:val="none"/>
              </w:rPr>
              <w:t>3</w:t>
            </w:r>
          </w:p>
        </w:tc>
        <w:tc>
          <w:tcPr>
            <w:tcW w:w="1224" w:type="dxa"/>
            <w:tcBorders>
              <w:top w:val="single" w:color="auto" w:sz="6" w:space="0"/>
              <w:left w:val="nil"/>
              <w:bottom w:val="single" w:color="auto" w:sz="6" w:space="0"/>
              <w:right w:val="single" w:color="auto" w:sz="4" w:space="0"/>
            </w:tcBorders>
            <w:vAlign w:val="center"/>
          </w:tcPr>
          <w:p>
            <w:pPr>
              <w:widowControl/>
              <w:jc w:val="center"/>
              <w:rPr>
                <w:color w:val="auto"/>
                <w:kern w:val="0"/>
                <w:highlight w:val="none"/>
              </w:rPr>
            </w:pPr>
            <w:r>
              <w:rPr>
                <w:rFonts w:hint="eastAsia"/>
                <w:color w:val="auto"/>
                <w:kern w:val="0"/>
                <w:highlight w:val="none"/>
              </w:rPr>
              <w:t>液氨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压缩空气储罐</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1</w:t>
            </w:r>
            <w:r>
              <w:rPr>
                <w:color w:val="auto"/>
                <w:kern w:val="0"/>
              </w:rPr>
              <w:t>0</w:t>
            </w:r>
            <w:r>
              <w:rPr>
                <w:rFonts w:hint="eastAsia"/>
                <w:color w:val="auto"/>
                <w:kern w:val="0"/>
              </w:rPr>
              <w:t>m</w:t>
            </w:r>
            <w:r>
              <w:rPr>
                <w:color w:val="auto"/>
                <w:kern w:val="0"/>
                <w:vertAlign w:val="superscript"/>
              </w:rPr>
              <w:t>3</w:t>
            </w:r>
          </w:p>
        </w:tc>
        <w:tc>
          <w:tcPr>
            <w:tcW w:w="993" w:type="dxa"/>
            <w:tcBorders>
              <w:top w:val="single" w:color="auto" w:sz="6" w:space="0"/>
              <w:left w:val="nil"/>
              <w:bottom w:val="single" w:color="auto" w:sz="6" w:space="0"/>
              <w:right w:val="single" w:color="auto" w:sz="6" w:space="0"/>
            </w:tcBorders>
          </w:tcPr>
          <w:p>
            <w:pPr>
              <w:widowControl/>
              <w:jc w:val="center"/>
              <w:rPr>
                <w:color w:val="auto"/>
              </w:rPr>
            </w:pPr>
            <w:r>
              <w:rPr>
                <w:rFonts w:hint="eastAsia"/>
                <w:color w:val="auto"/>
              </w:rPr>
              <w:t>不锈钢</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1</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常温</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0.8</w:t>
            </w:r>
          </w:p>
        </w:tc>
        <w:tc>
          <w:tcPr>
            <w:tcW w:w="1224" w:type="dxa"/>
            <w:tcBorders>
              <w:top w:val="single" w:color="auto" w:sz="6" w:space="0"/>
              <w:left w:val="nil"/>
              <w:bottom w:val="single" w:color="auto" w:sz="6" w:space="0"/>
              <w:right w:val="single" w:color="auto" w:sz="4" w:space="0"/>
            </w:tcBorders>
            <w:vAlign w:val="center"/>
          </w:tcPr>
          <w:p>
            <w:pPr>
              <w:widowControl/>
              <w:jc w:val="center"/>
              <w:rPr>
                <w:color w:val="auto"/>
                <w:kern w:val="0"/>
              </w:rPr>
            </w:pPr>
            <w:r>
              <w:rPr>
                <w:rFonts w:hint="eastAsia"/>
                <w:color w:val="auto"/>
                <w:kern w:val="0"/>
              </w:rPr>
              <w:t>空气</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氮气缓冲罐</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1</w:t>
            </w:r>
            <w:r>
              <w:rPr>
                <w:color w:val="auto"/>
                <w:kern w:val="0"/>
              </w:rPr>
              <w:t>0</w:t>
            </w:r>
            <w:r>
              <w:rPr>
                <w:rFonts w:hint="eastAsia"/>
                <w:color w:val="auto"/>
                <w:kern w:val="0"/>
              </w:rPr>
              <w:t>m</w:t>
            </w:r>
            <w:r>
              <w:rPr>
                <w:color w:val="auto"/>
                <w:kern w:val="0"/>
                <w:vertAlign w:val="superscript"/>
              </w:rPr>
              <w:t>3</w:t>
            </w:r>
          </w:p>
        </w:tc>
        <w:tc>
          <w:tcPr>
            <w:tcW w:w="993" w:type="dxa"/>
            <w:tcBorders>
              <w:top w:val="single" w:color="auto" w:sz="6" w:space="0"/>
              <w:left w:val="nil"/>
              <w:bottom w:val="single" w:color="auto" w:sz="6" w:space="0"/>
              <w:right w:val="single" w:color="auto" w:sz="6" w:space="0"/>
            </w:tcBorders>
          </w:tcPr>
          <w:p>
            <w:pPr>
              <w:widowControl/>
              <w:jc w:val="center"/>
              <w:rPr>
                <w:color w:val="auto"/>
              </w:rPr>
            </w:pPr>
            <w:r>
              <w:rPr>
                <w:rFonts w:hint="eastAsia"/>
                <w:color w:val="auto"/>
              </w:rPr>
              <w:t>不锈钢</w:t>
            </w: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2</w:t>
            </w:r>
          </w:p>
        </w:tc>
        <w:tc>
          <w:tcPr>
            <w:tcW w:w="902"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常温</w:t>
            </w:r>
          </w:p>
        </w:tc>
        <w:tc>
          <w:tcPr>
            <w:tcW w:w="1134" w:type="dxa"/>
            <w:tcBorders>
              <w:top w:val="single" w:color="auto" w:sz="6" w:space="0"/>
              <w:left w:val="nil"/>
              <w:bottom w:val="single" w:color="auto" w:sz="6" w:space="0"/>
              <w:right w:val="single" w:color="auto" w:sz="6" w:space="0"/>
            </w:tcBorders>
          </w:tcPr>
          <w:p>
            <w:pPr>
              <w:widowControl/>
              <w:jc w:val="center"/>
              <w:rPr>
                <w:color w:val="auto"/>
                <w:kern w:val="0"/>
              </w:rPr>
            </w:pPr>
            <w:r>
              <w:rPr>
                <w:rFonts w:hint="eastAsia"/>
                <w:color w:val="auto"/>
                <w:kern w:val="0"/>
              </w:rPr>
              <w:t>0.8</w:t>
            </w:r>
          </w:p>
        </w:tc>
        <w:tc>
          <w:tcPr>
            <w:tcW w:w="1224" w:type="dxa"/>
            <w:tcBorders>
              <w:top w:val="single" w:color="auto" w:sz="6" w:space="0"/>
              <w:left w:val="nil"/>
              <w:bottom w:val="single" w:color="auto" w:sz="6" w:space="0"/>
              <w:right w:val="single" w:color="auto" w:sz="4" w:space="0"/>
            </w:tcBorders>
            <w:vAlign w:val="center"/>
          </w:tcPr>
          <w:p>
            <w:pPr>
              <w:widowControl/>
              <w:jc w:val="center"/>
              <w:rPr>
                <w:color w:val="auto"/>
                <w:kern w:val="0"/>
              </w:rPr>
            </w:pPr>
            <w:r>
              <w:rPr>
                <w:rFonts w:hint="eastAsia"/>
                <w:color w:val="auto"/>
                <w:kern w:val="0"/>
              </w:rPr>
              <w:t>氮气</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电动叉车</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Q=</w:t>
            </w:r>
            <w:r>
              <w:rPr>
                <w:color w:val="auto"/>
                <w:kern w:val="0"/>
              </w:rPr>
              <w:t>3</w:t>
            </w:r>
            <w:r>
              <w:rPr>
                <w:rFonts w:hint="eastAsia"/>
                <w:color w:val="auto"/>
                <w:kern w:val="0"/>
              </w:rPr>
              <w:t>T</w:t>
            </w:r>
          </w:p>
        </w:tc>
        <w:tc>
          <w:tcPr>
            <w:tcW w:w="993" w:type="dxa"/>
            <w:tcBorders>
              <w:top w:val="single" w:color="auto" w:sz="6" w:space="0"/>
              <w:left w:val="nil"/>
              <w:bottom w:val="single" w:color="auto" w:sz="6" w:space="0"/>
              <w:right w:val="single" w:color="auto" w:sz="6" w:space="0"/>
            </w:tcBorders>
            <w:vAlign w:val="center"/>
          </w:tcPr>
          <w:p>
            <w:pPr>
              <w:widowControl/>
              <w:jc w:val="center"/>
              <w:rPr>
                <w:color w:val="auto"/>
                <w:kern w:val="0"/>
              </w:rPr>
            </w:pP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2</w:t>
            </w:r>
          </w:p>
        </w:tc>
        <w:tc>
          <w:tcPr>
            <w:tcW w:w="90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w:t>
            </w:r>
          </w:p>
        </w:tc>
        <w:tc>
          <w:tcPr>
            <w:tcW w:w="1134"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w:t>
            </w:r>
          </w:p>
        </w:tc>
        <w:tc>
          <w:tcPr>
            <w:tcW w:w="1224" w:type="dxa"/>
            <w:tcBorders>
              <w:top w:val="single" w:color="auto" w:sz="6" w:space="0"/>
              <w:left w:val="nil"/>
              <w:bottom w:val="single" w:color="auto" w:sz="6" w:space="0"/>
              <w:right w:val="single" w:color="auto" w:sz="4" w:space="0"/>
            </w:tcBorders>
            <w:vAlign w:val="center"/>
          </w:tcPr>
          <w:p>
            <w:pPr>
              <w:widowControl/>
              <w:jc w:val="center"/>
              <w:rPr>
                <w:color w:val="auto"/>
                <w:kern w:val="0"/>
              </w:rPr>
            </w:pPr>
            <w:r>
              <w:rPr>
                <w:rFonts w:hint="eastAsia"/>
                <w:color w:val="auto"/>
                <w:kern w:val="0"/>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7" w:type="dxa"/>
            <w:tcBorders>
              <w:top w:val="single" w:color="auto" w:sz="6" w:space="0"/>
              <w:left w:val="single" w:color="auto" w:sz="4" w:space="0"/>
              <w:bottom w:val="single" w:color="auto" w:sz="6" w:space="0"/>
              <w:right w:val="single" w:color="auto" w:sz="6" w:space="0"/>
            </w:tcBorders>
            <w:vAlign w:val="center"/>
          </w:tcPr>
          <w:p>
            <w:pPr>
              <w:pStyle w:val="57"/>
              <w:widowControl/>
              <w:numPr>
                <w:ilvl w:val="0"/>
                <w:numId w:val="10"/>
              </w:numPr>
              <w:ind w:firstLineChars="0"/>
              <w:jc w:val="center"/>
              <w:rPr>
                <w:color w:val="auto"/>
                <w:kern w:val="0"/>
              </w:rPr>
            </w:pPr>
          </w:p>
        </w:tc>
        <w:tc>
          <w:tcPr>
            <w:tcW w:w="224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电梯</w:t>
            </w:r>
          </w:p>
        </w:tc>
        <w:tc>
          <w:tcPr>
            <w:tcW w:w="118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7</w:t>
            </w:r>
            <w:r>
              <w:rPr>
                <w:color w:val="auto"/>
                <w:kern w:val="0"/>
              </w:rPr>
              <w:t>.5</w:t>
            </w:r>
            <w:r>
              <w:rPr>
                <w:rFonts w:hint="eastAsia"/>
                <w:color w:val="auto"/>
                <w:kern w:val="0"/>
              </w:rPr>
              <w:t>kW</w:t>
            </w:r>
          </w:p>
        </w:tc>
        <w:tc>
          <w:tcPr>
            <w:tcW w:w="993" w:type="dxa"/>
            <w:tcBorders>
              <w:top w:val="single" w:color="auto" w:sz="6" w:space="0"/>
              <w:left w:val="nil"/>
              <w:bottom w:val="single" w:color="auto" w:sz="6" w:space="0"/>
              <w:right w:val="single" w:color="auto" w:sz="6" w:space="0"/>
            </w:tcBorders>
            <w:vAlign w:val="center"/>
          </w:tcPr>
          <w:p>
            <w:pPr>
              <w:widowControl/>
              <w:jc w:val="center"/>
              <w:rPr>
                <w:color w:val="auto"/>
                <w:kern w:val="0"/>
              </w:rPr>
            </w:pPr>
          </w:p>
        </w:tc>
        <w:tc>
          <w:tcPr>
            <w:tcW w:w="850"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4</w:t>
            </w:r>
          </w:p>
        </w:tc>
        <w:tc>
          <w:tcPr>
            <w:tcW w:w="902"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w:t>
            </w:r>
          </w:p>
        </w:tc>
        <w:tc>
          <w:tcPr>
            <w:tcW w:w="1134" w:type="dxa"/>
            <w:tcBorders>
              <w:top w:val="single" w:color="auto" w:sz="6" w:space="0"/>
              <w:left w:val="nil"/>
              <w:bottom w:val="single" w:color="auto" w:sz="6" w:space="0"/>
              <w:right w:val="single" w:color="auto" w:sz="6" w:space="0"/>
            </w:tcBorders>
            <w:vAlign w:val="center"/>
          </w:tcPr>
          <w:p>
            <w:pPr>
              <w:widowControl/>
              <w:jc w:val="center"/>
              <w:rPr>
                <w:color w:val="auto"/>
                <w:kern w:val="0"/>
              </w:rPr>
            </w:pPr>
            <w:r>
              <w:rPr>
                <w:rFonts w:hint="eastAsia"/>
                <w:color w:val="auto"/>
                <w:kern w:val="0"/>
              </w:rPr>
              <w:t>/</w:t>
            </w:r>
          </w:p>
        </w:tc>
        <w:tc>
          <w:tcPr>
            <w:tcW w:w="1224" w:type="dxa"/>
            <w:tcBorders>
              <w:top w:val="single" w:color="auto" w:sz="6" w:space="0"/>
              <w:left w:val="nil"/>
              <w:bottom w:val="single" w:color="auto" w:sz="6" w:space="0"/>
              <w:right w:val="single" w:color="auto" w:sz="4" w:space="0"/>
            </w:tcBorders>
            <w:vAlign w:val="center"/>
          </w:tcPr>
          <w:p>
            <w:pPr>
              <w:widowControl/>
              <w:jc w:val="center"/>
              <w:rPr>
                <w:color w:val="auto"/>
                <w:kern w:val="0"/>
              </w:rPr>
            </w:pPr>
            <w:r>
              <w:rPr>
                <w:rFonts w:hint="eastAsia"/>
                <w:color w:val="auto"/>
                <w:kern w:val="0"/>
              </w:rPr>
              <w:t>/</w:t>
            </w:r>
          </w:p>
        </w:tc>
      </w:tr>
    </w:tbl>
    <w:p>
      <w:pPr>
        <w:pStyle w:val="49"/>
        <w:ind w:firstLine="560" w:firstLineChars="200"/>
        <w:rPr>
          <w:color w:val="auto"/>
          <w:sz w:val="28"/>
          <w:szCs w:val="28"/>
        </w:rPr>
      </w:pPr>
      <w:r>
        <w:rPr>
          <w:rFonts w:hint="eastAsia"/>
          <w:color w:val="auto"/>
          <w:sz w:val="28"/>
          <w:szCs w:val="28"/>
        </w:rPr>
        <w:t>2）压力管道</w:t>
      </w:r>
    </w:p>
    <w:p>
      <w:pPr>
        <w:pStyle w:val="49"/>
        <w:ind w:firstLine="560" w:firstLineChars="200"/>
        <w:rPr>
          <w:color w:val="auto"/>
          <w:sz w:val="28"/>
          <w:szCs w:val="28"/>
        </w:rPr>
      </w:pPr>
      <w:r>
        <w:rPr>
          <w:rFonts w:hint="eastAsia"/>
          <w:color w:val="auto"/>
          <w:sz w:val="28"/>
          <w:szCs w:val="28"/>
        </w:rPr>
        <w:t>该项目涉及的压力管道为若干蒸汽管道、压缩空气管道、氮气管道等。</w:t>
      </w:r>
    </w:p>
    <w:p>
      <w:pPr>
        <w:pStyle w:val="4"/>
        <w:rPr>
          <w:rFonts w:ascii="Times New Roman" w:hAnsi="Times New Roman" w:cs="Times New Roman"/>
          <w:bCs w:val="0"/>
          <w:color w:val="auto"/>
        </w:rPr>
      </w:pPr>
      <w:bookmarkStart w:id="58" w:name="_Toc144109165"/>
      <w:r>
        <w:rPr>
          <w:rFonts w:hint="eastAsia" w:ascii="Times New Roman" w:hAnsi="Times New Roman" w:cs="Times New Roman"/>
          <w:bCs w:val="0"/>
          <w:color w:val="auto"/>
        </w:rPr>
        <w:t>2.</w:t>
      </w:r>
      <w:r>
        <w:rPr>
          <w:rFonts w:ascii="Times New Roman" w:hAnsi="Times New Roman" w:cs="Times New Roman"/>
          <w:bCs w:val="0"/>
          <w:color w:val="auto"/>
        </w:rPr>
        <w:t>9</w:t>
      </w:r>
      <w:r>
        <w:rPr>
          <w:rFonts w:hint="eastAsia" w:ascii="Times New Roman" w:hAnsi="Times New Roman" w:cs="Times New Roman"/>
          <w:bCs w:val="0"/>
          <w:color w:val="auto"/>
        </w:rPr>
        <w:t xml:space="preserve"> 三废处理</w:t>
      </w:r>
      <w:bookmarkEnd w:id="58"/>
    </w:p>
    <w:p>
      <w:pPr>
        <w:spacing w:line="360" w:lineRule="auto"/>
        <w:ind w:firstLine="562" w:firstLineChars="200"/>
        <w:rPr>
          <w:rFonts w:ascii="宋体" w:hAnsi="宋体"/>
          <w:b/>
          <w:bCs/>
          <w:color w:val="auto"/>
          <w:sz w:val="28"/>
          <w:szCs w:val="28"/>
        </w:rPr>
      </w:pPr>
      <w:r>
        <w:rPr>
          <w:rFonts w:ascii="宋体" w:hAnsi="宋体"/>
          <w:b/>
          <w:bCs/>
          <w:color w:val="auto"/>
          <w:sz w:val="28"/>
          <w:szCs w:val="28"/>
        </w:rPr>
        <w:t>1.</w:t>
      </w:r>
      <w:r>
        <w:rPr>
          <w:rFonts w:hint="eastAsia" w:ascii="宋体" w:hAnsi="宋体"/>
          <w:b/>
          <w:bCs/>
          <w:color w:val="auto"/>
          <w:sz w:val="28"/>
          <w:szCs w:val="28"/>
        </w:rPr>
        <w:t>废气</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该项目原药生产车间产生的工艺废气包括有组织废气和无组织废气，有组织废气产生量5</w:t>
      </w:r>
      <w:r>
        <w:rPr>
          <w:rFonts w:ascii="宋体" w:hAnsi="宋体"/>
          <w:color w:val="auto"/>
          <w:sz w:val="28"/>
          <w:szCs w:val="28"/>
        </w:rPr>
        <w:t>0.341</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a，无组织废气产生量2</w:t>
      </w:r>
      <w:r>
        <w:rPr>
          <w:rFonts w:ascii="宋体" w:hAnsi="宋体"/>
          <w:color w:val="auto"/>
          <w:sz w:val="28"/>
          <w:szCs w:val="28"/>
        </w:rPr>
        <w:t>.7876</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a。该项目拟对芸苔素内酯原药生产排放的废气采用“水吸收+活性炭吸附”工艺，生产工艺中产生的废气经过冷凝回收后，不凝气由放空管接入废气总管管道经水吸收+活性炭吸附处理达标后经3</w:t>
      </w:r>
      <w:r>
        <w:rPr>
          <w:rFonts w:ascii="宋体" w:hAnsi="宋体"/>
          <w:color w:val="auto"/>
          <w:sz w:val="28"/>
          <w:szCs w:val="28"/>
        </w:rPr>
        <w:t>0</w:t>
      </w:r>
      <w:r>
        <w:rPr>
          <w:rFonts w:hint="eastAsia" w:ascii="宋体" w:hAnsi="宋体"/>
          <w:color w:val="auto"/>
          <w:sz w:val="28"/>
          <w:szCs w:val="28"/>
        </w:rPr>
        <w:t>m高的排气筒达标排放，去除率可达9</w:t>
      </w:r>
      <w:r>
        <w:rPr>
          <w:rFonts w:ascii="宋体" w:hAnsi="宋体"/>
          <w:color w:val="auto"/>
          <w:sz w:val="28"/>
          <w:szCs w:val="28"/>
        </w:rPr>
        <w:t>0%</w:t>
      </w:r>
      <w:r>
        <w:rPr>
          <w:rFonts w:hint="eastAsia" w:ascii="宋体" w:hAnsi="宋体"/>
          <w:color w:val="auto"/>
          <w:sz w:val="28"/>
          <w:szCs w:val="28"/>
        </w:rPr>
        <w:t>以上。</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该项目液体制剂生产过程产生的有组织废气量为3</w:t>
      </w:r>
      <w:r>
        <w:rPr>
          <w:rFonts w:ascii="宋体" w:hAnsi="宋体"/>
          <w:color w:val="auto"/>
          <w:sz w:val="28"/>
          <w:szCs w:val="28"/>
        </w:rPr>
        <w:t>.79034</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a，无组织废气量为0</w:t>
      </w:r>
      <w:r>
        <w:rPr>
          <w:rFonts w:ascii="宋体" w:hAnsi="宋体"/>
          <w:color w:val="auto"/>
          <w:sz w:val="28"/>
          <w:szCs w:val="28"/>
        </w:rPr>
        <w:t>.42</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a。液体制剂生产过程中产生的废气拟采用密闭式集气罩负压收集，经多级活性炭处理后通过3</w:t>
      </w:r>
      <w:r>
        <w:rPr>
          <w:rFonts w:ascii="宋体" w:hAnsi="宋体"/>
          <w:color w:val="auto"/>
          <w:sz w:val="28"/>
          <w:szCs w:val="28"/>
        </w:rPr>
        <w:t>0</w:t>
      </w:r>
      <w:r>
        <w:rPr>
          <w:rFonts w:hint="eastAsia" w:ascii="宋体" w:hAnsi="宋体"/>
          <w:color w:val="auto"/>
          <w:sz w:val="28"/>
          <w:szCs w:val="28"/>
        </w:rPr>
        <w:t>m高排气筒排放，去除率可达9</w:t>
      </w:r>
      <w:r>
        <w:rPr>
          <w:rFonts w:ascii="宋体" w:hAnsi="宋体"/>
          <w:color w:val="auto"/>
          <w:sz w:val="28"/>
          <w:szCs w:val="28"/>
        </w:rPr>
        <w:t>0%</w:t>
      </w:r>
      <w:r>
        <w:rPr>
          <w:rFonts w:hint="eastAsia" w:ascii="宋体" w:hAnsi="宋体"/>
          <w:color w:val="auto"/>
          <w:sz w:val="28"/>
          <w:szCs w:val="28"/>
        </w:rPr>
        <w:t>。</w:t>
      </w:r>
    </w:p>
    <w:p>
      <w:pPr>
        <w:spacing w:line="360" w:lineRule="auto"/>
        <w:ind w:firstLine="560" w:firstLineChars="200"/>
        <w:rPr>
          <w:color w:val="auto"/>
          <w:sz w:val="28"/>
          <w:szCs w:val="28"/>
        </w:rPr>
      </w:pPr>
      <w:r>
        <w:rPr>
          <w:rFonts w:hint="eastAsia" w:ascii="宋体" w:hAnsi="宋体"/>
          <w:color w:val="auto"/>
          <w:sz w:val="28"/>
          <w:szCs w:val="28"/>
        </w:rPr>
        <w:t>该项目颗粒剂生产过程中产生的废气采用密闭集气罩负压收集，经布袋除尘+三级水喷淋处理后通过3</w:t>
      </w:r>
      <w:r>
        <w:rPr>
          <w:rFonts w:ascii="宋体" w:hAnsi="宋体"/>
          <w:color w:val="auto"/>
          <w:sz w:val="28"/>
          <w:szCs w:val="28"/>
        </w:rPr>
        <w:t>0</w:t>
      </w:r>
      <w:r>
        <w:rPr>
          <w:rFonts w:hint="eastAsia" w:ascii="宋体" w:hAnsi="宋体"/>
          <w:color w:val="auto"/>
          <w:sz w:val="28"/>
          <w:szCs w:val="28"/>
        </w:rPr>
        <w:t>m高排气筒排放。颗粒剂生产过程中产生的有组织废气量为</w:t>
      </w:r>
      <w:r>
        <w:rPr>
          <w:rFonts w:ascii="宋体" w:hAnsi="宋体"/>
          <w:color w:val="auto"/>
          <w:sz w:val="28"/>
          <w:szCs w:val="28"/>
        </w:rPr>
        <w:t>221.6</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a，无组织废气量为4</w:t>
      </w:r>
      <w:r>
        <w:rPr>
          <w:rFonts w:ascii="宋体" w:hAnsi="宋体"/>
          <w:color w:val="auto"/>
          <w:sz w:val="28"/>
          <w:szCs w:val="28"/>
        </w:rPr>
        <w:t>.92</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w:t>
      </w:r>
    </w:p>
    <w:p>
      <w:pPr>
        <w:spacing w:line="360" w:lineRule="auto"/>
        <w:ind w:firstLine="562" w:firstLineChars="200"/>
        <w:rPr>
          <w:rFonts w:ascii="宋体" w:hAnsi="宋体"/>
          <w:b/>
          <w:bCs/>
          <w:color w:val="auto"/>
          <w:sz w:val="28"/>
          <w:szCs w:val="28"/>
        </w:rPr>
      </w:pPr>
      <w:r>
        <w:rPr>
          <w:rFonts w:ascii="宋体" w:hAnsi="宋体"/>
          <w:b/>
          <w:bCs/>
          <w:color w:val="auto"/>
          <w:sz w:val="28"/>
          <w:szCs w:val="28"/>
        </w:rPr>
        <w:t>2</w:t>
      </w:r>
      <w:r>
        <w:rPr>
          <w:rFonts w:hint="eastAsia" w:ascii="宋体" w:hAnsi="宋体"/>
          <w:b/>
          <w:bCs/>
          <w:color w:val="auto"/>
          <w:sz w:val="28"/>
          <w:szCs w:val="28"/>
        </w:rPr>
        <w:t>.废水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废水分为生产废水、生活污水和初期雨水。生产废水包括：工艺废水、设备及地面冲洗废水、废气处理废水、分析化验室废水、真空泵废水和循环冷却水定排水。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（1）生产废水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1）工艺废水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生产过程中工艺废水主要为冷凝废水，反应添加水不产生废水，该项目废水产生产量为9</w:t>
      </w:r>
      <w:r>
        <w:rPr>
          <w:rFonts w:ascii="宋体" w:hAnsi="宋体"/>
          <w:color w:val="auto"/>
          <w:sz w:val="28"/>
          <w:szCs w:val="28"/>
        </w:rPr>
        <w:t>07.31</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2）设备及地面冲洗废水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该项目生产过程中需要对共用设备进行清洗，生产过程中对地面需进行冲洗，会产生地面冲洗废水。设备清洗废水和地面冲洗废水量为6</w:t>
      </w:r>
      <w:r>
        <w:rPr>
          <w:rFonts w:ascii="宋体" w:hAnsi="宋体"/>
          <w:color w:val="auto"/>
          <w:sz w:val="28"/>
          <w:szCs w:val="28"/>
        </w:rPr>
        <w:t>365</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3）废气处理吸收废水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该项目废气吸收采用水吸收，吸收后的水产生废水，该项目水喷淋吸收废水产生量为2</w:t>
      </w:r>
      <w:r>
        <w:rPr>
          <w:rFonts w:ascii="宋体" w:hAnsi="宋体"/>
          <w:color w:val="auto"/>
          <w:sz w:val="28"/>
          <w:szCs w:val="28"/>
        </w:rPr>
        <w:t>479.98</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4）分析化验室废水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该项目设有实验室，实验过程中产生的实验废液和清洁废水；该部分废水产生量为1</w:t>
      </w:r>
      <w:r>
        <w:rPr>
          <w:rFonts w:ascii="宋体" w:hAnsi="宋体"/>
          <w:color w:val="auto"/>
          <w:sz w:val="28"/>
          <w:szCs w:val="28"/>
        </w:rPr>
        <w:t>35</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5）真空泵废水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该项目真空泵每段时间更换一次新水，真空泵废水产生量为</w:t>
      </w:r>
      <w:r>
        <w:rPr>
          <w:rFonts w:ascii="宋体" w:hAnsi="宋体"/>
          <w:color w:val="auto"/>
          <w:sz w:val="28"/>
          <w:szCs w:val="28"/>
        </w:rPr>
        <w:t>216</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6）循环水冷却水排水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该项目生产过程中部分生产工艺需用水降温，采用循环冷却水间接冷却，循环水冷却过程中盐含量达到一定浓度需要进行置换，需往循环水系统中注入盐含量低的新鲜水。循环水排放量为9</w:t>
      </w:r>
      <w:r>
        <w:rPr>
          <w:rFonts w:ascii="宋体" w:hAnsi="宋体"/>
          <w:color w:val="auto"/>
          <w:sz w:val="28"/>
          <w:szCs w:val="28"/>
        </w:rPr>
        <w:t>50</w:t>
      </w:r>
      <w:r>
        <w:rPr>
          <w:rFonts w:hint="eastAsia" w:ascii="宋体" w:hAnsi="宋体"/>
          <w:color w:val="auto"/>
          <w:sz w:val="28"/>
          <w:szCs w:val="28"/>
        </w:rPr>
        <w:t>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a。</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（2）生活污水</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该项目新增劳动定员2</w:t>
      </w:r>
      <w:r>
        <w:rPr>
          <w:rFonts w:ascii="宋体" w:hAnsi="宋体"/>
          <w:color w:val="auto"/>
          <w:sz w:val="28"/>
          <w:szCs w:val="28"/>
        </w:rPr>
        <w:t>00</w:t>
      </w:r>
      <w:r>
        <w:rPr>
          <w:rFonts w:hint="eastAsia" w:ascii="宋体" w:hAnsi="宋体"/>
          <w:color w:val="auto"/>
          <w:sz w:val="28"/>
          <w:szCs w:val="28"/>
        </w:rPr>
        <w:t>人，用水定额按1</w:t>
      </w:r>
      <w:r>
        <w:rPr>
          <w:rFonts w:ascii="宋体" w:hAnsi="宋体"/>
          <w:color w:val="auto"/>
          <w:sz w:val="28"/>
          <w:szCs w:val="28"/>
        </w:rPr>
        <w:t>20</w:t>
      </w:r>
      <w:r>
        <w:rPr>
          <w:rFonts w:hint="eastAsia" w:ascii="宋体" w:hAnsi="宋体"/>
          <w:color w:val="auto"/>
          <w:sz w:val="28"/>
          <w:szCs w:val="28"/>
        </w:rPr>
        <w:t>L</w:t>
      </w:r>
      <w:r>
        <w:rPr>
          <w:rFonts w:ascii="宋体" w:hAnsi="宋体"/>
          <w:color w:val="auto"/>
          <w:sz w:val="28"/>
          <w:szCs w:val="28"/>
        </w:rPr>
        <w:t>/</w:t>
      </w:r>
      <w:r>
        <w:rPr>
          <w:rFonts w:hint="eastAsia" w:ascii="宋体" w:hAnsi="宋体"/>
          <w:color w:val="auto"/>
          <w:sz w:val="28"/>
          <w:szCs w:val="28"/>
        </w:rPr>
        <w:t>人·d计算，生活污水产生量按8</w:t>
      </w:r>
      <w:r>
        <w:rPr>
          <w:rFonts w:ascii="宋体" w:hAnsi="宋体"/>
          <w:color w:val="auto"/>
          <w:sz w:val="28"/>
          <w:szCs w:val="28"/>
        </w:rPr>
        <w:t>0%</w:t>
      </w:r>
      <w:r>
        <w:rPr>
          <w:rFonts w:hint="eastAsia" w:ascii="宋体" w:hAnsi="宋体"/>
          <w:color w:val="auto"/>
          <w:sz w:val="28"/>
          <w:szCs w:val="28"/>
        </w:rPr>
        <w:t>计算，则生活污水产生量为5</w:t>
      </w:r>
      <w:r>
        <w:rPr>
          <w:rFonts w:ascii="宋体" w:hAnsi="宋体"/>
          <w:color w:val="auto"/>
          <w:sz w:val="28"/>
          <w:szCs w:val="28"/>
        </w:rPr>
        <w:t>760</w:t>
      </w:r>
      <w:r>
        <w:rPr>
          <w:rFonts w:hint="eastAsia" w:ascii="宋体" w:hAnsi="宋体"/>
          <w:color w:val="auto"/>
          <w:sz w:val="28"/>
          <w:szCs w:val="28"/>
        </w:rPr>
        <w:t>t</w:t>
      </w:r>
      <w:r>
        <w:rPr>
          <w:rFonts w:ascii="宋体" w:hAnsi="宋体"/>
          <w:color w:val="auto"/>
          <w:sz w:val="28"/>
          <w:szCs w:val="28"/>
        </w:rPr>
        <w:t>/</w:t>
      </w:r>
      <w:r>
        <w:rPr>
          <w:rFonts w:hint="eastAsia" w:ascii="宋体" w:hAnsi="宋体"/>
          <w:color w:val="auto"/>
          <w:sz w:val="28"/>
          <w:szCs w:val="28"/>
        </w:rPr>
        <w:t>a。生活污水经“化粪池”预处理后进入厂区污水处理站进一步处理。</w:t>
      </w:r>
    </w:p>
    <w:p>
      <w:pPr>
        <w:spacing w:line="360" w:lineRule="auto"/>
        <w:ind w:firstLine="560" w:firstLineChars="200"/>
        <w:rPr>
          <w:rFonts w:ascii="宋体" w:hAnsi="宋体"/>
          <w:color w:val="auto"/>
          <w:sz w:val="28"/>
          <w:szCs w:val="28"/>
        </w:rPr>
      </w:pPr>
      <w:r>
        <w:rPr>
          <w:rFonts w:hint="eastAsia" w:ascii="宋体" w:hAnsi="宋体"/>
          <w:color w:val="auto"/>
          <w:sz w:val="28"/>
          <w:szCs w:val="28"/>
        </w:rPr>
        <w:t>（3）初期雨水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项目厂区存在无组织颗粒物的排放，会洒落在生产区屋顶及路面上，降雨时会产生初期雨水，该项目地面初期雨水量为0</w:t>
      </w:r>
      <w:r>
        <w:rPr>
          <w:rFonts w:ascii="宋体" w:hAnsi="宋体"/>
          <w:color w:val="auto"/>
          <w:sz w:val="28"/>
          <w:szCs w:val="28"/>
        </w:rPr>
        <w:t>.61</w:t>
      </w:r>
      <w:r>
        <w:rPr>
          <w:rFonts w:hint="eastAsia" w:ascii="宋体" w:hAnsi="宋体"/>
          <w:color w:val="auto"/>
          <w:sz w:val="28"/>
          <w:szCs w:val="28"/>
        </w:rPr>
        <w:t>m</w:t>
      </w:r>
      <w:r>
        <w:rPr>
          <w:rFonts w:ascii="宋体" w:hAnsi="宋体"/>
          <w:color w:val="auto"/>
          <w:sz w:val="28"/>
          <w:szCs w:val="28"/>
        </w:rPr>
        <w:t>3/</w:t>
      </w:r>
      <w:r>
        <w:rPr>
          <w:rFonts w:hint="eastAsia" w:ascii="宋体" w:hAnsi="宋体"/>
          <w:color w:val="auto"/>
          <w:sz w:val="28"/>
          <w:szCs w:val="28"/>
        </w:rPr>
        <w:t>s，初期雨水为5</w:t>
      </w:r>
      <w:r>
        <w:rPr>
          <w:rFonts w:ascii="宋体" w:hAnsi="宋体"/>
          <w:color w:val="auto"/>
          <w:sz w:val="28"/>
          <w:szCs w:val="28"/>
        </w:rPr>
        <w:t>49</w:t>
      </w:r>
      <w:r>
        <w:rPr>
          <w:rFonts w:hint="eastAsia" w:ascii="宋体" w:hAnsi="宋体"/>
          <w:color w:val="auto"/>
          <w:sz w:val="28"/>
          <w:szCs w:val="28"/>
        </w:rPr>
        <w:t>m</w:t>
      </w:r>
      <w:r>
        <w:rPr>
          <w:rFonts w:ascii="宋体" w:hAnsi="宋体"/>
          <w:color w:val="auto"/>
          <w:sz w:val="28"/>
          <w:szCs w:val="28"/>
        </w:rPr>
        <w:t>3/</w:t>
      </w:r>
      <w:r>
        <w:rPr>
          <w:rFonts w:hint="eastAsia" w:ascii="宋体" w:hAnsi="宋体"/>
          <w:color w:val="auto"/>
          <w:sz w:val="28"/>
          <w:szCs w:val="28"/>
        </w:rPr>
        <w:t>次。该项目设有初期雨水池，初期雨水收集池上方设有溢流口，在初期雨水收集池自然沉淀后排入项目污水处理站处理；后期清洁雨水将通过溢流口外排雨水管网。</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该项目拟建设污水处理能力为200t/d的全厂污水处理站，可以满足污水处理需求。</w:t>
      </w:r>
    </w:p>
    <w:p>
      <w:pPr>
        <w:spacing w:line="360" w:lineRule="auto"/>
        <w:ind w:firstLine="562" w:firstLineChars="200"/>
        <w:rPr>
          <w:rFonts w:ascii="宋体" w:hAnsi="宋体"/>
          <w:b/>
          <w:bCs/>
          <w:color w:val="auto"/>
          <w:sz w:val="28"/>
          <w:szCs w:val="28"/>
        </w:rPr>
      </w:pPr>
      <w:r>
        <w:rPr>
          <w:rFonts w:ascii="宋体" w:hAnsi="宋体"/>
          <w:b/>
          <w:bCs/>
          <w:color w:val="auto"/>
          <w:sz w:val="28"/>
          <w:szCs w:val="28"/>
        </w:rPr>
        <w:t>3</w:t>
      </w:r>
      <w:r>
        <w:rPr>
          <w:rFonts w:hint="eastAsia" w:ascii="宋体" w:hAnsi="宋体"/>
          <w:b/>
          <w:bCs/>
          <w:color w:val="auto"/>
          <w:sz w:val="28"/>
          <w:szCs w:val="28"/>
        </w:rPr>
        <w:t>.固体废弃物</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固体废物主要有原药生产过程中产生废硅胶柱、蒸馏残渣、压滤渣；制剂生产过程中产生的滤渣；废气处理产生的废活性炭、收集粉尘；废水处理产生的污泥；包装过程中产生的废包装袋以及生活垃圾。该项目总固废产生量为3</w:t>
      </w:r>
      <w:r>
        <w:rPr>
          <w:rFonts w:ascii="宋体" w:hAnsi="宋体"/>
          <w:color w:val="auto"/>
          <w:sz w:val="28"/>
          <w:szCs w:val="28"/>
        </w:rPr>
        <w:t>16.82</w:t>
      </w:r>
      <w:r>
        <w:rPr>
          <w:rFonts w:hint="eastAsia" w:ascii="宋体" w:hAnsi="宋体"/>
          <w:color w:val="auto"/>
          <w:sz w:val="28"/>
          <w:szCs w:val="28"/>
        </w:rPr>
        <w:t>t/a，其中收集粉尘全部返回颗粒剂生产工段回用，废硅胶柱、蒸馏残渣、压滤渣、废活性炭、污泥、废包装袋等收集贮存在202甲类仓库中设置的危废</w:t>
      </w:r>
      <w:r>
        <w:rPr>
          <w:rFonts w:hint="eastAsia" w:ascii="宋体" w:hAnsi="宋体"/>
          <w:color w:val="auto"/>
          <w:sz w:val="28"/>
          <w:szCs w:val="28"/>
          <w:lang w:eastAsia="zh-CN"/>
        </w:rPr>
        <w:t>、</w:t>
      </w:r>
      <w:r>
        <w:rPr>
          <w:rFonts w:hint="eastAsia" w:ascii="宋体" w:hAnsi="宋体"/>
          <w:color w:val="auto"/>
          <w:sz w:val="28"/>
          <w:szCs w:val="28"/>
          <w:lang w:val="en-US" w:eastAsia="zh-CN"/>
        </w:rPr>
        <w:t>固废</w:t>
      </w:r>
      <w:r>
        <w:rPr>
          <w:rFonts w:hint="eastAsia" w:ascii="宋体" w:hAnsi="宋体"/>
          <w:color w:val="auto"/>
          <w:sz w:val="28"/>
          <w:szCs w:val="28"/>
        </w:rPr>
        <w:t>间，再委托有资质单位处置，生活垃圾统一交由环卫部门处理。</w:t>
      </w:r>
    </w:p>
    <w:p>
      <w:pPr>
        <w:pStyle w:val="4"/>
        <w:rPr>
          <w:rFonts w:ascii="Times New Roman" w:hAnsi="Times New Roman" w:cs="Times New Roman"/>
          <w:bCs w:val="0"/>
          <w:color w:val="auto"/>
        </w:rPr>
      </w:pPr>
      <w:bookmarkStart w:id="59" w:name="_Toc144109166"/>
      <w:r>
        <w:rPr>
          <w:rFonts w:hint="eastAsia" w:ascii="Times New Roman" w:hAnsi="Times New Roman" w:cs="Times New Roman"/>
          <w:bCs w:val="0"/>
          <w:color w:val="auto"/>
        </w:rPr>
        <w:t>2.</w:t>
      </w:r>
      <w:r>
        <w:rPr>
          <w:rFonts w:ascii="Times New Roman" w:hAnsi="Times New Roman" w:cs="Times New Roman"/>
          <w:bCs w:val="0"/>
          <w:color w:val="auto"/>
        </w:rPr>
        <w:t>10</w:t>
      </w:r>
      <w:r>
        <w:rPr>
          <w:rFonts w:hint="eastAsia" w:ascii="Times New Roman" w:hAnsi="Times New Roman" w:cs="Times New Roman"/>
          <w:bCs w:val="0"/>
          <w:color w:val="auto"/>
        </w:rPr>
        <w:t xml:space="preserve"> 主要技术经济指标</w:t>
      </w:r>
      <w:bookmarkEnd w:id="59"/>
    </w:p>
    <w:p>
      <w:pPr>
        <w:jc w:val="center"/>
        <w:rPr>
          <w:rFonts w:ascii="宋体" w:hAnsi="宋体"/>
          <w:color w:val="auto"/>
        </w:rPr>
      </w:pPr>
      <w:r>
        <w:rPr>
          <w:rFonts w:hint="eastAsia" w:ascii="宋体" w:hAnsi="宋体"/>
          <w:color w:val="auto"/>
        </w:rPr>
        <w:t>表2</w:t>
      </w:r>
      <w:r>
        <w:rPr>
          <w:rFonts w:ascii="宋体" w:hAnsi="宋体"/>
          <w:color w:val="auto"/>
        </w:rPr>
        <w:t>.10</w:t>
      </w:r>
      <w:r>
        <w:rPr>
          <w:rFonts w:hint="eastAsia" w:ascii="宋体" w:hAnsi="宋体"/>
          <w:color w:val="auto"/>
        </w:rPr>
        <w:t xml:space="preserve"> 主要技术经济指标</w:t>
      </w:r>
    </w:p>
    <w:tbl>
      <w:tblPr>
        <w:tblStyle w:val="31"/>
        <w:tblW w:w="9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3797"/>
        <w:gridCol w:w="1342"/>
        <w:gridCol w:w="1221"/>
        <w:gridCol w:w="1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Ansi="宋体"/>
                <w:color w:val="auto"/>
              </w:rPr>
              <w:t>序号</w:t>
            </w:r>
          </w:p>
        </w:tc>
        <w:tc>
          <w:tcPr>
            <w:tcW w:w="3797"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名</w:t>
            </w:r>
            <w:r>
              <w:rPr>
                <w:color w:val="auto"/>
              </w:rPr>
              <w:t xml:space="preserve">  </w:t>
            </w:r>
            <w:r>
              <w:rPr>
                <w:rFonts w:hAnsi="宋体"/>
                <w:color w:val="auto"/>
              </w:rPr>
              <w:t>称</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单</w:t>
            </w:r>
            <w:r>
              <w:rPr>
                <w:color w:val="auto"/>
              </w:rPr>
              <w:t xml:space="preserve">  </w:t>
            </w:r>
            <w:r>
              <w:rPr>
                <w:rFonts w:hAnsi="宋体"/>
                <w:color w:val="auto"/>
              </w:rPr>
              <w:t>位</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指标</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备</w:t>
            </w:r>
            <w:r>
              <w:rPr>
                <w:color w:val="auto"/>
              </w:rPr>
              <w:t xml:space="preserve">  </w:t>
            </w:r>
            <w:r>
              <w:rPr>
                <w:rFonts w:hAnsi="宋体"/>
                <w:color w:val="auto"/>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Ansi="宋体"/>
                <w:color w:val="auto"/>
              </w:rPr>
              <w:t>一</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建设规模</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芸苔素内酯生产线</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条</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1</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液体农药制剂生产线</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条</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color w:val="auto"/>
              </w:rPr>
              <w:t>1</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3</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颗粒剂农药制剂生产线</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条</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color w:val="auto"/>
              </w:rPr>
              <w:t>1</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Ansi="宋体"/>
                <w:color w:val="auto"/>
              </w:rPr>
              <w:t>二</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产品方案</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芸苔素内酯原药</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t/</w:t>
            </w:r>
            <w:r>
              <w:rPr>
                <w:rFonts w:hint="eastAsia" w:hAnsi="宋体"/>
                <w:color w:val="auto"/>
              </w:rPr>
              <w:t>a</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5</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芸苔素内酯制剂</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t</w:t>
            </w:r>
            <w:r>
              <w:rPr>
                <w:rFonts w:hAnsi="宋体"/>
                <w:color w:val="auto"/>
              </w:rPr>
              <w:t>/</w:t>
            </w:r>
            <w:r>
              <w:rPr>
                <w:rFonts w:hint="eastAsia" w:hAnsi="宋体"/>
                <w:color w:val="auto"/>
              </w:rPr>
              <w:t>a</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30000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Ansi="宋体"/>
                <w:color w:val="auto"/>
              </w:rPr>
              <w:t>三</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年工作时间</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小时</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7200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四</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定员</w:t>
            </w:r>
          </w:p>
        </w:tc>
        <w:tc>
          <w:tcPr>
            <w:tcW w:w="1342"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jc w:val="center"/>
              <w:rPr>
                <w:color w:val="auto"/>
              </w:rPr>
            </w:pPr>
            <w:r>
              <w:rPr>
                <w:rFonts w:hAnsi="宋体"/>
                <w:color w:val="auto"/>
              </w:rPr>
              <w:t>人</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ascii="宋体" w:hAnsi="宋体"/>
                <w:color w:val="auto"/>
              </w:rPr>
              <w:t>180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管理及</w:t>
            </w:r>
            <w:r>
              <w:rPr>
                <w:rFonts w:hint="eastAsia" w:hAnsi="宋体"/>
                <w:color w:val="auto"/>
              </w:rPr>
              <w:t>技术</w:t>
            </w:r>
          </w:p>
        </w:tc>
        <w:tc>
          <w:tcPr>
            <w:tcW w:w="1342"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jc w:val="center"/>
              <w:rPr>
                <w:color w:val="auto"/>
              </w:rPr>
            </w:pPr>
            <w:r>
              <w:rPr>
                <w:rFonts w:hAnsi="宋体"/>
                <w:color w:val="auto"/>
              </w:rPr>
              <w:t>人</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ascii="宋体" w:hAnsi="宋体"/>
                <w:color w:val="auto"/>
              </w:rPr>
              <w:t>5</w:t>
            </w:r>
            <w:r>
              <w:rPr>
                <w:rFonts w:hint="eastAsia" w:ascii="宋体" w:hAnsi="宋体"/>
                <w:color w:val="auto"/>
              </w:rPr>
              <w:t>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生产及</w:t>
            </w:r>
            <w:r>
              <w:rPr>
                <w:rFonts w:hint="eastAsia" w:hAnsi="宋体"/>
                <w:color w:val="auto"/>
              </w:rPr>
              <w:t>后勤</w:t>
            </w:r>
            <w:r>
              <w:rPr>
                <w:rFonts w:hAnsi="宋体"/>
                <w:color w:val="auto"/>
              </w:rPr>
              <w:t>人员</w:t>
            </w:r>
          </w:p>
        </w:tc>
        <w:tc>
          <w:tcPr>
            <w:tcW w:w="1342"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jc w:val="center"/>
              <w:rPr>
                <w:color w:val="auto"/>
              </w:rPr>
            </w:pPr>
            <w:r>
              <w:rPr>
                <w:rFonts w:hAnsi="宋体"/>
                <w:color w:val="auto"/>
              </w:rPr>
              <w:t>人</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ascii="宋体" w:hAnsi="宋体"/>
                <w:color w:val="auto"/>
              </w:rPr>
              <w:t>130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五</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新增项目建筑面积</w:t>
            </w:r>
          </w:p>
        </w:tc>
        <w:tc>
          <w:tcPr>
            <w:tcW w:w="1342"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jc w:val="center"/>
              <w:rPr>
                <w:color w:val="auto"/>
              </w:rPr>
            </w:pPr>
            <w:r>
              <w:rPr>
                <w:color w:val="auto"/>
              </w:rPr>
              <w:t>m</w:t>
            </w:r>
            <w:r>
              <w:rPr>
                <w:color w:val="auto"/>
                <w:vertAlign w:val="superscript"/>
              </w:rPr>
              <w:t>2</w:t>
            </w:r>
          </w:p>
        </w:tc>
        <w:tc>
          <w:tcPr>
            <w:tcW w:w="1221" w:type="dxa"/>
            <w:tcBorders>
              <w:top w:val="single" w:color="auto" w:sz="4" w:space="0"/>
              <w:left w:val="nil"/>
              <w:bottom w:val="single" w:color="auto" w:sz="4" w:space="0"/>
              <w:right w:val="single" w:color="auto" w:sz="4" w:space="0"/>
            </w:tcBorders>
            <w:vAlign w:val="center"/>
          </w:tcPr>
          <w:p>
            <w:pPr>
              <w:jc w:val="center"/>
              <w:rPr>
                <w:rFonts w:hint="default" w:ascii="宋体" w:hAnsi="宋体" w:eastAsia="宋体"/>
                <w:color w:val="auto"/>
                <w:lang w:val="en-US" w:eastAsia="zh-CN"/>
              </w:rPr>
            </w:pPr>
            <w:r>
              <w:rPr>
                <w:rFonts w:hint="eastAsia" w:ascii="宋体" w:hAnsi="宋体"/>
                <w:color w:val="auto"/>
                <w:lang w:val="en-US" w:eastAsia="zh-CN"/>
              </w:rPr>
              <w:t>19489.27</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六</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hAnsi="宋体"/>
                <w:color w:val="auto"/>
              </w:rPr>
              <w:t>全厂总占地面积</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color w:val="auto"/>
              </w:rPr>
              <w:t>万</w:t>
            </w:r>
            <w:r>
              <w:rPr>
                <w:color w:val="auto"/>
              </w:rPr>
              <w:t>m</w:t>
            </w:r>
            <w:r>
              <w:rPr>
                <w:color w:val="auto"/>
                <w:vertAlign w:val="superscript"/>
              </w:rPr>
              <w:t>2</w:t>
            </w:r>
          </w:p>
        </w:tc>
        <w:tc>
          <w:tcPr>
            <w:tcW w:w="1221" w:type="dxa"/>
            <w:tcBorders>
              <w:top w:val="single" w:color="auto" w:sz="4" w:space="0"/>
              <w:left w:val="nil"/>
              <w:bottom w:val="single" w:color="auto" w:sz="4" w:space="0"/>
              <w:right w:val="single" w:color="auto" w:sz="4" w:space="0"/>
            </w:tcBorders>
            <w:vAlign w:val="center"/>
          </w:tcPr>
          <w:p>
            <w:pPr>
              <w:jc w:val="center"/>
              <w:rPr>
                <w:rFonts w:hint="default" w:eastAsia="宋体"/>
                <w:color w:val="auto"/>
                <w:lang w:val="en-US" w:eastAsia="zh-CN"/>
              </w:rPr>
            </w:pPr>
            <w:r>
              <w:rPr>
                <w:rFonts w:ascii="宋体" w:hAnsi="宋体"/>
                <w:color w:val="auto"/>
              </w:rPr>
              <w:t>324</w:t>
            </w:r>
            <w:r>
              <w:rPr>
                <w:rFonts w:hint="eastAsia" w:ascii="宋体" w:hAnsi="宋体"/>
                <w:color w:val="auto"/>
                <w:lang w:val="en-US" w:eastAsia="zh-CN"/>
              </w:rPr>
              <w:t>56.83</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七</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报批项目总投资</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ascii="宋体" w:hAnsi="宋体"/>
                <w:color w:val="auto"/>
              </w:rPr>
              <w:t>3</w:t>
            </w:r>
            <w:r>
              <w:rPr>
                <w:rFonts w:ascii="宋体" w:hAnsi="宋体"/>
                <w:color w:val="auto"/>
              </w:rPr>
              <w:t>0000.00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建设投资</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ascii="宋体" w:hAnsi="宋体"/>
                <w:color w:val="auto"/>
              </w:rPr>
              <w:t>294</w:t>
            </w:r>
            <w:r>
              <w:rPr>
                <w:rFonts w:ascii="宋体" w:hAnsi="宋体"/>
                <w:color w:val="auto"/>
              </w:rPr>
              <w:t>00.00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铺底流动资金</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hint="eastAsia" w:ascii="宋体" w:hAnsi="宋体"/>
                <w:color w:val="auto"/>
              </w:rPr>
              <w:t>6000</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八</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主要财务计算指标</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年均销售收入</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r>
              <w:rPr>
                <w:rFonts w:ascii="宋体" w:hAnsi="宋体"/>
                <w:color w:val="auto"/>
              </w:rPr>
              <w:t>146388.89</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年均总成本费用</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132635.37</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3</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年均</w:t>
            </w:r>
            <w:r>
              <w:rPr>
                <w:rFonts w:hint="eastAsia"/>
                <w:color w:val="auto"/>
              </w:rPr>
              <w:t>所得税</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3252.37</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4</w:t>
            </w:r>
          </w:p>
        </w:tc>
        <w:tc>
          <w:tcPr>
            <w:tcW w:w="3797" w:type="dxa"/>
            <w:tcBorders>
              <w:top w:val="single" w:color="auto" w:sz="4" w:space="0"/>
              <w:left w:val="nil"/>
              <w:bottom w:val="single" w:color="auto" w:sz="4" w:space="0"/>
              <w:right w:val="single" w:color="auto" w:sz="4" w:space="0"/>
            </w:tcBorders>
            <w:vAlign w:val="center"/>
          </w:tcPr>
          <w:p>
            <w:pPr>
              <w:rPr>
                <w:rFonts w:hAnsi="宋体"/>
                <w:color w:val="auto"/>
              </w:rPr>
            </w:pPr>
            <w:r>
              <w:rPr>
                <w:rFonts w:hint="eastAsia" w:hAnsi="宋体"/>
                <w:color w:val="auto"/>
              </w:rPr>
              <w:t>年均利润总额</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rFonts w:ascii="宋体" w:hAnsi="宋体"/>
                <w:color w:val="auto"/>
              </w:rPr>
            </w:pPr>
            <w:r>
              <w:rPr>
                <w:rFonts w:ascii="宋体" w:hAnsi="宋体"/>
                <w:color w:val="auto"/>
              </w:rPr>
              <w:t>18925.83</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5</w:t>
            </w:r>
          </w:p>
        </w:tc>
        <w:tc>
          <w:tcPr>
            <w:tcW w:w="3797" w:type="dxa"/>
            <w:tcBorders>
              <w:top w:val="single" w:color="auto" w:sz="4" w:space="0"/>
              <w:left w:val="nil"/>
              <w:bottom w:val="single" w:color="auto" w:sz="4" w:space="0"/>
              <w:right w:val="single" w:color="auto" w:sz="4" w:space="0"/>
            </w:tcBorders>
            <w:vAlign w:val="center"/>
          </w:tcPr>
          <w:p>
            <w:pPr>
              <w:rPr>
                <w:rFonts w:hAnsi="宋体"/>
                <w:color w:val="auto"/>
              </w:rPr>
            </w:pPr>
            <w:r>
              <w:rPr>
                <w:rFonts w:hAnsi="宋体"/>
                <w:color w:val="auto"/>
              </w:rPr>
              <w:t>年均</w:t>
            </w:r>
            <w:r>
              <w:rPr>
                <w:rFonts w:hint="eastAsia" w:hAnsi="宋体"/>
                <w:color w:val="auto"/>
              </w:rPr>
              <w:t>税金及附加</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rFonts w:ascii="宋体" w:hAnsi="宋体"/>
                <w:color w:val="auto"/>
              </w:rPr>
            </w:pPr>
            <w:r>
              <w:rPr>
                <w:rFonts w:hint="eastAsia" w:ascii="宋体" w:hAnsi="宋体"/>
                <w:color w:val="auto"/>
              </w:rPr>
              <w:t>2</w:t>
            </w:r>
            <w:r>
              <w:rPr>
                <w:rFonts w:ascii="宋体" w:hAnsi="宋体"/>
                <w:color w:val="auto"/>
              </w:rPr>
              <w:t>51.03</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6</w:t>
            </w:r>
          </w:p>
        </w:tc>
        <w:tc>
          <w:tcPr>
            <w:tcW w:w="3797" w:type="dxa"/>
            <w:tcBorders>
              <w:top w:val="single" w:color="auto" w:sz="4" w:space="0"/>
              <w:left w:val="nil"/>
              <w:bottom w:val="single" w:color="auto" w:sz="4" w:space="0"/>
              <w:right w:val="single" w:color="auto" w:sz="4" w:space="0"/>
            </w:tcBorders>
            <w:vAlign w:val="center"/>
          </w:tcPr>
          <w:p>
            <w:pPr>
              <w:rPr>
                <w:rFonts w:hAnsi="宋体"/>
                <w:color w:val="auto"/>
              </w:rPr>
            </w:pPr>
            <w:r>
              <w:rPr>
                <w:rFonts w:hAnsi="宋体"/>
                <w:color w:val="auto"/>
              </w:rPr>
              <w:t>年均</w:t>
            </w:r>
            <w:r>
              <w:rPr>
                <w:rFonts w:hint="eastAsia" w:hAnsi="宋体"/>
                <w:color w:val="auto"/>
              </w:rPr>
              <w:t>增值税</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rFonts w:ascii="宋体" w:hAnsi="宋体"/>
                <w:color w:val="auto"/>
              </w:rPr>
            </w:pPr>
            <w:r>
              <w:rPr>
                <w:rFonts w:hint="eastAsia" w:ascii="宋体" w:hAnsi="宋体"/>
                <w:color w:val="auto"/>
              </w:rPr>
              <w:t>1</w:t>
            </w:r>
            <w:r>
              <w:rPr>
                <w:rFonts w:ascii="宋体" w:hAnsi="宋体"/>
                <w:color w:val="auto"/>
              </w:rPr>
              <w:t>725392</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7</w:t>
            </w:r>
          </w:p>
        </w:tc>
        <w:tc>
          <w:tcPr>
            <w:tcW w:w="3797" w:type="dxa"/>
            <w:tcBorders>
              <w:top w:val="single" w:color="auto" w:sz="4" w:space="0"/>
              <w:left w:val="nil"/>
              <w:bottom w:val="single" w:color="auto" w:sz="4" w:space="0"/>
              <w:right w:val="single" w:color="auto" w:sz="4" w:space="0"/>
            </w:tcBorders>
            <w:vAlign w:val="center"/>
          </w:tcPr>
          <w:p>
            <w:pPr>
              <w:rPr>
                <w:rFonts w:hAnsi="宋体"/>
                <w:color w:val="auto"/>
              </w:rPr>
            </w:pPr>
            <w:r>
              <w:rPr>
                <w:rFonts w:hAnsi="宋体"/>
                <w:color w:val="auto"/>
              </w:rPr>
              <w:t>年均</w:t>
            </w:r>
            <w:r>
              <w:rPr>
                <w:rFonts w:hint="eastAsia" w:hAnsi="宋体"/>
                <w:color w:val="auto"/>
              </w:rPr>
              <w:t>净利润</w:t>
            </w:r>
          </w:p>
        </w:tc>
        <w:tc>
          <w:tcPr>
            <w:tcW w:w="1342" w:type="dxa"/>
            <w:tcBorders>
              <w:top w:val="single" w:color="auto" w:sz="4" w:space="0"/>
              <w:left w:val="nil"/>
              <w:bottom w:val="single" w:color="auto" w:sz="4" w:space="0"/>
              <w:right w:val="single" w:color="auto" w:sz="4" w:space="0"/>
            </w:tcBorders>
            <w:vAlign w:val="center"/>
          </w:tcPr>
          <w:p>
            <w:pPr>
              <w:jc w:val="center"/>
              <w:rPr>
                <w:rFonts w:hAnsi="宋体"/>
                <w:color w:val="auto"/>
              </w:rPr>
            </w:pPr>
            <w:r>
              <w:rPr>
                <w:rFonts w:hint="eastAsia" w:hAnsi="宋体"/>
                <w:color w:val="auto"/>
              </w:rPr>
              <w:t>万元</w:t>
            </w:r>
          </w:p>
        </w:tc>
        <w:tc>
          <w:tcPr>
            <w:tcW w:w="1221" w:type="dxa"/>
            <w:tcBorders>
              <w:top w:val="single" w:color="auto" w:sz="4" w:space="0"/>
              <w:left w:val="nil"/>
              <w:bottom w:val="single" w:color="auto" w:sz="4" w:space="0"/>
              <w:right w:val="single" w:color="auto" w:sz="4" w:space="0"/>
            </w:tcBorders>
            <w:vAlign w:val="center"/>
          </w:tcPr>
          <w:p>
            <w:pPr>
              <w:snapToGrid w:val="0"/>
              <w:jc w:val="center"/>
              <w:rPr>
                <w:rFonts w:ascii="宋体" w:hAnsi="宋体"/>
                <w:color w:val="auto"/>
              </w:rPr>
            </w:pPr>
            <w:r>
              <w:rPr>
                <w:rFonts w:hint="eastAsia" w:ascii="宋体" w:hAnsi="宋体"/>
                <w:color w:val="auto"/>
              </w:rPr>
              <w:t>1</w:t>
            </w:r>
            <w:r>
              <w:rPr>
                <w:rFonts w:ascii="宋体" w:hAnsi="宋体"/>
                <w:color w:val="auto"/>
              </w:rPr>
              <w:t>5673.51</w:t>
            </w:r>
          </w:p>
        </w:tc>
        <w:tc>
          <w:tcPr>
            <w:tcW w:w="1819" w:type="dxa"/>
            <w:tcBorders>
              <w:top w:val="single" w:color="auto" w:sz="4" w:space="0"/>
              <w:left w:val="nil"/>
              <w:bottom w:val="single" w:color="auto" w:sz="4" w:space="0"/>
              <w:right w:val="single" w:color="auto" w:sz="4" w:space="0"/>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color w:val="auto"/>
              </w:rPr>
              <w:t>九</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财务评价指标</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p>
        </w:tc>
        <w:tc>
          <w:tcPr>
            <w:tcW w:w="1221" w:type="dxa"/>
            <w:tcBorders>
              <w:top w:val="single" w:color="auto" w:sz="4" w:space="0"/>
              <w:left w:val="nil"/>
              <w:bottom w:val="single" w:color="auto" w:sz="4" w:space="0"/>
              <w:right w:val="single" w:color="auto" w:sz="4" w:space="0"/>
            </w:tcBorders>
            <w:vAlign w:val="center"/>
          </w:tcPr>
          <w:p>
            <w:pPr>
              <w:jc w:val="center"/>
              <w:rPr>
                <w:color w:val="auto"/>
              </w:rPr>
            </w:pP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年均</w:t>
            </w:r>
            <w:r>
              <w:rPr>
                <w:rFonts w:hint="eastAsia" w:hAnsi="宋体"/>
                <w:color w:val="auto"/>
              </w:rPr>
              <w:t>总</w:t>
            </w:r>
            <w:r>
              <w:rPr>
                <w:rFonts w:hAnsi="宋体"/>
                <w:color w:val="auto"/>
              </w:rPr>
              <w:t>投资</w:t>
            </w:r>
            <w:r>
              <w:rPr>
                <w:rFonts w:hint="eastAsia" w:hAnsi="宋体"/>
                <w:color w:val="auto"/>
              </w:rPr>
              <w:t>收益</w:t>
            </w:r>
            <w:r>
              <w:rPr>
                <w:rFonts w:hAnsi="宋体"/>
                <w:color w:val="auto"/>
              </w:rPr>
              <w:t>率</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6.46</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2</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年均资本金净利润率</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3.62</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3</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投资回收期</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年</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7.37</w:t>
            </w:r>
          </w:p>
        </w:tc>
        <w:tc>
          <w:tcPr>
            <w:tcW w:w="1819"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rPr>
                <w:color w:val="auto"/>
              </w:rPr>
            </w:pPr>
            <w:r>
              <w:rPr>
                <w:rFonts w:hAnsi="宋体"/>
                <w:color w:val="auto"/>
              </w:rPr>
              <w:t>税前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4</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投资回收期</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rFonts w:hAnsi="宋体"/>
                <w:color w:val="auto"/>
              </w:rPr>
              <w:t>年</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8.12</w:t>
            </w:r>
          </w:p>
        </w:tc>
        <w:tc>
          <w:tcPr>
            <w:tcW w:w="1819"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rPr>
                <w:color w:val="auto"/>
              </w:rPr>
            </w:pPr>
            <w:r>
              <w:rPr>
                <w:rFonts w:hAnsi="宋体"/>
                <w:color w:val="auto"/>
              </w:rPr>
              <w:t>税后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5</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int="eastAsia"/>
                <w:color w:val="auto"/>
              </w:rPr>
              <w:t>项目资本金内部收益率</w:t>
            </w:r>
          </w:p>
        </w:tc>
        <w:tc>
          <w:tcPr>
            <w:tcW w:w="1342"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pPr>
              <w:jc w:val="center"/>
              <w:rPr>
                <w:color w:val="auto"/>
              </w:rPr>
            </w:pPr>
            <w:r>
              <w:rPr>
                <w:rFonts w:hint="eastAsia"/>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7.26</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6</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项目投资内部收益率</w:t>
            </w:r>
            <w:r>
              <w:rPr>
                <w:color w:val="auto"/>
              </w:rPr>
              <w:t>Ⅰ</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10.75</w:t>
            </w:r>
          </w:p>
        </w:tc>
        <w:tc>
          <w:tcPr>
            <w:tcW w:w="1819"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税前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7</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项目投资内部收益率</w:t>
            </w:r>
            <w:r>
              <w:rPr>
                <w:color w:val="auto"/>
              </w:rPr>
              <w:t>Ⅱ</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6.74</w:t>
            </w:r>
          </w:p>
        </w:tc>
        <w:tc>
          <w:tcPr>
            <w:tcW w:w="1819"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税后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Ansi="宋体"/>
                <w:color w:val="auto"/>
              </w:rPr>
              <w:t>十</w:t>
            </w:r>
            <w:r>
              <w:rPr>
                <w:rFonts w:hint="eastAsia" w:hAnsi="宋体"/>
                <w:color w:val="auto"/>
              </w:rPr>
              <w:t>一</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盈亏平衡分析</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p>
        </w:tc>
        <w:tc>
          <w:tcPr>
            <w:tcW w:w="1819" w:type="dxa"/>
            <w:tcBorders>
              <w:top w:val="single" w:color="auto" w:sz="4" w:space="0"/>
              <w:left w:val="nil"/>
              <w:bottom w:val="single" w:color="auto" w:sz="4" w:space="0"/>
              <w:right w:val="single" w:color="auto" w:sz="4" w:space="0"/>
            </w:tcBorders>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919"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1</w:t>
            </w:r>
          </w:p>
        </w:tc>
        <w:tc>
          <w:tcPr>
            <w:tcW w:w="3797" w:type="dxa"/>
            <w:tcBorders>
              <w:top w:val="single" w:color="auto" w:sz="4" w:space="0"/>
              <w:left w:val="nil"/>
              <w:bottom w:val="single" w:color="auto" w:sz="4" w:space="0"/>
              <w:right w:val="single" w:color="auto" w:sz="4" w:space="0"/>
            </w:tcBorders>
            <w:vAlign w:val="center"/>
          </w:tcPr>
          <w:p>
            <w:pPr>
              <w:rPr>
                <w:color w:val="auto"/>
              </w:rPr>
            </w:pPr>
            <w:r>
              <w:rPr>
                <w:rFonts w:hAnsi="宋体"/>
                <w:color w:val="auto"/>
              </w:rPr>
              <w:t>盈亏平衡点</w:t>
            </w:r>
          </w:p>
        </w:tc>
        <w:tc>
          <w:tcPr>
            <w:tcW w:w="1342" w:type="dxa"/>
            <w:tcBorders>
              <w:top w:val="single" w:color="auto" w:sz="4" w:space="0"/>
              <w:left w:val="nil"/>
              <w:bottom w:val="single" w:color="auto" w:sz="4" w:space="0"/>
              <w:right w:val="single" w:color="auto" w:sz="4" w:space="0"/>
            </w:tcBorders>
            <w:vAlign w:val="center"/>
          </w:tcPr>
          <w:p>
            <w:pPr>
              <w:jc w:val="center"/>
              <w:rPr>
                <w:color w:val="auto"/>
              </w:rPr>
            </w:pPr>
            <w:r>
              <w:rPr>
                <w:color w:val="auto"/>
              </w:rPr>
              <w:t>%</w:t>
            </w:r>
          </w:p>
        </w:tc>
        <w:tc>
          <w:tcPr>
            <w:tcW w:w="1221" w:type="dxa"/>
            <w:tcBorders>
              <w:top w:val="single" w:color="auto" w:sz="4" w:space="0"/>
              <w:left w:val="nil"/>
              <w:bottom w:val="single" w:color="auto" w:sz="4" w:space="0"/>
              <w:right w:val="single" w:color="auto" w:sz="4" w:space="0"/>
            </w:tcBorders>
            <w:vAlign w:val="center"/>
          </w:tcPr>
          <w:p>
            <w:pPr>
              <w:snapToGrid w:val="0"/>
              <w:jc w:val="center"/>
              <w:rPr>
                <w:color w:val="auto"/>
              </w:rPr>
            </w:pPr>
            <w:r>
              <w:rPr>
                <w:rFonts w:ascii="宋体" w:hAnsi="宋体"/>
                <w:color w:val="auto"/>
              </w:rPr>
              <w:t>53.87</w:t>
            </w:r>
          </w:p>
        </w:tc>
        <w:tc>
          <w:tcPr>
            <w:tcW w:w="1819" w:type="dxa"/>
            <w:tcBorders>
              <w:top w:val="single" w:color="auto" w:sz="4" w:space="0"/>
              <w:left w:val="nil"/>
              <w:bottom w:val="single" w:color="auto" w:sz="4" w:space="0"/>
              <w:right w:val="single" w:color="auto" w:sz="4" w:space="0"/>
            </w:tcBorders>
            <w:vAlign w:val="center"/>
          </w:tcPr>
          <w:p>
            <w:pPr>
              <w:rPr>
                <w:color w:val="auto"/>
              </w:rPr>
            </w:pPr>
          </w:p>
        </w:tc>
      </w:tr>
    </w:tbl>
    <w:p>
      <w:pPr>
        <w:pStyle w:val="49"/>
        <w:rPr>
          <w:color w:val="auto"/>
        </w:rPr>
      </w:pPr>
    </w:p>
    <w:p>
      <w:pPr>
        <w:pStyle w:val="4"/>
        <w:rPr>
          <w:rFonts w:ascii="Times New Roman" w:hAnsi="Times New Roman" w:cs="Times New Roman"/>
          <w:bCs w:val="0"/>
          <w:color w:val="auto"/>
        </w:rPr>
      </w:pPr>
      <w:bookmarkStart w:id="60" w:name="_Toc144109167"/>
      <w:r>
        <w:rPr>
          <w:rFonts w:hint="eastAsia" w:ascii="Times New Roman" w:hAnsi="Times New Roman" w:cs="Times New Roman"/>
          <w:bCs w:val="0"/>
          <w:color w:val="auto"/>
        </w:rPr>
        <w:t>2.11 组织机构及劳动定员</w:t>
      </w:r>
      <w:bookmarkEnd w:id="60"/>
    </w:p>
    <w:p>
      <w:pPr>
        <w:pStyle w:val="49"/>
        <w:ind w:firstLine="562" w:firstLineChars="200"/>
        <w:rPr>
          <w:color w:val="auto"/>
        </w:rPr>
      </w:pPr>
      <w:r>
        <w:rPr>
          <w:rFonts w:hint="eastAsia"/>
          <w:b/>
          <w:color w:val="auto"/>
          <w:sz w:val="28"/>
          <w:szCs w:val="32"/>
        </w:rPr>
        <w:t>1）组织机构</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本项目所设各管理岗位、生产岗位实行定岗定员。</w:t>
      </w:r>
    </w:p>
    <w:p>
      <w:pPr>
        <w:pStyle w:val="49"/>
        <w:ind w:firstLine="562" w:firstLineChars="200"/>
        <w:rPr>
          <w:color w:val="auto"/>
        </w:rPr>
      </w:pPr>
      <w:r>
        <w:rPr>
          <w:rFonts w:hint="eastAsia"/>
          <w:b/>
          <w:color w:val="auto"/>
          <w:sz w:val="28"/>
          <w:szCs w:val="32"/>
        </w:rPr>
        <w:t>2）工作制度</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该项目全年生产天数为300天，日生产时间为24小时，生产及辅助生产车间实行四班三运转制。该项目劳动定员为</w:t>
      </w:r>
      <w:r>
        <w:rPr>
          <w:rFonts w:ascii="宋体" w:hAnsi="宋体"/>
          <w:color w:val="auto"/>
          <w:sz w:val="28"/>
          <w:szCs w:val="28"/>
        </w:rPr>
        <w:t>180</w:t>
      </w:r>
      <w:r>
        <w:rPr>
          <w:rFonts w:hint="eastAsia" w:ascii="宋体" w:hAnsi="宋体"/>
          <w:color w:val="auto"/>
          <w:sz w:val="28"/>
          <w:szCs w:val="28"/>
        </w:rPr>
        <w:t>人，其中管理人员3</w:t>
      </w:r>
      <w:r>
        <w:rPr>
          <w:rFonts w:ascii="宋体" w:hAnsi="宋体"/>
          <w:color w:val="auto"/>
          <w:sz w:val="28"/>
          <w:szCs w:val="28"/>
        </w:rPr>
        <w:t>0</w:t>
      </w:r>
      <w:r>
        <w:rPr>
          <w:rFonts w:hint="eastAsia" w:ascii="宋体" w:hAnsi="宋体"/>
          <w:color w:val="auto"/>
          <w:sz w:val="28"/>
          <w:szCs w:val="28"/>
        </w:rPr>
        <w:t>人，技术人员2</w:t>
      </w:r>
      <w:r>
        <w:rPr>
          <w:rFonts w:ascii="宋体" w:hAnsi="宋体"/>
          <w:color w:val="auto"/>
          <w:sz w:val="28"/>
          <w:szCs w:val="28"/>
        </w:rPr>
        <w:t>0</w:t>
      </w:r>
      <w:r>
        <w:rPr>
          <w:rFonts w:hint="eastAsia" w:ascii="宋体" w:hAnsi="宋体"/>
          <w:color w:val="auto"/>
          <w:sz w:val="28"/>
          <w:szCs w:val="28"/>
        </w:rPr>
        <w:t>人，普通工人1</w:t>
      </w:r>
      <w:r>
        <w:rPr>
          <w:rFonts w:ascii="宋体" w:hAnsi="宋体"/>
          <w:color w:val="auto"/>
          <w:sz w:val="28"/>
          <w:szCs w:val="28"/>
        </w:rPr>
        <w:t>02</w:t>
      </w:r>
      <w:r>
        <w:rPr>
          <w:rFonts w:hint="eastAsia" w:ascii="宋体" w:hAnsi="宋体"/>
          <w:color w:val="auto"/>
          <w:sz w:val="28"/>
          <w:szCs w:val="28"/>
        </w:rPr>
        <w:t>人，后勤人员2</w:t>
      </w:r>
      <w:r>
        <w:rPr>
          <w:rFonts w:ascii="宋体" w:hAnsi="宋体"/>
          <w:color w:val="auto"/>
          <w:sz w:val="28"/>
          <w:szCs w:val="28"/>
        </w:rPr>
        <w:t>8</w:t>
      </w:r>
      <w:r>
        <w:rPr>
          <w:rFonts w:hint="eastAsia" w:ascii="宋体" w:hAnsi="宋体"/>
          <w:color w:val="auto"/>
          <w:sz w:val="28"/>
          <w:szCs w:val="28"/>
        </w:rPr>
        <w:t>人，1</w:t>
      </w:r>
      <w:r>
        <w:rPr>
          <w:rFonts w:ascii="宋体" w:hAnsi="宋体"/>
          <w:color w:val="auto"/>
          <w:sz w:val="28"/>
          <w:szCs w:val="28"/>
        </w:rPr>
        <w:t>01</w:t>
      </w:r>
      <w:r>
        <w:rPr>
          <w:rFonts w:hint="eastAsia" w:ascii="宋体" w:hAnsi="宋体"/>
          <w:color w:val="auto"/>
          <w:sz w:val="28"/>
          <w:szCs w:val="28"/>
        </w:rPr>
        <w:t>甲类车间一班人员数量不超过9人。该项目拟设置专职安全管理人员</w:t>
      </w:r>
      <w:r>
        <w:rPr>
          <w:rFonts w:ascii="宋体" w:hAnsi="宋体"/>
          <w:color w:val="auto"/>
          <w:sz w:val="28"/>
          <w:szCs w:val="28"/>
        </w:rPr>
        <w:t>8</w:t>
      </w:r>
      <w:r>
        <w:rPr>
          <w:rFonts w:hint="eastAsia" w:ascii="宋体" w:hAnsi="宋体"/>
          <w:color w:val="auto"/>
          <w:sz w:val="28"/>
          <w:szCs w:val="28"/>
        </w:rPr>
        <w:t>人，主要负责人和安全管理人员均应经培训并取证上岗。管理人员由总经理指派或公开招聘，其余人员均向社会公开招聘。该项目人员组成见表2</w:t>
      </w:r>
      <w:r>
        <w:rPr>
          <w:rFonts w:ascii="宋体" w:hAnsi="宋体"/>
          <w:color w:val="auto"/>
          <w:sz w:val="28"/>
          <w:szCs w:val="28"/>
        </w:rPr>
        <w:t>.11</w:t>
      </w:r>
      <w:r>
        <w:rPr>
          <w:rFonts w:hint="eastAsia" w:ascii="宋体" w:hAnsi="宋体"/>
          <w:color w:val="auto"/>
          <w:sz w:val="28"/>
          <w:szCs w:val="28"/>
        </w:rPr>
        <w:t>。</w:t>
      </w:r>
    </w:p>
    <w:p>
      <w:pPr>
        <w:jc w:val="center"/>
        <w:rPr>
          <w:rFonts w:ascii="宋体" w:hAnsi="宋体"/>
          <w:color w:val="auto"/>
          <w:spacing w:val="-8"/>
          <w:sz w:val="24"/>
        </w:rPr>
      </w:pPr>
      <w:r>
        <w:rPr>
          <w:rFonts w:hint="eastAsia" w:ascii="宋体" w:hAnsi="宋体"/>
          <w:color w:val="auto"/>
          <w:spacing w:val="-8"/>
          <w:sz w:val="24"/>
        </w:rPr>
        <w:t>表2</w:t>
      </w:r>
      <w:r>
        <w:rPr>
          <w:rFonts w:ascii="宋体" w:hAnsi="宋体"/>
          <w:color w:val="auto"/>
          <w:spacing w:val="-8"/>
          <w:sz w:val="24"/>
        </w:rPr>
        <w:t>.11</w:t>
      </w:r>
      <w:r>
        <w:rPr>
          <w:rFonts w:hint="eastAsia" w:ascii="宋体" w:hAnsi="宋体"/>
          <w:color w:val="auto"/>
          <w:spacing w:val="-8"/>
          <w:sz w:val="24"/>
        </w:rPr>
        <w:t xml:space="preserve"> 劳动定员表</w:t>
      </w:r>
    </w:p>
    <w:tbl>
      <w:tblPr>
        <w:tblStyle w:val="31"/>
        <w:tblW w:w="7538" w:type="dxa"/>
        <w:jc w:val="center"/>
        <w:tblLayout w:type="fixed"/>
        <w:tblCellMar>
          <w:top w:w="0" w:type="dxa"/>
          <w:left w:w="10" w:type="dxa"/>
          <w:bottom w:w="0" w:type="dxa"/>
          <w:right w:w="10" w:type="dxa"/>
        </w:tblCellMar>
      </w:tblPr>
      <w:tblGrid>
        <w:gridCol w:w="796"/>
        <w:gridCol w:w="2837"/>
        <w:gridCol w:w="972"/>
        <w:gridCol w:w="624"/>
        <w:gridCol w:w="1426"/>
        <w:gridCol w:w="883"/>
      </w:tblGrid>
      <w:tr>
        <w:tblPrEx>
          <w:tblCellMar>
            <w:top w:w="0" w:type="dxa"/>
            <w:left w:w="10" w:type="dxa"/>
            <w:bottom w:w="0" w:type="dxa"/>
            <w:right w:w="10" w:type="dxa"/>
          </w:tblCellMar>
        </w:tblPrEx>
        <w:trPr>
          <w:trHeight w:val="454"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序号</w:t>
            </w:r>
          </w:p>
        </w:tc>
        <w:tc>
          <w:tcPr>
            <w:tcW w:w="2837"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人员</w:t>
            </w:r>
          </w:p>
        </w:tc>
        <w:tc>
          <w:tcPr>
            <w:tcW w:w="972"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单位</w:t>
            </w:r>
          </w:p>
        </w:tc>
        <w:tc>
          <w:tcPr>
            <w:tcW w:w="2050" w:type="dxa"/>
            <w:gridSpan w:val="2"/>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人数</w:t>
            </w:r>
          </w:p>
        </w:tc>
        <w:tc>
          <w:tcPr>
            <w:tcW w:w="883"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备 注</w:t>
            </w:r>
          </w:p>
        </w:tc>
      </w:tr>
      <w:tr>
        <w:tblPrEx>
          <w:tblCellMar>
            <w:top w:w="0" w:type="dxa"/>
            <w:left w:w="10" w:type="dxa"/>
            <w:bottom w:w="0" w:type="dxa"/>
            <w:right w:w="10" w:type="dxa"/>
          </w:tblCellMar>
        </w:tblPrEx>
        <w:trPr>
          <w:trHeight w:val="454"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ascii="宋体" w:hAnsi="宋体"/>
                <w:color w:val="auto"/>
              </w:rPr>
              <w:t>1</w:t>
            </w:r>
          </w:p>
        </w:tc>
        <w:tc>
          <w:tcPr>
            <w:tcW w:w="2837"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管理人员</w:t>
            </w:r>
          </w:p>
        </w:tc>
        <w:tc>
          <w:tcPr>
            <w:tcW w:w="972"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w:t>
            </w:r>
          </w:p>
        </w:tc>
        <w:tc>
          <w:tcPr>
            <w:tcW w:w="2050" w:type="dxa"/>
            <w:gridSpan w:val="2"/>
            <w:tcBorders>
              <w:top w:val="single" w:color="auto" w:sz="6" w:space="0"/>
              <w:left w:val="nil"/>
              <w:bottom w:val="single" w:color="auto" w:sz="6" w:space="0"/>
              <w:right w:val="single" w:color="auto" w:sz="6" w:space="0"/>
            </w:tcBorders>
            <w:vAlign w:val="center"/>
          </w:tcPr>
          <w:p>
            <w:pPr>
              <w:jc w:val="center"/>
              <w:rPr>
                <w:color w:val="auto"/>
              </w:rPr>
            </w:pPr>
            <w:r>
              <w:rPr>
                <w:rFonts w:ascii="宋体" w:hAnsi="宋体"/>
                <w:color w:val="auto"/>
              </w:rPr>
              <w:t>30</w:t>
            </w:r>
          </w:p>
        </w:tc>
        <w:tc>
          <w:tcPr>
            <w:tcW w:w="883"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w:t>
            </w:r>
          </w:p>
        </w:tc>
      </w:tr>
      <w:tr>
        <w:tblPrEx>
          <w:tblCellMar>
            <w:top w:w="0" w:type="dxa"/>
            <w:left w:w="10" w:type="dxa"/>
            <w:bottom w:w="0" w:type="dxa"/>
            <w:right w:w="10" w:type="dxa"/>
          </w:tblCellMar>
        </w:tblPrEx>
        <w:trPr>
          <w:trHeight w:val="454"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ascii="宋体" w:hAnsi="宋体"/>
                <w:color w:val="auto"/>
              </w:rPr>
              <w:t>2</w:t>
            </w:r>
          </w:p>
        </w:tc>
        <w:tc>
          <w:tcPr>
            <w:tcW w:w="2837"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技术人员</w:t>
            </w:r>
          </w:p>
        </w:tc>
        <w:tc>
          <w:tcPr>
            <w:tcW w:w="972"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w:t>
            </w:r>
          </w:p>
        </w:tc>
        <w:tc>
          <w:tcPr>
            <w:tcW w:w="2050" w:type="dxa"/>
            <w:gridSpan w:val="2"/>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ascii="宋体" w:hAnsi="宋体"/>
                <w:color w:val="auto"/>
              </w:rPr>
              <w:t>20</w:t>
            </w:r>
          </w:p>
        </w:tc>
        <w:tc>
          <w:tcPr>
            <w:tcW w:w="883"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w:t>
            </w:r>
          </w:p>
        </w:tc>
      </w:tr>
      <w:tr>
        <w:tblPrEx>
          <w:tblCellMar>
            <w:top w:w="0" w:type="dxa"/>
            <w:left w:w="10" w:type="dxa"/>
            <w:bottom w:w="0" w:type="dxa"/>
            <w:right w:w="10" w:type="dxa"/>
          </w:tblCellMar>
        </w:tblPrEx>
        <w:trPr>
          <w:trHeight w:val="454" w:hRule="atLeast"/>
          <w:jc w:val="center"/>
        </w:trPr>
        <w:tc>
          <w:tcPr>
            <w:tcW w:w="796" w:type="dxa"/>
            <w:vMerge w:val="restart"/>
            <w:tcBorders>
              <w:top w:val="single" w:color="auto" w:sz="6" w:space="0"/>
              <w:left w:val="single" w:color="auto" w:sz="6" w:space="0"/>
              <w:right w:val="single" w:color="auto" w:sz="6" w:space="0"/>
            </w:tcBorders>
            <w:vAlign w:val="center"/>
          </w:tcPr>
          <w:p>
            <w:pPr>
              <w:jc w:val="center"/>
              <w:rPr>
                <w:rFonts w:ascii="宋体" w:hAnsi="宋体"/>
                <w:color w:val="auto"/>
              </w:rPr>
            </w:pPr>
            <w:r>
              <w:rPr>
                <w:rFonts w:ascii="宋体" w:hAnsi="宋体"/>
                <w:color w:val="auto"/>
              </w:rPr>
              <w:t>3</w:t>
            </w:r>
          </w:p>
        </w:tc>
        <w:tc>
          <w:tcPr>
            <w:tcW w:w="2837" w:type="dxa"/>
            <w:vMerge w:val="restart"/>
            <w:tcBorders>
              <w:top w:val="single" w:color="auto" w:sz="6" w:space="0"/>
              <w:left w:val="nil"/>
              <w:right w:val="single" w:color="auto" w:sz="6" w:space="0"/>
            </w:tcBorders>
            <w:vAlign w:val="center"/>
          </w:tcPr>
          <w:p>
            <w:pPr>
              <w:jc w:val="center"/>
              <w:rPr>
                <w:rFonts w:ascii="宋体" w:hAnsi="宋体"/>
                <w:color w:val="auto"/>
              </w:rPr>
            </w:pPr>
            <w:r>
              <w:rPr>
                <w:rFonts w:hint="eastAsia" w:ascii="宋体" w:hAnsi="宋体"/>
                <w:color w:val="auto"/>
              </w:rPr>
              <w:t>普通工人</w:t>
            </w:r>
          </w:p>
        </w:tc>
        <w:tc>
          <w:tcPr>
            <w:tcW w:w="972" w:type="dxa"/>
            <w:vMerge w:val="restart"/>
            <w:tcBorders>
              <w:top w:val="single" w:color="auto" w:sz="6" w:space="0"/>
              <w:left w:val="nil"/>
              <w:right w:val="single" w:color="auto" w:sz="6" w:space="0"/>
            </w:tcBorders>
            <w:vAlign w:val="center"/>
          </w:tcPr>
          <w:p>
            <w:pPr>
              <w:jc w:val="center"/>
              <w:rPr>
                <w:rFonts w:ascii="宋体" w:hAnsi="宋体"/>
                <w:color w:val="auto"/>
              </w:rPr>
            </w:pPr>
            <w:r>
              <w:rPr>
                <w:rFonts w:hint="eastAsia" w:ascii="宋体" w:hAnsi="宋体"/>
                <w:color w:val="auto"/>
              </w:rPr>
              <w:t>人</w:t>
            </w:r>
          </w:p>
        </w:tc>
        <w:tc>
          <w:tcPr>
            <w:tcW w:w="624" w:type="dxa"/>
            <w:vMerge w:val="restart"/>
            <w:tcBorders>
              <w:top w:val="single" w:color="auto" w:sz="6" w:space="0"/>
              <w:left w:val="nil"/>
              <w:right w:val="single" w:color="auto" w:sz="6" w:space="0"/>
            </w:tcBorders>
            <w:vAlign w:val="center"/>
          </w:tcPr>
          <w:p>
            <w:pPr>
              <w:jc w:val="center"/>
              <w:rPr>
                <w:rFonts w:ascii="宋体" w:hAnsi="宋体"/>
                <w:color w:val="auto"/>
              </w:rPr>
            </w:pPr>
            <w:r>
              <w:rPr>
                <w:rFonts w:ascii="宋体" w:hAnsi="宋体"/>
                <w:color w:val="auto"/>
              </w:rPr>
              <w:t>102</w:t>
            </w:r>
          </w:p>
        </w:tc>
        <w:tc>
          <w:tcPr>
            <w:tcW w:w="1426"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01</w:t>
            </w:r>
            <w:r>
              <w:rPr>
                <w:rFonts w:hint="eastAsia" w:ascii="宋体" w:hAnsi="宋体"/>
                <w:color w:val="auto"/>
              </w:rPr>
              <w:t>甲类车间一</w:t>
            </w:r>
            <w:r>
              <w:rPr>
                <w:rFonts w:ascii="宋体" w:hAnsi="宋体"/>
                <w:color w:val="auto"/>
              </w:rPr>
              <w:t>27</w:t>
            </w:r>
            <w:r>
              <w:rPr>
                <w:rFonts w:hint="eastAsia" w:ascii="宋体" w:hAnsi="宋体"/>
                <w:color w:val="auto"/>
              </w:rPr>
              <w:t>人</w:t>
            </w:r>
          </w:p>
        </w:tc>
        <w:tc>
          <w:tcPr>
            <w:tcW w:w="883" w:type="dxa"/>
            <w:tcBorders>
              <w:top w:val="single" w:color="auto" w:sz="6" w:space="0"/>
              <w:left w:val="nil"/>
              <w:bottom w:val="single" w:color="auto" w:sz="6" w:space="0"/>
              <w:right w:val="single" w:color="auto" w:sz="6" w:space="0"/>
            </w:tcBorders>
            <w:vAlign w:val="center"/>
          </w:tcPr>
          <w:p>
            <w:pPr>
              <w:jc w:val="center"/>
              <w:rPr>
                <w:rFonts w:hint="eastAsia" w:ascii="宋体" w:hAnsi="宋体"/>
                <w:color w:val="auto"/>
              </w:rPr>
            </w:pPr>
            <w:r>
              <w:rPr>
                <w:rFonts w:ascii="宋体" w:hAnsi="宋体"/>
                <w:color w:val="auto"/>
              </w:rPr>
              <w:t>9</w:t>
            </w:r>
            <w:r>
              <w:rPr>
                <w:rFonts w:hint="eastAsia" w:ascii="宋体" w:hAnsi="宋体"/>
                <w:color w:val="auto"/>
              </w:rPr>
              <w:t>人/班</w:t>
            </w:r>
          </w:p>
        </w:tc>
      </w:tr>
      <w:tr>
        <w:tblPrEx>
          <w:tblCellMar>
            <w:top w:w="0" w:type="dxa"/>
            <w:left w:w="10" w:type="dxa"/>
            <w:bottom w:w="0" w:type="dxa"/>
            <w:right w:w="10" w:type="dxa"/>
          </w:tblCellMar>
        </w:tblPrEx>
        <w:trPr>
          <w:trHeight w:val="454" w:hRule="atLeast"/>
          <w:jc w:val="center"/>
        </w:trPr>
        <w:tc>
          <w:tcPr>
            <w:tcW w:w="796" w:type="dxa"/>
            <w:vMerge w:val="continue"/>
            <w:tcBorders>
              <w:left w:val="single" w:color="auto" w:sz="6" w:space="0"/>
              <w:right w:val="single" w:color="auto" w:sz="6" w:space="0"/>
            </w:tcBorders>
            <w:vAlign w:val="center"/>
          </w:tcPr>
          <w:p>
            <w:pPr>
              <w:jc w:val="center"/>
              <w:rPr>
                <w:rFonts w:ascii="宋体" w:hAnsi="宋体"/>
                <w:color w:val="auto"/>
              </w:rPr>
            </w:pPr>
          </w:p>
        </w:tc>
        <w:tc>
          <w:tcPr>
            <w:tcW w:w="2837" w:type="dxa"/>
            <w:vMerge w:val="continue"/>
            <w:tcBorders>
              <w:left w:val="nil"/>
              <w:right w:val="single" w:color="auto" w:sz="6" w:space="0"/>
            </w:tcBorders>
            <w:vAlign w:val="center"/>
          </w:tcPr>
          <w:p>
            <w:pPr>
              <w:jc w:val="center"/>
              <w:rPr>
                <w:rFonts w:hint="eastAsia" w:ascii="宋体" w:hAnsi="宋体"/>
                <w:color w:val="auto"/>
              </w:rPr>
            </w:pPr>
          </w:p>
        </w:tc>
        <w:tc>
          <w:tcPr>
            <w:tcW w:w="972" w:type="dxa"/>
            <w:vMerge w:val="continue"/>
            <w:tcBorders>
              <w:left w:val="nil"/>
              <w:right w:val="single" w:color="auto" w:sz="6" w:space="0"/>
            </w:tcBorders>
            <w:vAlign w:val="center"/>
          </w:tcPr>
          <w:p>
            <w:pPr>
              <w:jc w:val="center"/>
              <w:rPr>
                <w:rFonts w:hint="eastAsia" w:ascii="宋体" w:hAnsi="宋体"/>
                <w:color w:val="auto"/>
              </w:rPr>
            </w:pPr>
          </w:p>
        </w:tc>
        <w:tc>
          <w:tcPr>
            <w:tcW w:w="624" w:type="dxa"/>
            <w:vMerge w:val="continue"/>
            <w:tcBorders>
              <w:left w:val="nil"/>
              <w:right w:val="single" w:color="auto" w:sz="6" w:space="0"/>
            </w:tcBorders>
            <w:vAlign w:val="center"/>
          </w:tcPr>
          <w:p>
            <w:pPr>
              <w:jc w:val="center"/>
              <w:rPr>
                <w:rFonts w:ascii="宋体" w:hAnsi="宋体"/>
                <w:color w:val="auto"/>
              </w:rPr>
            </w:pPr>
          </w:p>
        </w:tc>
        <w:tc>
          <w:tcPr>
            <w:tcW w:w="1426"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03</w:t>
            </w:r>
            <w:r>
              <w:rPr>
                <w:rFonts w:hint="eastAsia" w:ascii="宋体" w:hAnsi="宋体"/>
                <w:color w:val="auto"/>
              </w:rPr>
              <w:t>液体制剂车间4</w:t>
            </w:r>
            <w:r>
              <w:rPr>
                <w:rFonts w:ascii="宋体" w:hAnsi="宋体"/>
                <w:color w:val="auto"/>
              </w:rPr>
              <w:t>5</w:t>
            </w:r>
            <w:r>
              <w:rPr>
                <w:rFonts w:hint="eastAsia" w:ascii="宋体" w:hAnsi="宋体"/>
                <w:color w:val="auto"/>
              </w:rPr>
              <w:t>人</w:t>
            </w:r>
          </w:p>
        </w:tc>
        <w:tc>
          <w:tcPr>
            <w:tcW w:w="883" w:type="dxa"/>
            <w:tcBorders>
              <w:top w:val="single" w:color="auto" w:sz="6" w:space="0"/>
              <w:left w:val="nil"/>
              <w:bottom w:val="single" w:color="auto" w:sz="6" w:space="0"/>
              <w:right w:val="single" w:color="auto" w:sz="6" w:space="0"/>
            </w:tcBorders>
            <w:vAlign w:val="center"/>
          </w:tcPr>
          <w:p>
            <w:pPr>
              <w:jc w:val="center"/>
              <w:rPr>
                <w:rFonts w:hint="eastAsia" w:ascii="宋体" w:hAnsi="宋体"/>
                <w:color w:val="auto"/>
              </w:rPr>
            </w:pPr>
            <w:r>
              <w:rPr>
                <w:rFonts w:hint="eastAsia" w:ascii="宋体" w:hAnsi="宋体"/>
                <w:color w:val="auto"/>
              </w:rPr>
              <w:t>1</w:t>
            </w:r>
            <w:r>
              <w:rPr>
                <w:rFonts w:ascii="宋体" w:hAnsi="宋体"/>
                <w:color w:val="auto"/>
              </w:rPr>
              <w:t>0</w:t>
            </w:r>
            <w:r>
              <w:rPr>
                <w:rFonts w:hint="eastAsia" w:ascii="宋体" w:hAnsi="宋体"/>
                <w:color w:val="auto"/>
              </w:rPr>
              <w:t>人/班</w:t>
            </w:r>
          </w:p>
        </w:tc>
      </w:tr>
      <w:tr>
        <w:tblPrEx>
          <w:tblCellMar>
            <w:top w:w="0" w:type="dxa"/>
            <w:left w:w="10" w:type="dxa"/>
            <w:bottom w:w="0" w:type="dxa"/>
            <w:right w:w="10" w:type="dxa"/>
          </w:tblCellMar>
        </w:tblPrEx>
        <w:trPr>
          <w:trHeight w:val="454" w:hRule="atLeast"/>
          <w:jc w:val="center"/>
        </w:trPr>
        <w:tc>
          <w:tcPr>
            <w:tcW w:w="796" w:type="dxa"/>
            <w:vMerge w:val="continue"/>
            <w:tcBorders>
              <w:left w:val="single" w:color="auto" w:sz="6" w:space="0"/>
              <w:bottom w:val="single" w:color="auto" w:sz="6" w:space="0"/>
              <w:right w:val="single" w:color="auto" w:sz="6" w:space="0"/>
            </w:tcBorders>
            <w:vAlign w:val="center"/>
          </w:tcPr>
          <w:p>
            <w:pPr>
              <w:jc w:val="center"/>
              <w:rPr>
                <w:rFonts w:ascii="宋体" w:hAnsi="宋体"/>
                <w:color w:val="auto"/>
              </w:rPr>
            </w:pPr>
          </w:p>
        </w:tc>
        <w:tc>
          <w:tcPr>
            <w:tcW w:w="2837" w:type="dxa"/>
            <w:vMerge w:val="continue"/>
            <w:tcBorders>
              <w:left w:val="nil"/>
              <w:bottom w:val="single" w:color="auto" w:sz="6" w:space="0"/>
              <w:right w:val="single" w:color="auto" w:sz="6" w:space="0"/>
            </w:tcBorders>
            <w:vAlign w:val="center"/>
          </w:tcPr>
          <w:p>
            <w:pPr>
              <w:jc w:val="center"/>
              <w:rPr>
                <w:rFonts w:hint="eastAsia" w:ascii="宋体" w:hAnsi="宋体"/>
                <w:color w:val="auto"/>
              </w:rPr>
            </w:pPr>
          </w:p>
        </w:tc>
        <w:tc>
          <w:tcPr>
            <w:tcW w:w="972" w:type="dxa"/>
            <w:vMerge w:val="continue"/>
            <w:tcBorders>
              <w:left w:val="nil"/>
              <w:bottom w:val="single" w:color="auto" w:sz="6" w:space="0"/>
              <w:right w:val="single" w:color="auto" w:sz="6" w:space="0"/>
            </w:tcBorders>
            <w:vAlign w:val="center"/>
          </w:tcPr>
          <w:p>
            <w:pPr>
              <w:jc w:val="center"/>
              <w:rPr>
                <w:rFonts w:hint="eastAsia" w:ascii="宋体" w:hAnsi="宋体"/>
                <w:color w:val="auto"/>
              </w:rPr>
            </w:pPr>
          </w:p>
        </w:tc>
        <w:tc>
          <w:tcPr>
            <w:tcW w:w="624" w:type="dxa"/>
            <w:vMerge w:val="continue"/>
            <w:tcBorders>
              <w:left w:val="nil"/>
              <w:bottom w:val="single" w:color="auto" w:sz="6" w:space="0"/>
              <w:right w:val="single" w:color="auto" w:sz="6" w:space="0"/>
            </w:tcBorders>
            <w:vAlign w:val="center"/>
          </w:tcPr>
          <w:p>
            <w:pPr>
              <w:jc w:val="center"/>
              <w:rPr>
                <w:rFonts w:ascii="宋体" w:hAnsi="宋体"/>
                <w:color w:val="auto"/>
              </w:rPr>
            </w:pPr>
          </w:p>
        </w:tc>
        <w:tc>
          <w:tcPr>
            <w:tcW w:w="1426"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04</w:t>
            </w:r>
            <w:r>
              <w:rPr>
                <w:rFonts w:hint="eastAsia" w:ascii="宋体" w:hAnsi="宋体"/>
                <w:color w:val="auto"/>
              </w:rPr>
              <w:t>颗粒剂车间3</w:t>
            </w:r>
            <w:r>
              <w:rPr>
                <w:rFonts w:ascii="宋体" w:hAnsi="宋体"/>
                <w:color w:val="auto"/>
              </w:rPr>
              <w:t>0</w:t>
            </w:r>
            <w:r>
              <w:rPr>
                <w:rFonts w:hint="eastAsia" w:ascii="宋体" w:hAnsi="宋体"/>
                <w:color w:val="auto"/>
              </w:rPr>
              <w:t>人</w:t>
            </w:r>
          </w:p>
        </w:tc>
        <w:tc>
          <w:tcPr>
            <w:tcW w:w="883" w:type="dxa"/>
            <w:tcBorders>
              <w:top w:val="single" w:color="auto" w:sz="6" w:space="0"/>
              <w:left w:val="nil"/>
              <w:bottom w:val="single" w:color="auto" w:sz="6" w:space="0"/>
              <w:right w:val="single" w:color="auto" w:sz="6" w:space="0"/>
            </w:tcBorders>
            <w:vAlign w:val="center"/>
          </w:tcPr>
          <w:p>
            <w:pPr>
              <w:jc w:val="center"/>
              <w:rPr>
                <w:rFonts w:hint="eastAsia" w:ascii="宋体" w:hAnsi="宋体"/>
                <w:color w:val="auto"/>
              </w:rPr>
            </w:pPr>
            <w:r>
              <w:rPr>
                <w:rFonts w:hint="eastAsia" w:ascii="宋体" w:hAnsi="宋体"/>
                <w:color w:val="auto"/>
              </w:rPr>
              <w:t>1</w:t>
            </w:r>
            <w:r>
              <w:rPr>
                <w:rFonts w:ascii="宋体" w:hAnsi="宋体"/>
                <w:color w:val="auto"/>
              </w:rPr>
              <w:t>5</w:t>
            </w:r>
            <w:r>
              <w:rPr>
                <w:rFonts w:hint="eastAsia" w:ascii="宋体" w:hAnsi="宋体"/>
                <w:color w:val="auto"/>
              </w:rPr>
              <w:t>人/班</w:t>
            </w:r>
          </w:p>
        </w:tc>
      </w:tr>
      <w:tr>
        <w:tblPrEx>
          <w:tblCellMar>
            <w:top w:w="0" w:type="dxa"/>
            <w:left w:w="10" w:type="dxa"/>
            <w:bottom w:w="0" w:type="dxa"/>
            <w:right w:w="10" w:type="dxa"/>
          </w:tblCellMar>
        </w:tblPrEx>
        <w:trPr>
          <w:trHeight w:val="454"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4</w:t>
            </w:r>
          </w:p>
        </w:tc>
        <w:tc>
          <w:tcPr>
            <w:tcW w:w="2837"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后勤人员</w:t>
            </w:r>
          </w:p>
        </w:tc>
        <w:tc>
          <w:tcPr>
            <w:tcW w:w="972"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w:t>
            </w:r>
          </w:p>
        </w:tc>
        <w:tc>
          <w:tcPr>
            <w:tcW w:w="2050" w:type="dxa"/>
            <w:gridSpan w:val="2"/>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ascii="宋体" w:hAnsi="宋体"/>
                <w:color w:val="auto"/>
              </w:rPr>
              <w:t>28</w:t>
            </w:r>
          </w:p>
        </w:tc>
        <w:tc>
          <w:tcPr>
            <w:tcW w:w="883"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p>
        </w:tc>
      </w:tr>
      <w:tr>
        <w:tblPrEx>
          <w:tblCellMar>
            <w:top w:w="0" w:type="dxa"/>
            <w:left w:w="10" w:type="dxa"/>
            <w:bottom w:w="0" w:type="dxa"/>
            <w:right w:w="10" w:type="dxa"/>
          </w:tblCellMar>
        </w:tblPrEx>
        <w:trPr>
          <w:trHeight w:val="454"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p>
        </w:tc>
        <w:tc>
          <w:tcPr>
            <w:tcW w:w="2837"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总  计</w:t>
            </w:r>
          </w:p>
        </w:tc>
        <w:tc>
          <w:tcPr>
            <w:tcW w:w="972"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人</w:t>
            </w:r>
          </w:p>
        </w:tc>
        <w:tc>
          <w:tcPr>
            <w:tcW w:w="2050" w:type="dxa"/>
            <w:gridSpan w:val="2"/>
            <w:tcBorders>
              <w:top w:val="single" w:color="auto" w:sz="6" w:space="0"/>
              <w:left w:val="nil"/>
              <w:bottom w:val="single" w:color="auto" w:sz="6" w:space="0"/>
              <w:right w:val="single" w:color="auto" w:sz="6" w:space="0"/>
            </w:tcBorders>
            <w:vAlign w:val="center"/>
          </w:tcPr>
          <w:p>
            <w:pPr>
              <w:jc w:val="center"/>
              <w:rPr>
                <w:color w:val="auto"/>
              </w:rPr>
            </w:pPr>
            <w:r>
              <w:rPr>
                <w:rFonts w:ascii="宋体" w:hAnsi="宋体"/>
                <w:color w:val="auto"/>
              </w:rPr>
              <w:t>200</w:t>
            </w:r>
          </w:p>
        </w:tc>
        <w:tc>
          <w:tcPr>
            <w:tcW w:w="883"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w:t>
            </w:r>
          </w:p>
        </w:tc>
      </w:tr>
    </w:tbl>
    <w:p>
      <w:pPr>
        <w:pStyle w:val="49"/>
        <w:ind w:firstLine="562" w:firstLineChars="200"/>
        <w:rPr>
          <w:color w:val="auto"/>
        </w:rPr>
      </w:pPr>
      <w:r>
        <w:rPr>
          <w:rFonts w:hint="eastAsia"/>
          <w:b/>
          <w:color w:val="auto"/>
          <w:sz w:val="28"/>
          <w:szCs w:val="32"/>
        </w:rPr>
        <w:t>3）劳动力来源及人员培训</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该项目管理人员由总经理指派或公开招聘，其余人员均向社会公开招聘，择优录取。</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项目建成后将坚持以岗定员，减少一切不必要冗员存在，科学管理，尊重知识，尊重劳动法规，认真搞好岗前培训，并在实际工作中运用绩效管理法奖惩严明，提高人员的素质，培养一批有能力、有技术、有文化，求上进的技术及管理人员，带动公司全体职工共同前进，成为企业发展的动力之一。</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所有需要凭证上岗的人员，均按有关规定，参加有关主管部门组织的业务培训，持证上岗。所有的设备操作工，上岗以前均邀请设备厂家的技术人员来厂里进行授课培训。经考核合格以后才可上岗。</w:t>
      </w:r>
    </w:p>
    <w:p>
      <w:pPr>
        <w:spacing w:line="360" w:lineRule="auto"/>
        <w:ind w:firstLine="560" w:firstLineChars="200"/>
        <w:rPr>
          <w:rFonts w:ascii="宋体" w:hAnsi="宋体"/>
          <w:color w:val="auto"/>
          <w:sz w:val="28"/>
          <w:szCs w:val="28"/>
        </w:rPr>
      </w:pPr>
      <w:r>
        <w:rPr>
          <w:rFonts w:ascii="宋体" w:hAnsi="宋体"/>
          <w:color w:val="auto"/>
          <w:sz w:val="28"/>
          <w:szCs w:val="28"/>
        </w:rPr>
        <w:br w:type="page"/>
      </w:r>
    </w:p>
    <w:p>
      <w:pPr>
        <w:pStyle w:val="3"/>
        <w:pageBreakBefore/>
        <w:widowControl/>
        <w:jc w:val="both"/>
        <w:rPr>
          <w:bCs w:val="0"/>
          <w:color w:val="auto"/>
          <w:szCs w:val="32"/>
        </w:rPr>
      </w:pPr>
      <w:bookmarkStart w:id="61" w:name="_Toc144109168"/>
      <w:r>
        <w:rPr>
          <w:rFonts w:hint="eastAsia"/>
          <w:bCs w:val="0"/>
          <w:color w:val="auto"/>
          <w:szCs w:val="32"/>
        </w:rPr>
        <w:t>3.主要危险、有害因素辨识与分析</w:t>
      </w:r>
      <w:bookmarkEnd w:id="61"/>
    </w:p>
    <w:p>
      <w:pPr>
        <w:pStyle w:val="4"/>
        <w:tabs>
          <w:tab w:val="center" w:pos="4153"/>
        </w:tabs>
        <w:rPr>
          <w:rFonts w:ascii="Times New Roman" w:hAnsi="Times New Roman" w:cs="Times New Roman"/>
          <w:bCs w:val="0"/>
          <w:color w:val="auto"/>
        </w:rPr>
      </w:pPr>
      <w:bookmarkStart w:id="62" w:name="_Toc144109169"/>
      <w:r>
        <w:rPr>
          <w:rFonts w:hint="eastAsia" w:ascii="Times New Roman" w:hAnsi="Times New Roman" w:cs="Times New Roman"/>
          <w:bCs w:val="0"/>
          <w:color w:val="auto"/>
        </w:rPr>
        <w:t>3.</w:t>
      </w:r>
      <w:r>
        <w:rPr>
          <w:rFonts w:ascii="Times New Roman" w:hAnsi="Times New Roman" w:cs="Times New Roman"/>
          <w:bCs w:val="0"/>
          <w:color w:val="auto"/>
        </w:rPr>
        <w:t xml:space="preserve">1 </w:t>
      </w:r>
      <w:r>
        <w:rPr>
          <w:rFonts w:hint="eastAsia" w:ascii="Times New Roman" w:hAnsi="Times New Roman" w:cs="Times New Roman"/>
          <w:bCs w:val="0"/>
          <w:color w:val="auto"/>
        </w:rPr>
        <w:t>危险物质的辨识结果及依据</w:t>
      </w:r>
      <w:bookmarkEnd w:id="62"/>
    </w:p>
    <w:p>
      <w:pPr>
        <w:pStyle w:val="57"/>
        <w:numPr>
          <w:ilvl w:val="0"/>
          <w:numId w:val="11"/>
        </w:numPr>
        <w:spacing w:line="600" w:lineRule="exact"/>
        <w:ind w:firstLineChars="0"/>
        <w:rPr>
          <w:rFonts w:ascii="宋体" w:hAnsi="宋体"/>
          <w:b/>
          <w:color w:val="auto"/>
          <w:sz w:val="28"/>
          <w:szCs w:val="28"/>
        </w:rPr>
      </w:pPr>
      <w:r>
        <w:rPr>
          <w:rFonts w:hint="eastAsia" w:ascii="宋体" w:hAnsi="宋体"/>
          <w:b/>
          <w:color w:val="auto"/>
          <w:sz w:val="28"/>
          <w:szCs w:val="28"/>
        </w:rPr>
        <w:t>主要危险化学品</w:t>
      </w:r>
    </w:p>
    <w:p>
      <w:pPr>
        <w:ind w:firstLine="560" w:firstLineChars="200"/>
        <w:rPr>
          <w:color w:val="auto"/>
        </w:rPr>
      </w:pPr>
      <w:r>
        <w:rPr>
          <w:rFonts w:hint="eastAsia" w:ascii="宋体" w:hAnsi="宋体"/>
          <w:color w:val="auto"/>
          <w:sz w:val="28"/>
          <w:szCs w:val="28"/>
        </w:rPr>
        <w:t>该项目涉及到的物质主要有：</w:t>
      </w:r>
      <w:r>
        <w:rPr>
          <w:rFonts w:hint="eastAsia"/>
          <w:color w:val="auto"/>
          <w:sz w:val="28"/>
          <w:szCs w:val="28"/>
        </w:rPr>
        <w:t>麦角淄醇、丙酮、四甲基哌啶氧化物（TEMPO）、甲苯、次氯酸钠、液氨、液氮、金属锂粒、氯化铵、对甲苯磺酸、甲基磺酰胺、锇酸钾、双氧水（3</w:t>
      </w:r>
      <w:r>
        <w:rPr>
          <w:color w:val="auto"/>
          <w:sz w:val="28"/>
          <w:szCs w:val="28"/>
        </w:rPr>
        <w:t>0%&amp;50%</w:t>
      </w:r>
      <w:r>
        <w:rPr>
          <w:rFonts w:hint="eastAsia"/>
          <w:color w:val="auto"/>
          <w:sz w:val="28"/>
          <w:szCs w:val="28"/>
        </w:rPr>
        <w:t>）、豆甾醇、三乙胺、甲基磺酰氯、丁酮、碳酸氢钾、硫酸、氢溴酸、溴化钠、二甲基甲酰胺（DMF）、乙酸乙酯、碳酸钾、铁氰化钾、碳酸氢钠、叔丁醇、奎尼丁、三氟乙酸酐、二氯甲烷、甲醇、石油醚、硅胶、亚硫酸氢钠、N</w:t>
      </w:r>
      <w:r>
        <w:rPr>
          <w:color w:val="auto"/>
          <w:sz w:val="28"/>
          <w:szCs w:val="28"/>
        </w:rPr>
        <w:t>-</w:t>
      </w:r>
      <w:r>
        <w:rPr>
          <w:rFonts w:hint="eastAsia"/>
          <w:color w:val="auto"/>
          <w:sz w:val="28"/>
          <w:szCs w:val="28"/>
        </w:rPr>
        <w:t>甲基氧化吗啉、亚硫酸钠、四氢呋喃、丙酸酐、间氯过氧苯甲酸、2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高芸苔素内酯、丙酰芸苔素内酯、NP</w:t>
      </w:r>
      <w:r>
        <w:rPr>
          <w:color w:val="auto"/>
          <w:sz w:val="28"/>
          <w:szCs w:val="28"/>
        </w:rPr>
        <w:t>-10</w:t>
      </w:r>
      <w:r>
        <w:rPr>
          <w:rFonts w:hint="eastAsia"/>
          <w:color w:val="auto"/>
          <w:sz w:val="28"/>
          <w:szCs w:val="28"/>
        </w:rPr>
        <w:t>（壬基酚聚氧乙烯醚）、乙醇、异丙醇、消泡剂、S</w:t>
      </w:r>
      <w:r>
        <w:rPr>
          <w:color w:val="auto"/>
          <w:sz w:val="28"/>
          <w:szCs w:val="28"/>
        </w:rPr>
        <w:t>-</w:t>
      </w:r>
      <w:r>
        <w:rPr>
          <w:rFonts w:hint="eastAsia"/>
          <w:color w:val="auto"/>
          <w:sz w:val="28"/>
          <w:szCs w:val="28"/>
        </w:rPr>
        <w:t>诱抗素、赤霉酸A</w:t>
      </w:r>
      <w:r>
        <w:rPr>
          <w:color w:val="auto"/>
          <w:sz w:val="28"/>
          <w:szCs w:val="28"/>
        </w:rPr>
        <w:t>3</w:t>
      </w:r>
      <w:r>
        <w:rPr>
          <w:rFonts w:hint="eastAsia"/>
          <w:color w:val="auto"/>
          <w:sz w:val="28"/>
          <w:szCs w:val="28"/>
        </w:rPr>
        <w:t>、烯效唑、黄原胶、苯甲酸钠、乙二醇、白炭黑（主要成分二氧化硅）、SC001（苯乙基苯酚聚氧乙烯醚硫酸盐）、苄氨基嘌呤、三十烷醇、氯吡脲、噻苯隆、环己酮、氨基寡糖素、朗钛LT</w:t>
      </w:r>
      <w:r>
        <w:rPr>
          <w:color w:val="auto"/>
          <w:sz w:val="28"/>
          <w:szCs w:val="28"/>
        </w:rPr>
        <w:t>-569</w:t>
      </w:r>
      <w:r>
        <w:rPr>
          <w:rFonts w:hint="eastAsia"/>
          <w:color w:val="auto"/>
          <w:sz w:val="28"/>
          <w:szCs w:val="28"/>
        </w:rPr>
        <w:t>、三聚磷酸钠、吲哚丁酸、赤霉素A</w:t>
      </w:r>
      <w:r>
        <w:rPr>
          <w:color w:val="auto"/>
          <w:sz w:val="28"/>
          <w:szCs w:val="28"/>
        </w:rPr>
        <w:t>4</w:t>
      </w:r>
      <w:r>
        <w:rPr>
          <w:rFonts w:hint="eastAsia"/>
          <w:color w:val="auto"/>
          <w:sz w:val="28"/>
          <w:szCs w:val="28"/>
        </w:rPr>
        <w:t>、氯化胆碱、胺鲜酯、复合肥（主要为磷酸一铵）、氯化钠、柴油等。中间产物中涉及</w:t>
      </w:r>
      <w:r>
        <w:rPr>
          <w:rFonts w:hint="eastAsia" w:ascii="宋体" w:hAnsi="宋体"/>
          <w:color w:val="auto"/>
          <w:sz w:val="28"/>
          <w:szCs w:val="28"/>
        </w:rPr>
        <w:t>氢氧化锂、二氧化碳、氯化钠、氨气、氢气、溴化钠、亚铁氰化钾、过氧三氟乙酸、碳酸氢钾、</w:t>
      </w:r>
      <w:r>
        <w:rPr>
          <w:color w:val="auto"/>
          <w:sz w:val="28"/>
          <w:szCs w:val="28"/>
        </w:rPr>
        <w:t>N-</w:t>
      </w:r>
      <w:r>
        <w:rPr>
          <w:rFonts w:hint="eastAsia" w:ascii="宋体" w:hAnsi="宋体"/>
          <w:color w:val="auto"/>
          <w:sz w:val="28"/>
          <w:szCs w:val="28"/>
        </w:rPr>
        <w:t>甲基吗啉、硫酸钾、亚硫酸钾、三氟乙酸、三氟乙酸钾、甲基磺酸、氯化氢、氨基锂、氯化锂、二氧化硫、间氯苯甲酸、硫酸氢钠、硫酸钠</w:t>
      </w:r>
      <w:r>
        <w:rPr>
          <w:rFonts w:hint="eastAsia"/>
          <w:color w:val="auto"/>
          <w:sz w:val="28"/>
          <w:szCs w:val="28"/>
        </w:rPr>
        <w:t>等。该项目产品为2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高芸苔素内酯、丙酰芸苔素内酯以及芸苔素制剂</w:t>
      </w:r>
      <w:r>
        <w:rPr>
          <w:rFonts w:hint="eastAsia" w:ascii="宋体" w:hAnsi="宋体"/>
          <w:color w:val="auto"/>
          <w:sz w:val="28"/>
          <w:szCs w:val="28"/>
        </w:rPr>
        <w:t>。根据《危险化学品目录》，其中涉及的危险化学品为</w:t>
      </w:r>
      <w:r>
        <w:rPr>
          <w:rFonts w:hint="eastAsia"/>
          <w:color w:val="auto"/>
          <w:sz w:val="28"/>
          <w:szCs w:val="28"/>
        </w:rPr>
        <w:t>三乙胺、甲基磺酰氯、四氢呋喃、丙酮、甲苯、液氨、液氮、金属锂粒、双氧水、丁酮、硫酸、氢溴酸、二甲基甲酰胺、乙酸乙酯、叔丁醇、三氟乙酸酐、二氯甲烷、石油醚、亚硫酸氢钠、次氯酸钠水溶液、甲醇、乙醇、丙酸酐、间氯过氧苯甲酸、异丙醇、环己酮、NP</w:t>
      </w:r>
      <w:r>
        <w:rPr>
          <w:color w:val="auto"/>
          <w:sz w:val="28"/>
          <w:szCs w:val="28"/>
        </w:rPr>
        <w:t>-10</w:t>
      </w:r>
      <w:r>
        <w:rPr>
          <w:rFonts w:hint="eastAsia"/>
          <w:color w:val="auto"/>
          <w:sz w:val="28"/>
          <w:szCs w:val="28"/>
        </w:rPr>
        <w:t>、柴油等；中间产物中</w:t>
      </w:r>
      <w:r>
        <w:rPr>
          <w:rFonts w:hint="eastAsia" w:ascii="宋体" w:hAnsi="宋体"/>
          <w:color w:val="auto"/>
          <w:sz w:val="28"/>
          <w:szCs w:val="28"/>
        </w:rPr>
        <w:t>氢氧化锂、氨气、氢气、</w:t>
      </w:r>
      <w:r>
        <w:rPr>
          <w:color w:val="auto"/>
          <w:sz w:val="28"/>
          <w:szCs w:val="28"/>
        </w:rPr>
        <w:t>N-</w:t>
      </w:r>
      <w:r>
        <w:rPr>
          <w:rFonts w:hint="eastAsia" w:ascii="宋体" w:hAnsi="宋体"/>
          <w:color w:val="auto"/>
          <w:sz w:val="28"/>
          <w:szCs w:val="28"/>
        </w:rPr>
        <w:t>甲基吗啉、三氟乙酸、氯化氢、甲基磺酸、氨基锂、二氧化硫、硫酸氢钠</w:t>
      </w:r>
      <w:r>
        <w:rPr>
          <w:rFonts w:hint="eastAsia"/>
          <w:color w:val="auto"/>
          <w:sz w:val="28"/>
          <w:szCs w:val="28"/>
        </w:rPr>
        <w:t>等为危险化学品。该项目产品不涉及危险化学品。该项目</w:t>
      </w:r>
      <w:r>
        <w:rPr>
          <w:rFonts w:hint="eastAsia" w:ascii="宋体" w:hAnsi="宋体"/>
          <w:color w:val="auto"/>
          <w:sz w:val="28"/>
          <w:szCs w:val="28"/>
        </w:rPr>
        <w:t>危险化学品及危险性类别见下表，危险化学品理化特性信息见附录A。</w:t>
      </w:r>
    </w:p>
    <w:tbl>
      <w:tblPr>
        <w:tblStyle w:val="31"/>
        <w:tblW w:w="946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3"/>
        <w:gridCol w:w="779"/>
        <w:gridCol w:w="912"/>
        <w:gridCol w:w="727"/>
        <w:gridCol w:w="709"/>
        <w:gridCol w:w="1159"/>
        <w:gridCol w:w="547"/>
        <w:gridCol w:w="3246"/>
        <w:gridCol w:w="6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名称</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CAS号</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目录中编号</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闪点/℃</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沸点/℃</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爆炸极限（%）</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火灾类别</w:t>
            </w:r>
          </w:p>
        </w:tc>
        <w:tc>
          <w:tcPr>
            <w:tcW w:w="3246"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危险性类别</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b/>
                <w:color w:val="auto"/>
                <w:sz w:val="21"/>
                <w:szCs w:val="21"/>
              </w:rPr>
            </w:pPr>
            <w:r>
              <w:rPr>
                <w:rFonts w:hint="eastAsia" w:asciiTheme="minorEastAsia" w:hAnsiTheme="minorEastAsia" w:eastAsiaTheme="minorEastAsia"/>
                <w:b/>
                <w:color w:val="auto"/>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四氢呋喃</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09-99-9</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071</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20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5.4</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.5/12.4</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易燃液体,类别2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致癌性,类别2</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特异性靶器官毒性-一次接触,类别3（呼吸道刺激）</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三乙胺</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21-44-8</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915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7</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8</w:t>
            </w:r>
            <w:r>
              <w:rPr>
                <w:rFonts w:asciiTheme="minorEastAsia" w:hAnsiTheme="minorEastAsia" w:eastAsiaTheme="minorEastAsia"/>
                <w:color w:val="auto"/>
                <w:sz w:val="21"/>
                <w:szCs w:val="21"/>
              </w:rPr>
              <w:t>9.5</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.2/8.0</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易燃液体,类别2</w:t>
            </w:r>
          </w:p>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皮肤腐蚀/刺激,类别1A</w:t>
            </w:r>
          </w:p>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严重眼损伤/眼刺激,类别1</w:t>
            </w:r>
          </w:p>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特异性靶器官毒性-一次接触,类别3（呼吸道刺激）</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甲基磺酰氯</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24-63-0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126</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64</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丙</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急性毒性-经口,类别3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急性毒性-经皮,类别3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急性毒性-吸入,类别1</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皮肤腐蚀/刺激,类别1</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严重眼损伤/眼刺激,类别1</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特异性靶器官毒性-一次接触,类别1</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危害水生环境-长期危害,类别3</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剧毒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丙酮</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7-64-1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37</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20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5</w:t>
            </w:r>
            <w:r>
              <w:rPr>
                <w:rFonts w:asciiTheme="minorEastAsia" w:hAnsiTheme="minorEastAsia" w:eastAsiaTheme="minorEastAsia"/>
                <w:color w:val="auto"/>
                <w:sz w:val="21"/>
                <w:szCs w:val="21"/>
              </w:rPr>
              <w:t>6.5</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.5/13.0</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易燃液体,类别2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严重眼损伤/眼刺激,类别2</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特异性靶器官毒性-一次接触,类别3（麻醉效应）</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甲苯</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08-88-3</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014</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10.6</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1.2/7.0</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易燃液体,类别2</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皮肤腐蚀/刺激,类别2</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生殖毒性,类别2</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特异性靶器官毒性-一次接触,类别3（麻醉效应）</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特异性靶器官毒性-反复接触,类别2*</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吸入危害,类别1</w:t>
            </w:r>
          </w:p>
          <w:p>
            <w:pPr>
              <w:widowControl/>
              <w:spacing w:line="290" w:lineRule="exact"/>
              <w:jc w:val="left"/>
              <w:rPr>
                <w:rFonts w:ascii="宋体" w:hAnsi="宋体"/>
                <w:color w:val="auto"/>
                <w:kern w:val="0"/>
                <w:sz w:val="20"/>
                <w:szCs w:val="20"/>
              </w:rPr>
            </w:pPr>
            <w:r>
              <w:rPr>
                <w:rFonts w:hint="eastAsia" w:ascii="宋体" w:hAnsi="宋体"/>
                <w:color w:val="auto"/>
                <w:kern w:val="0"/>
                <w:sz w:val="20"/>
                <w:szCs w:val="20"/>
              </w:rPr>
              <w:t>危害水生环境-急性危害,类别2</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危害水生环境-长期危害,类别3</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液氨</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664-41-7</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1.11</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33.35</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6/25</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乙</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易燃气体,类别2</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加压气体</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急性毒性-吸入,类别3*</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皮肤腐蚀/刺激,类别1B</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严重眼损伤/眼刺激,类别1</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危害水生环境-急性危害,类别1</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液氮</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727-37-9</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72</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196.56</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戊</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加压气体</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锂</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439-93-2</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240</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342</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遇水放出易燃气体的物质和混合物,类别1</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皮肤腐蚀/刺激,类别1B</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严重眼损伤/眼刺激,类别1</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双氧水</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722-84-1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9</w:t>
            </w:r>
            <w:r>
              <w:rPr>
                <w:rFonts w:asciiTheme="minorEastAsia" w:hAnsiTheme="minorEastAsia" w:eastAsiaTheme="minorEastAsia"/>
                <w:color w:val="auto"/>
                <w:sz w:val="21"/>
                <w:szCs w:val="21"/>
              </w:rPr>
              <w:t>03</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乙</w:t>
            </w:r>
          </w:p>
        </w:tc>
        <w:tc>
          <w:tcPr>
            <w:tcW w:w="3246" w:type="dxa"/>
            <w:tcBorders>
              <w:top w:val="single" w:color="auto" w:sz="4" w:space="0"/>
              <w:left w:val="nil"/>
              <w:bottom w:val="single" w:color="auto" w:sz="4" w:space="0"/>
              <w:right w:val="single" w:color="auto" w:sz="4" w:space="0"/>
            </w:tcBorders>
            <w:vAlign w:val="center"/>
          </w:tcPr>
          <w:p>
            <w:pPr>
              <w:widowControl/>
              <w:spacing w:line="290" w:lineRule="exact"/>
              <w:rPr>
                <w:rFonts w:ascii="宋体" w:hAnsi="宋体"/>
                <w:color w:val="auto"/>
                <w:kern w:val="0"/>
                <w:sz w:val="20"/>
                <w:szCs w:val="20"/>
              </w:rPr>
            </w:pPr>
            <w:r>
              <w:rPr>
                <w:rFonts w:hint="eastAsia" w:ascii="宋体" w:hAnsi="宋体"/>
                <w:color w:val="auto"/>
                <w:kern w:val="0"/>
                <w:sz w:val="20"/>
                <w:szCs w:val="20"/>
              </w:rPr>
              <w:t>20%≤含量＜60%</w:t>
            </w:r>
          </w:p>
          <w:p>
            <w:pPr>
              <w:widowControl/>
              <w:spacing w:line="290" w:lineRule="exact"/>
              <w:rPr>
                <w:rFonts w:ascii="宋体" w:hAnsi="宋体"/>
                <w:color w:val="auto"/>
                <w:kern w:val="0"/>
                <w:sz w:val="20"/>
                <w:szCs w:val="20"/>
              </w:rPr>
            </w:pPr>
            <w:r>
              <w:rPr>
                <w:rFonts w:hint="eastAsia" w:ascii="宋体" w:hAnsi="宋体"/>
                <w:color w:val="auto"/>
                <w:kern w:val="0"/>
                <w:sz w:val="20"/>
                <w:szCs w:val="20"/>
              </w:rPr>
              <w:t>氧化性液体,类别2</w:t>
            </w:r>
          </w:p>
          <w:p>
            <w:pPr>
              <w:widowControl/>
              <w:spacing w:line="290" w:lineRule="exact"/>
              <w:rPr>
                <w:rFonts w:ascii="宋体" w:hAnsi="宋体"/>
                <w:color w:val="auto"/>
                <w:kern w:val="0"/>
                <w:sz w:val="20"/>
                <w:szCs w:val="20"/>
              </w:rPr>
            </w:pPr>
            <w:r>
              <w:rPr>
                <w:rFonts w:hint="eastAsia" w:ascii="宋体" w:hAnsi="宋体"/>
                <w:color w:val="auto"/>
                <w:kern w:val="0"/>
                <w:sz w:val="20"/>
                <w:szCs w:val="20"/>
              </w:rPr>
              <w:t>皮肤腐蚀/刺激,类别1A</w:t>
            </w:r>
          </w:p>
          <w:p>
            <w:pPr>
              <w:widowControl/>
              <w:spacing w:line="290" w:lineRule="exact"/>
              <w:rPr>
                <w:rFonts w:ascii="宋体" w:hAnsi="宋体"/>
                <w:color w:val="auto"/>
                <w:kern w:val="0"/>
                <w:sz w:val="20"/>
                <w:szCs w:val="20"/>
              </w:rPr>
            </w:pPr>
            <w:r>
              <w:rPr>
                <w:rFonts w:hint="eastAsia" w:ascii="宋体" w:hAnsi="宋体"/>
                <w:color w:val="auto"/>
                <w:kern w:val="0"/>
                <w:sz w:val="20"/>
                <w:szCs w:val="20"/>
              </w:rPr>
              <w:t>严重眼损伤/眼刺激,类别1</w:t>
            </w:r>
          </w:p>
          <w:p>
            <w:pPr>
              <w:widowControl/>
              <w:spacing w:line="290" w:lineRule="exact"/>
              <w:rPr>
                <w:rFonts w:ascii="宋体" w:hAnsi="宋体"/>
                <w:color w:val="auto"/>
                <w:kern w:val="0"/>
                <w:sz w:val="20"/>
                <w:szCs w:val="20"/>
              </w:rPr>
            </w:pPr>
            <w:r>
              <w:rPr>
                <w:rFonts w:hint="eastAsia" w:ascii="宋体" w:hAnsi="宋体"/>
                <w:color w:val="auto"/>
                <w:kern w:val="0"/>
                <w:sz w:val="20"/>
                <w:szCs w:val="20"/>
              </w:rPr>
              <w:t>特异性靶器官毒性-一次接触,类别3（呼吸道刺激）</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丁酮</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8-93-3</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36</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9</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9.6</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.7/11.4</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易燃液体,类别2</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严重眼损伤/眼刺激,类别2</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特异性靶器官毒性-一次接触,类别3（麻醉效应）</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硫酸</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7664-93-9</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302</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330</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kern w:val="0"/>
                <w:sz w:val="21"/>
                <w:szCs w:val="21"/>
              </w:rPr>
              <w:t>丁</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皮肤腐蚀/刺激,类别1A</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严重眼损伤/眼刺激,类别1</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氢溴酸</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0035-10-6</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655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26</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kern w:val="0"/>
                <w:sz w:val="21"/>
                <w:szCs w:val="21"/>
              </w:rPr>
            </w:pPr>
            <w:r>
              <w:rPr>
                <w:rFonts w:hint="eastAsia" w:asciiTheme="minorEastAsia" w:hAnsiTheme="minorEastAsia" w:eastAsiaTheme="minorEastAsia"/>
                <w:color w:val="auto"/>
                <w:kern w:val="0"/>
                <w:sz w:val="21"/>
                <w:szCs w:val="21"/>
              </w:rPr>
              <w:t>丁</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皮肤腐蚀/刺激,类别1A</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严重眼损伤/眼刺激,类别1</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特异性靶器官毒性-一次接触,类别3（呼吸道刺激）</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二甲基甲酰胺（DMF）</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8-12-2</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60</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5</w:t>
            </w:r>
            <w:r>
              <w:rPr>
                <w:rFonts w:asciiTheme="minorEastAsia" w:hAnsiTheme="minorEastAsia" w:eastAsiaTheme="minorEastAsia"/>
                <w:color w:val="auto"/>
                <w:sz w:val="21"/>
                <w:szCs w:val="21"/>
              </w:rPr>
              <w:t>8</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52.8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.2/15.2</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乙</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易燃液体,类别3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严重眼损伤/眼刺激,类别2</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生殖毒性,类别1B</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乙酸乙酯</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41-78-6</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651</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4</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7.2</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.0/11.5</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易燃液体,类别2</w:t>
            </w:r>
          </w:p>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严重眼损伤/眼刺激,类别2</w:t>
            </w:r>
          </w:p>
          <w:p>
            <w:pPr>
              <w:pStyle w:val="74"/>
              <w:snapToGrid w:val="0"/>
              <w:spacing w:line="280" w:lineRule="exact"/>
              <w:jc w:val="lef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特异性靶器官毒性-一次接触,类别3（麻醉效应）</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叔丁醇</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5-65-0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049</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8</w:t>
            </w:r>
            <w:r>
              <w:rPr>
                <w:rFonts w:asciiTheme="minorEastAsia" w:hAnsiTheme="minorEastAsia" w:eastAsiaTheme="minorEastAsia"/>
                <w:color w:val="auto"/>
                <w:sz w:val="21"/>
                <w:szCs w:val="21"/>
              </w:rPr>
              <w:t>2.8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.3/8.0</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易燃液体,类别2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严重眼损伤/眼刺激,类别2</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特异性靶器官毒性-一次接触,类别3（呼吸道刺激）</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三氟乙酸酐</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07-25-0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790</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3</w:t>
            </w:r>
            <w:r>
              <w:rPr>
                <w:rFonts w:asciiTheme="minorEastAsia" w:hAnsiTheme="minorEastAsia" w:eastAsiaTheme="minorEastAsia"/>
                <w:color w:val="auto"/>
                <w:sz w:val="21"/>
                <w:szCs w:val="21"/>
              </w:rPr>
              <w:t>9.5-40.1</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丁</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皮肤腐蚀/刺激,类别1</w:t>
            </w:r>
          </w:p>
          <w:p>
            <w:pPr>
              <w:widowControl/>
              <w:spacing w:line="320" w:lineRule="exact"/>
              <w:jc w:val="left"/>
              <w:rPr>
                <w:rFonts w:ascii="宋体" w:hAnsi="宋体"/>
                <w:color w:val="auto"/>
                <w:kern w:val="0"/>
                <w:sz w:val="20"/>
                <w:szCs w:val="20"/>
              </w:rPr>
            </w:pPr>
            <w:r>
              <w:rPr>
                <w:rFonts w:hint="eastAsia" w:ascii="宋体" w:hAnsi="宋体"/>
                <w:color w:val="auto"/>
                <w:kern w:val="0"/>
                <w:sz w:val="20"/>
                <w:szCs w:val="20"/>
              </w:rPr>
              <w:t>严重眼损伤/眼刺激,类别1</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危害水生环境-长期危害,类别3</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二氯甲烷</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5-09-2</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5</w:t>
            </w:r>
            <w:r>
              <w:rPr>
                <w:rFonts w:asciiTheme="minorEastAsia" w:hAnsiTheme="minorEastAsia" w:eastAsiaTheme="minorEastAsia"/>
                <w:color w:val="auto"/>
                <w:sz w:val="21"/>
                <w:szCs w:val="21"/>
              </w:rPr>
              <w:t>41</w:t>
            </w:r>
          </w:p>
        </w:tc>
        <w:tc>
          <w:tcPr>
            <w:tcW w:w="727" w:type="dxa"/>
            <w:tcBorders>
              <w:top w:val="single" w:color="auto" w:sz="6"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3</w:t>
            </w:r>
            <w:r>
              <w:rPr>
                <w:rFonts w:asciiTheme="minorEastAsia" w:hAnsiTheme="minorEastAsia" w:eastAsiaTheme="minorEastAsia"/>
                <w:color w:val="auto"/>
                <w:sz w:val="21"/>
                <w:szCs w:val="21"/>
              </w:rPr>
              <w:t>9.8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12/19</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丙</w:t>
            </w:r>
          </w:p>
        </w:tc>
        <w:tc>
          <w:tcPr>
            <w:tcW w:w="3246" w:type="dxa"/>
            <w:tcBorders>
              <w:top w:val="single" w:color="auto" w:sz="4" w:space="0"/>
              <w:left w:val="nil"/>
              <w:bottom w:val="single" w:color="auto" w:sz="4"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皮肤腐蚀/刺激,类别2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严重眼损伤/眼刺激,类别2A</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致癌性,类别2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特异性靶器官毒性-一次接触,类别1</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特异性靶器官毒性-一次接触,类别3（麻醉效应）</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特异性靶器官毒性-反复接触,类别1</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石油醚</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8</w:t>
            </w:r>
            <w:r>
              <w:rPr>
                <w:rFonts w:asciiTheme="minorEastAsia" w:hAnsiTheme="minorEastAsia" w:eastAsiaTheme="minorEastAsia"/>
                <w:color w:val="auto"/>
                <w:sz w:val="21"/>
                <w:szCs w:val="21"/>
              </w:rPr>
              <w:t>032-32-4</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965</w:t>
            </w:r>
          </w:p>
        </w:tc>
        <w:tc>
          <w:tcPr>
            <w:tcW w:w="727" w:type="dxa"/>
            <w:tcBorders>
              <w:top w:val="single" w:color="auto" w:sz="6"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20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0-80</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.1/8.7</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widowControl/>
              <w:spacing w:line="300" w:lineRule="exact"/>
              <w:jc w:val="left"/>
              <w:rPr>
                <w:rFonts w:ascii="宋体" w:hAnsi="宋体"/>
                <w:color w:val="auto"/>
                <w:kern w:val="0"/>
                <w:sz w:val="20"/>
                <w:szCs w:val="20"/>
              </w:rPr>
            </w:pPr>
            <w:r>
              <w:rPr>
                <w:rFonts w:hint="eastAsia" w:ascii="宋体" w:hAnsi="宋体"/>
                <w:color w:val="auto"/>
                <w:kern w:val="0"/>
                <w:sz w:val="20"/>
                <w:szCs w:val="20"/>
              </w:rPr>
              <w:t>易燃液体,类别2*</w:t>
            </w:r>
          </w:p>
          <w:p>
            <w:pPr>
              <w:widowControl/>
              <w:spacing w:line="300" w:lineRule="exact"/>
              <w:jc w:val="left"/>
              <w:rPr>
                <w:rFonts w:ascii="宋体" w:hAnsi="宋体"/>
                <w:color w:val="auto"/>
                <w:kern w:val="0"/>
                <w:sz w:val="20"/>
                <w:szCs w:val="20"/>
              </w:rPr>
            </w:pPr>
            <w:r>
              <w:rPr>
                <w:rFonts w:hint="eastAsia" w:ascii="宋体" w:hAnsi="宋体"/>
                <w:color w:val="auto"/>
                <w:kern w:val="0"/>
                <w:sz w:val="20"/>
                <w:szCs w:val="20"/>
              </w:rPr>
              <w:t>生殖细胞致突变性,类别1B</w:t>
            </w:r>
          </w:p>
          <w:p>
            <w:pPr>
              <w:widowControl/>
              <w:spacing w:line="300" w:lineRule="exact"/>
              <w:jc w:val="left"/>
              <w:rPr>
                <w:rFonts w:ascii="宋体" w:hAnsi="宋体"/>
                <w:color w:val="auto"/>
                <w:kern w:val="0"/>
                <w:sz w:val="20"/>
                <w:szCs w:val="20"/>
              </w:rPr>
            </w:pPr>
            <w:r>
              <w:rPr>
                <w:rFonts w:hint="eastAsia" w:ascii="宋体" w:hAnsi="宋体"/>
                <w:color w:val="auto"/>
                <w:kern w:val="0"/>
                <w:sz w:val="20"/>
                <w:szCs w:val="20"/>
              </w:rPr>
              <w:t>吸入危害,类别1</w:t>
            </w:r>
          </w:p>
          <w:p>
            <w:pPr>
              <w:widowControl/>
              <w:spacing w:line="300" w:lineRule="exact"/>
              <w:jc w:val="left"/>
              <w:rPr>
                <w:rFonts w:ascii="宋体" w:hAnsi="宋体"/>
                <w:color w:val="auto"/>
                <w:kern w:val="0"/>
                <w:sz w:val="20"/>
                <w:szCs w:val="20"/>
              </w:rPr>
            </w:pPr>
            <w:r>
              <w:rPr>
                <w:rFonts w:hint="eastAsia" w:ascii="宋体" w:hAnsi="宋体"/>
                <w:color w:val="auto"/>
                <w:kern w:val="0"/>
                <w:sz w:val="20"/>
                <w:szCs w:val="20"/>
              </w:rPr>
              <w:t>危害水生环境-急性危害,类别2</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危害水生环境-长期危害,类别2</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亚硫酸氢钠</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631-90-5</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455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1159" w:type="dxa"/>
            <w:tcBorders>
              <w:top w:val="single" w:color="auto" w:sz="4"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6"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6"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皮肤腐蚀/刺激,类别2</w:t>
            </w:r>
          </w:p>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严重眼损伤/眼刺激,类别2</w:t>
            </w:r>
          </w:p>
        </w:tc>
        <w:tc>
          <w:tcPr>
            <w:tcW w:w="618" w:type="dxa"/>
            <w:tcBorders>
              <w:top w:val="single" w:color="auto" w:sz="4"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甲醇</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7-56-1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022</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w:t>
            </w:r>
          </w:p>
        </w:tc>
        <w:tc>
          <w:tcPr>
            <w:tcW w:w="709" w:type="dxa"/>
            <w:tcBorders>
              <w:top w:val="single" w:color="auto" w:sz="4"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4.8</w:t>
            </w:r>
          </w:p>
        </w:tc>
        <w:tc>
          <w:tcPr>
            <w:tcW w:w="1159" w:type="dxa"/>
            <w:tcBorders>
              <w:top w:val="single" w:color="auto" w:sz="4"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5</w:t>
            </w:r>
            <w:r>
              <w:rPr>
                <w:rFonts w:asciiTheme="minorEastAsia" w:hAnsiTheme="minorEastAsia" w:eastAsiaTheme="minorEastAsia"/>
                <w:color w:val="auto"/>
                <w:sz w:val="21"/>
                <w:szCs w:val="21"/>
              </w:rPr>
              <w:t>.5/44.0</w:t>
            </w:r>
          </w:p>
        </w:tc>
        <w:tc>
          <w:tcPr>
            <w:tcW w:w="547" w:type="dxa"/>
            <w:tcBorders>
              <w:top w:val="single" w:color="auto" w:sz="4" w:space="0"/>
              <w:left w:val="nil"/>
              <w:bottom w:val="single" w:color="auto" w:sz="6"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6" w:space="0"/>
              <w:right w:val="single" w:color="auto" w:sz="4" w:space="0"/>
            </w:tcBorders>
            <w:vAlign w:val="center"/>
          </w:tcPr>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易燃液体,类别2</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急性毒性-经口,类别3*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急性毒性-经皮,类别3*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急性毒性-吸入,类别3*</w:t>
            </w:r>
          </w:p>
          <w:p>
            <w:pPr>
              <w:widowControl/>
              <w:spacing w:line="280" w:lineRule="exact"/>
              <w:jc w:val="left"/>
              <w:rPr>
                <w:rFonts w:asciiTheme="minorEastAsia" w:hAnsiTheme="minorEastAsia" w:eastAsiaTheme="minorEastAsia"/>
                <w:color w:val="auto"/>
                <w:kern w:val="0"/>
              </w:rPr>
            </w:pPr>
            <w:r>
              <w:rPr>
                <w:rFonts w:hint="eastAsia" w:asciiTheme="minorEastAsia" w:hAnsiTheme="minorEastAsia" w:eastAsiaTheme="minorEastAsia"/>
                <w:color w:val="auto"/>
                <w:kern w:val="0"/>
              </w:rPr>
              <w:t>特异性靶器官毒性-一次接触,类别1</w:t>
            </w:r>
          </w:p>
        </w:tc>
        <w:tc>
          <w:tcPr>
            <w:tcW w:w="618" w:type="dxa"/>
            <w:tcBorders>
              <w:top w:val="single" w:color="auto" w:sz="4"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乙醇</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4-17-5</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568</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4</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3</w:t>
            </w:r>
            <w:r>
              <w:rPr>
                <w:rFonts w:asciiTheme="minorEastAsia" w:hAnsiTheme="minorEastAsia" w:eastAsiaTheme="minorEastAsia"/>
                <w:color w:val="auto"/>
                <w:sz w:val="21"/>
                <w:szCs w:val="21"/>
              </w:rPr>
              <w:t>.3/19</w:t>
            </w:r>
          </w:p>
        </w:tc>
        <w:tc>
          <w:tcPr>
            <w:tcW w:w="547"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w:t>
            </w:r>
          </w:p>
        </w:tc>
        <w:tc>
          <w:tcPr>
            <w:tcW w:w="3246" w:type="dxa"/>
            <w:tcBorders>
              <w:top w:val="single" w:color="auto" w:sz="4" w:space="0"/>
              <w:left w:val="nil"/>
              <w:bottom w:val="single" w:color="auto" w:sz="4" w:space="0"/>
              <w:right w:val="single" w:color="auto" w:sz="4" w:space="0"/>
            </w:tcBorders>
            <w:vAlign w:val="center"/>
          </w:tcPr>
          <w:p>
            <w:pPr>
              <w:spacing w:line="280" w:lineRule="exact"/>
              <w:jc w:val="left"/>
              <w:rPr>
                <w:rFonts w:asciiTheme="minorEastAsia" w:hAnsiTheme="minorEastAsia" w:eastAsiaTheme="minorEastAsia"/>
                <w:color w:val="auto"/>
              </w:rPr>
            </w:pPr>
            <w:r>
              <w:rPr>
                <w:rFonts w:hint="eastAsia" w:asciiTheme="minorEastAsia" w:hAnsiTheme="minorEastAsia" w:eastAsiaTheme="minorEastAsia"/>
                <w:color w:val="auto"/>
                <w:kern w:val="0"/>
              </w:rPr>
              <w:t>易燃液体,类别2</w:t>
            </w:r>
          </w:p>
        </w:tc>
        <w:tc>
          <w:tcPr>
            <w:tcW w:w="618"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top w:val="single" w:color="auto" w:sz="6" w:space="0"/>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丙酸酐</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23-62-6</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27</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3</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67</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.3/9.5</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丙</w:t>
            </w:r>
          </w:p>
        </w:tc>
        <w:tc>
          <w:tcPr>
            <w:tcW w:w="3246" w:type="dxa"/>
            <w:tcBorders>
              <w:top w:val="single" w:color="auto" w:sz="4" w:space="0"/>
              <w:left w:val="nil"/>
              <w:bottom w:val="single" w:color="auto" w:sz="4" w:space="0"/>
              <w:right w:val="single" w:color="auto" w:sz="4" w:space="0"/>
            </w:tcBorders>
            <w:vAlign w:val="center"/>
          </w:tcPr>
          <w:p>
            <w:pPr>
              <w:widowControl/>
              <w:spacing w:line="400" w:lineRule="exact"/>
              <w:jc w:val="left"/>
              <w:rPr>
                <w:rFonts w:ascii="宋体" w:hAnsi="宋体"/>
                <w:color w:val="auto"/>
                <w:kern w:val="0"/>
                <w:sz w:val="20"/>
                <w:szCs w:val="20"/>
              </w:rPr>
            </w:pPr>
            <w:r>
              <w:rPr>
                <w:rFonts w:hint="eastAsia" w:ascii="宋体" w:hAnsi="宋体"/>
                <w:color w:val="auto"/>
                <w:kern w:val="0"/>
                <w:sz w:val="20"/>
                <w:szCs w:val="20"/>
              </w:rPr>
              <w:t>皮肤腐蚀/刺激,类别1B</w:t>
            </w:r>
          </w:p>
          <w:p>
            <w:pPr>
              <w:spacing w:line="280" w:lineRule="exact"/>
              <w:jc w:val="left"/>
              <w:rPr>
                <w:rFonts w:asciiTheme="minorEastAsia" w:hAnsiTheme="minorEastAsia" w:eastAsiaTheme="minorEastAsia"/>
                <w:color w:val="auto"/>
              </w:rPr>
            </w:pPr>
            <w:r>
              <w:rPr>
                <w:rFonts w:hint="eastAsia" w:ascii="宋体" w:hAnsi="宋体"/>
                <w:color w:val="auto"/>
                <w:kern w:val="0"/>
                <w:sz w:val="20"/>
                <w:szCs w:val="20"/>
              </w:rPr>
              <w:t>严重眼损伤/眼刺激,类别1</w:t>
            </w:r>
          </w:p>
        </w:tc>
        <w:tc>
          <w:tcPr>
            <w:tcW w:w="618" w:type="dxa"/>
            <w:vMerge w:val="restart"/>
            <w:tcBorders>
              <w:top w:val="single" w:color="auto" w:sz="4" w:space="0"/>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间氯过氧苯甲酸</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9</w:t>
            </w:r>
            <w:r>
              <w:rPr>
                <w:rFonts w:asciiTheme="minorEastAsia" w:hAnsiTheme="minorEastAsia" w:eastAsiaTheme="minorEastAsia"/>
                <w:color w:val="auto"/>
                <w:sz w:val="21"/>
                <w:szCs w:val="21"/>
              </w:rPr>
              <w:t>37-14-4</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421</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136.904</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302.759</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有机过氧化物,D型</w:t>
            </w:r>
          </w:p>
        </w:tc>
        <w:tc>
          <w:tcPr>
            <w:tcW w:w="618" w:type="dxa"/>
            <w:vMerge w:val="continue"/>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异丙醇</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7-63-0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11</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2</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8</w:t>
            </w:r>
            <w:r>
              <w:rPr>
                <w:rFonts w:asciiTheme="minorEastAsia" w:hAnsiTheme="minorEastAsia" w:eastAsiaTheme="minorEastAsia"/>
                <w:color w:val="auto"/>
                <w:sz w:val="21"/>
                <w:szCs w:val="21"/>
              </w:rPr>
              <w:t>0.3</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/12.7</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易燃液体,类别2</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严重眼损伤/眼刺激,类别2</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特异性靶器官毒性-一次接触,类别3（麻醉效应）</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环己酮</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08-94-1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9</w:t>
            </w:r>
            <w:r>
              <w:rPr>
                <w:rFonts w:asciiTheme="minorEastAsia" w:hAnsiTheme="minorEastAsia" w:eastAsiaTheme="minorEastAsia"/>
                <w:color w:val="auto"/>
                <w:sz w:val="21"/>
                <w:szCs w:val="21"/>
              </w:rPr>
              <w:t>52</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3</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15.6</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.1/9.4</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乙</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易燃液体,类别3</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NP</w:t>
            </w:r>
            <w:r>
              <w:rPr>
                <w:rFonts w:asciiTheme="minorEastAsia" w:hAnsiTheme="minorEastAsia" w:eastAsiaTheme="minorEastAsia"/>
                <w:color w:val="auto"/>
                <w:sz w:val="21"/>
                <w:szCs w:val="21"/>
              </w:rPr>
              <w:t>-10</w:t>
            </w:r>
            <w:r>
              <w:rPr>
                <w:rFonts w:hint="eastAsia" w:asciiTheme="minorEastAsia" w:hAnsiTheme="minorEastAsia" w:eastAsiaTheme="minorEastAsia"/>
                <w:color w:val="auto"/>
                <w:sz w:val="21"/>
                <w:szCs w:val="21"/>
              </w:rPr>
              <w:t>（壬基酚聚氧乙烯醚）</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9</w:t>
            </w:r>
            <w:r>
              <w:rPr>
                <w:rFonts w:asciiTheme="minorEastAsia" w:hAnsiTheme="minorEastAsia" w:eastAsiaTheme="minorEastAsia"/>
                <w:color w:val="auto"/>
                <w:sz w:val="21"/>
                <w:szCs w:val="21"/>
              </w:rPr>
              <w:t>016-45-9</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726</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250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丙</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皮肤腐蚀/刺激,类别2</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严重眼损伤/眼刺激,类别2A</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生殖毒性,类别2</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特异性靶器官毒性-反复接触,类别2</w:t>
            </w:r>
          </w:p>
          <w:p>
            <w:pPr>
              <w:widowControl/>
              <w:spacing w:line="340" w:lineRule="exact"/>
              <w:jc w:val="left"/>
              <w:rPr>
                <w:rFonts w:ascii="宋体" w:hAnsi="宋体"/>
                <w:color w:val="auto"/>
                <w:kern w:val="0"/>
                <w:sz w:val="20"/>
                <w:szCs w:val="20"/>
              </w:rPr>
            </w:pPr>
            <w:r>
              <w:rPr>
                <w:rFonts w:hint="eastAsia" w:ascii="宋体" w:hAnsi="宋体"/>
                <w:color w:val="auto"/>
                <w:kern w:val="0"/>
                <w:sz w:val="20"/>
                <w:szCs w:val="20"/>
              </w:rPr>
              <w:t>危害水生环境-急性危害,类别1</w:t>
            </w:r>
          </w:p>
          <w:p>
            <w:pPr>
              <w:widowControl/>
              <w:spacing w:line="280" w:lineRule="exact"/>
              <w:jc w:val="left"/>
              <w:rPr>
                <w:rFonts w:asciiTheme="minorEastAsia" w:hAnsiTheme="minorEastAsia" w:eastAsiaTheme="minorEastAsia"/>
                <w:color w:val="auto"/>
                <w:kern w:val="0"/>
              </w:rPr>
            </w:pPr>
            <w:r>
              <w:rPr>
                <w:rFonts w:hint="eastAsia" w:ascii="宋体" w:hAnsi="宋体"/>
                <w:color w:val="auto"/>
                <w:kern w:val="0"/>
                <w:sz w:val="20"/>
                <w:szCs w:val="20"/>
              </w:rPr>
              <w:t>危害水生环境-长期危害,类别1</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氢氧化锂</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310-65-2</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668</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rPr>
                <w:rFonts w:ascii="宋体" w:hAnsi="宋体"/>
                <w:color w:val="auto"/>
                <w:kern w:val="0"/>
                <w:sz w:val="20"/>
                <w:szCs w:val="20"/>
              </w:rPr>
            </w:pPr>
            <w:r>
              <w:rPr>
                <w:rFonts w:hint="eastAsia" w:ascii="宋体" w:hAnsi="宋体"/>
                <w:color w:val="auto"/>
                <w:kern w:val="0"/>
                <w:sz w:val="20"/>
                <w:szCs w:val="20"/>
              </w:rPr>
              <w:t>急性毒性-吸入,类别3</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皮肤腐蚀/刺激,类别1</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严重眼损伤/眼刺激,类别1</w:t>
            </w:r>
          </w:p>
          <w:p>
            <w:pPr>
              <w:rPr>
                <w:color w:val="auto"/>
                <w:sz w:val="28"/>
                <w:szCs w:val="28"/>
              </w:rPr>
            </w:pPr>
            <w:r>
              <w:rPr>
                <w:rFonts w:hint="eastAsia" w:ascii="宋体" w:hAnsi="宋体"/>
                <w:color w:val="auto"/>
                <w:kern w:val="0"/>
                <w:sz w:val="20"/>
                <w:szCs w:val="20"/>
              </w:rPr>
              <w:t>生殖毒性,类别1A</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氢气</w:t>
            </w:r>
          </w:p>
        </w:tc>
        <w:tc>
          <w:tcPr>
            <w:tcW w:w="779" w:type="dxa"/>
            <w:tcBorders>
              <w:top w:val="single" w:color="auto" w:sz="6" w:space="0"/>
              <w:left w:val="single" w:color="auto" w:sz="4" w:space="0"/>
              <w:bottom w:val="single" w:color="auto" w:sz="6" w:space="0"/>
              <w:right w:val="single" w:color="auto" w:sz="4" w:space="0"/>
            </w:tcBorders>
            <w:vAlign w:val="center"/>
          </w:tcPr>
          <w:p>
            <w:pPr>
              <w:rPr>
                <w:color w:val="auto"/>
              </w:rPr>
            </w:pPr>
            <w:r>
              <w:rPr>
                <w:rFonts w:hint="eastAsia" w:ascii="宋体" w:hAnsi="宋体"/>
                <w:color w:val="auto"/>
                <w:kern w:val="0"/>
                <w:sz w:val="20"/>
                <w:szCs w:val="20"/>
              </w:rPr>
              <w:t>1333-74-0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648</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r>
              <w:rPr>
                <w:rFonts w:asciiTheme="minorEastAsia" w:hAnsiTheme="minorEastAsia" w:eastAsiaTheme="minorEastAsia"/>
                <w:color w:val="auto"/>
                <w:sz w:val="21"/>
                <w:szCs w:val="21"/>
              </w:rPr>
              <w:t>252.8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.1-74.1</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widowControl/>
              <w:spacing w:line="360" w:lineRule="exact"/>
              <w:rPr>
                <w:rFonts w:ascii="宋体" w:hAnsi="宋体"/>
                <w:color w:val="auto"/>
                <w:kern w:val="0"/>
                <w:sz w:val="20"/>
                <w:szCs w:val="20"/>
              </w:rPr>
            </w:pPr>
            <w:r>
              <w:rPr>
                <w:rFonts w:hint="eastAsia" w:ascii="宋体" w:hAnsi="宋体"/>
                <w:color w:val="auto"/>
                <w:kern w:val="0"/>
                <w:sz w:val="20"/>
                <w:szCs w:val="20"/>
              </w:rPr>
              <w:t>易燃气体,类别1</w:t>
            </w:r>
          </w:p>
          <w:p>
            <w:pPr>
              <w:rPr>
                <w:color w:val="auto"/>
              </w:rPr>
            </w:pPr>
            <w:r>
              <w:rPr>
                <w:rFonts w:hint="eastAsia" w:ascii="宋体" w:hAnsi="宋体"/>
                <w:color w:val="auto"/>
                <w:kern w:val="0"/>
                <w:sz w:val="20"/>
                <w:szCs w:val="20"/>
              </w:rPr>
              <w:t>加压气体</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N</w:t>
            </w:r>
            <w:r>
              <w:rPr>
                <w:rFonts w:asciiTheme="minorEastAsia" w:hAnsiTheme="minorEastAsia" w:eastAsiaTheme="minorEastAsia"/>
                <w:color w:val="auto"/>
                <w:sz w:val="21"/>
                <w:szCs w:val="21"/>
              </w:rPr>
              <w:t>-</w:t>
            </w:r>
            <w:r>
              <w:rPr>
                <w:rFonts w:hint="eastAsia" w:asciiTheme="minorEastAsia" w:hAnsiTheme="minorEastAsia" w:eastAsiaTheme="minorEastAsia"/>
                <w:color w:val="auto"/>
                <w:sz w:val="21"/>
                <w:szCs w:val="21"/>
              </w:rPr>
              <w:t>甲基吗啉</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09-02-4</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135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4</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15.4</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易燃液体,类别2</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三氟乙酸</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6-05-1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789</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rPr>
                <w:rFonts w:ascii="宋体" w:hAnsi="宋体"/>
                <w:color w:val="auto"/>
                <w:kern w:val="0"/>
                <w:sz w:val="20"/>
                <w:szCs w:val="20"/>
              </w:rPr>
            </w:pPr>
            <w:r>
              <w:rPr>
                <w:rFonts w:hint="eastAsia" w:ascii="宋体" w:hAnsi="宋体"/>
                <w:color w:val="auto"/>
                <w:kern w:val="0"/>
                <w:sz w:val="20"/>
                <w:szCs w:val="20"/>
              </w:rPr>
              <w:t>皮肤腐蚀/刺激,类别1A</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严重眼损伤/眼刺激,类别1</w:t>
            </w:r>
          </w:p>
          <w:p>
            <w:pPr>
              <w:rPr>
                <w:color w:val="auto"/>
              </w:rPr>
            </w:pPr>
            <w:r>
              <w:rPr>
                <w:rFonts w:hint="eastAsia" w:ascii="宋体" w:hAnsi="宋体"/>
                <w:color w:val="auto"/>
                <w:kern w:val="0"/>
                <w:sz w:val="20"/>
                <w:szCs w:val="20"/>
              </w:rPr>
              <w:t>危害水生环境-长期危害,类别3</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氯化氢</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647</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475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4" w:space="0"/>
              <w:right w:val="single" w:color="auto" w:sz="4" w:space="0"/>
            </w:tcBorders>
            <w:vAlign w:val="center"/>
          </w:tcPr>
          <w:p>
            <w:pPr>
              <w:widowControl/>
              <w:spacing w:line="320" w:lineRule="exact"/>
              <w:rPr>
                <w:rFonts w:ascii="宋体" w:hAnsi="宋体"/>
                <w:color w:val="auto"/>
                <w:kern w:val="0"/>
                <w:sz w:val="20"/>
                <w:szCs w:val="20"/>
              </w:rPr>
            </w:pPr>
            <w:r>
              <w:rPr>
                <w:rFonts w:hint="eastAsia" w:ascii="宋体" w:hAnsi="宋体"/>
                <w:color w:val="auto"/>
                <w:kern w:val="0"/>
                <w:sz w:val="20"/>
                <w:szCs w:val="20"/>
              </w:rPr>
              <w:t>加压气体</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急性毒性-吸入,类别3*</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皮肤腐蚀/刺激,类别1A</w:t>
            </w:r>
          </w:p>
          <w:p>
            <w:pPr>
              <w:widowControl/>
              <w:spacing w:line="320" w:lineRule="exact"/>
              <w:rPr>
                <w:rFonts w:ascii="宋体" w:hAnsi="宋体"/>
                <w:color w:val="auto"/>
                <w:kern w:val="0"/>
                <w:sz w:val="20"/>
                <w:szCs w:val="20"/>
              </w:rPr>
            </w:pPr>
            <w:r>
              <w:rPr>
                <w:rFonts w:hint="eastAsia" w:ascii="宋体" w:hAnsi="宋体"/>
                <w:color w:val="auto"/>
                <w:kern w:val="0"/>
                <w:sz w:val="20"/>
                <w:szCs w:val="20"/>
              </w:rPr>
              <w:t>严重眼损伤/眼刺激,类别1</w:t>
            </w:r>
          </w:p>
          <w:p>
            <w:pPr>
              <w:rPr>
                <w:rFonts w:ascii="Calibri" w:hAnsi="Calibri"/>
                <w:color w:val="auto"/>
              </w:rPr>
            </w:pPr>
            <w:r>
              <w:rPr>
                <w:rFonts w:hint="eastAsia" w:ascii="宋体" w:hAnsi="宋体"/>
                <w:color w:val="auto"/>
                <w:kern w:val="0"/>
                <w:sz w:val="20"/>
                <w:szCs w:val="20"/>
              </w:rPr>
              <w:t>危害水生环境-急性危害,类别1</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甲基磺酸</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5-75-2</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125</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10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67/1.33</w:t>
            </w:r>
            <w:r>
              <w:rPr>
                <w:rFonts w:hint="eastAsia" w:asciiTheme="minorEastAsia" w:hAnsiTheme="minorEastAsia" w:eastAsiaTheme="minorEastAsia"/>
                <w:color w:val="auto"/>
                <w:sz w:val="21"/>
                <w:szCs w:val="21"/>
              </w:rPr>
              <w:t>kpa</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丙</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rPr>
                <w:rFonts w:ascii="宋体" w:hAnsi="宋体"/>
                <w:color w:val="auto"/>
                <w:kern w:val="0"/>
                <w:sz w:val="20"/>
                <w:szCs w:val="20"/>
              </w:rPr>
            </w:pPr>
            <w:r>
              <w:rPr>
                <w:rFonts w:hint="eastAsia" w:ascii="宋体" w:hAnsi="宋体"/>
                <w:color w:val="auto"/>
                <w:kern w:val="0"/>
                <w:sz w:val="20"/>
                <w:szCs w:val="20"/>
              </w:rPr>
              <w:t>皮肤腐蚀/刺激,类别1B</w:t>
            </w:r>
          </w:p>
          <w:p>
            <w:pPr>
              <w:rPr>
                <w:rFonts w:ascii="Calibri" w:hAnsi="Calibri"/>
                <w:color w:val="auto"/>
              </w:rPr>
            </w:pPr>
            <w:r>
              <w:rPr>
                <w:rFonts w:hint="eastAsia" w:ascii="宋体" w:hAnsi="宋体"/>
                <w:color w:val="auto"/>
                <w:kern w:val="0"/>
                <w:sz w:val="20"/>
                <w:szCs w:val="20"/>
              </w:rPr>
              <w:t>严重眼损伤/眼刺激,类别1</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氨基锂</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7782-89-0</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w:t>
            </w:r>
            <w:r>
              <w:rPr>
                <w:rFonts w:asciiTheme="minorEastAsia" w:hAnsiTheme="minorEastAsia" w:eastAsiaTheme="minorEastAsia"/>
                <w:color w:val="auto"/>
                <w:sz w:val="21"/>
                <w:szCs w:val="21"/>
              </w:rPr>
              <w:t>4</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4</w:t>
            </w:r>
            <w:r>
              <w:rPr>
                <w:rFonts w:asciiTheme="minorEastAsia" w:hAnsiTheme="minorEastAsia" w:eastAsiaTheme="minorEastAsia"/>
                <w:color w:val="auto"/>
                <w:sz w:val="21"/>
                <w:szCs w:val="21"/>
              </w:rPr>
              <w:t>30</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甲</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遇水放出易燃气体的物质和混合物,类别2</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二氧化硫</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446-09-5</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w:t>
            </w:r>
            <w:r>
              <w:rPr>
                <w:rFonts w:asciiTheme="minorEastAsia" w:hAnsiTheme="minorEastAsia" w:eastAsiaTheme="minorEastAsia"/>
                <w:color w:val="auto"/>
                <w:sz w:val="21"/>
                <w:szCs w:val="21"/>
              </w:rPr>
              <w:t>39</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4" w:space="0"/>
              <w:right w:val="single" w:color="auto" w:sz="4" w:space="0"/>
            </w:tcBorders>
            <w:vAlign w:val="center"/>
          </w:tcPr>
          <w:p>
            <w:pPr>
              <w:widowControl/>
              <w:spacing w:line="340" w:lineRule="exact"/>
              <w:rPr>
                <w:rFonts w:ascii="宋体" w:hAnsi="宋体"/>
                <w:color w:val="auto"/>
                <w:kern w:val="0"/>
                <w:sz w:val="20"/>
                <w:szCs w:val="20"/>
              </w:rPr>
            </w:pPr>
            <w:r>
              <w:rPr>
                <w:rFonts w:hint="eastAsia" w:ascii="宋体" w:hAnsi="宋体"/>
                <w:color w:val="auto"/>
                <w:kern w:val="0"/>
                <w:sz w:val="20"/>
                <w:szCs w:val="20"/>
              </w:rPr>
              <w:t>加压气体</w:t>
            </w:r>
          </w:p>
          <w:p>
            <w:pPr>
              <w:widowControl/>
              <w:spacing w:line="340" w:lineRule="exact"/>
              <w:rPr>
                <w:rFonts w:ascii="宋体" w:hAnsi="宋体"/>
                <w:color w:val="auto"/>
                <w:kern w:val="0"/>
                <w:sz w:val="20"/>
                <w:szCs w:val="20"/>
              </w:rPr>
            </w:pPr>
            <w:r>
              <w:rPr>
                <w:rFonts w:hint="eastAsia" w:ascii="宋体" w:hAnsi="宋体"/>
                <w:color w:val="auto"/>
                <w:kern w:val="0"/>
                <w:sz w:val="20"/>
                <w:szCs w:val="20"/>
              </w:rPr>
              <w:t>急性毒性-吸入,类别3</w:t>
            </w:r>
          </w:p>
          <w:p>
            <w:pPr>
              <w:widowControl/>
              <w:spacing w:line="340" w:lineRule="exact"/>
              <w:rPr>
                <w:rFonts w:ascii="宋体" w:hAnsi="宋体"/>
                <w:color w:val="auto"/>
                <w:kern w:val="0"/>
                <w:sz w:val="20"/>
                <w:szCs w:val="20"/>
              </w:rPr>
            </w:pPr>
            <w:r>
              <w:rPr>
                <w:rFonts w:hint="eastAsia" w:ascii="宋体" w:hAnsi="宋体"/>
                <w:color w:val="auto"/>
                <w:kern w:val="0"/>
                <w:sz w:val="20"/>
                <w:szCs w:val="20"/>
              </w:rPr>
              <w:t>皮肤腐蚀/刺激,类别1B</w:t>
            </w:r>
          </w:p>
          <w:p>
            <w:pPr>
              <w:rPr>
                <w:rFonts w:ascii="Calibri" w:hAnsi="Calibri"/>
                <w:color w:val="auto"/>
              </w:rPr>
            </w:pPr>
            <w:r>
              <w:rPr>
                <w:rFonts w:hint="eastAsia" w:ascii="宋体" w:hAnsi="宋体"/>
                <w:color w:val="auto"/>
                <w:kern w:val="0"/>
                <w:sz w:val="20"/>
                <w:szCs w:val="20"/>
              </w:rPr>
              <w:t>严重眼损伤/眼刺激,类别1</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硫酸氢钠</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7</w:t>
            </w:r>
            <w:r>
              <w:rPr>
                <w:rFonts w:asciiTheme="minorEastAsia" w:hAnsiTheme="minorEastAsia" w:eastAsiaTheme="minorEastAsia"/>
                <w:color w:val="auto"/>
                <w:sz w:val="21"/>
                <w:szCs w:val="21"/>
              </w:rPr>
              <w:t>681-38-1</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w:t>
            </w:r>
            <w:r>
              <w:rPr>
                <w:rFonts w:asciiTheme="minorEastAsia" w:hAnsiTheme="minorEastAsia" w:eastAsiaTheme="minorEastAsia"/>
                <w:color w:val="auto"/>
                <w:sz w:val="21"/>
                <w:szCs w:val="21"/>
              </w:rPr>
              <w:t>326</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戊</w:t>
            </w:r>
          </w:p>
        </w:tc>
        <w:tc>
          <w:tcPr>
            <w:tcW w:w="3246" w:type="dxa"/>
            <w:tcBorders>
              <w:top w:val="single" w:color="auto" w:sz="4" w:space="0"/>
              <w:left w:val="nil"/>
              <w:bottom w:val="single" w:color="auto" w:sz="4" w:space="0"/>
              <w:right w:val="single" w:color="auto" w:sz="4" w:space="0"/>
            </w:tcBorders>
            <w:vAlign w:val="center"/>
          </w:tcPr>
          <w:p>
            <w:pPr>
              <w:rPr>
                <w:color w:val="auto"/>
              </w:rPr>
            </w:pPr>
            <w:r>
              <w:rPr>
                <w:rFonts w:hint="eastAsia" w:ascii="宋体" w:hAnsi="宋体"/>
                <w:color w:val="auto"/>
                <w:kern w:val="0"/>
                <w:sz w:val="20"/>
                <w:szCs w:val="20"/>
              </w:rPr>
              <w:t>严重眼损伤/眼刺激,类别1</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tcBorders>
              <w:left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柴油</w:t>
            </w:r>
          </w:p>
        </w:tc>
        <w:tc>
          <w:tcPr>
            <w:tcW w:w="779" w:type="dxa"/>
            <w:tcBorders>
              <w:top w:val="single" w:color="auto" w:sz="6" w:space="0"/>
              <w:left w:val="single" w:color="auto" w:sz="4" w:space="0"/>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68334-30-5</w:t>
            </w:r>
          </w:p>
        </w:tc>
        <w:tc>
          <w:tcPr>
            <w:tcW w:w="912" w:type="dxa"/>
            <w:tcBorders>
              <w:top w:val="single" w:color="auto" w:sz="6" w:space="0"/>
              <w:left w:val="nil"/>
              <w:bottom w:val="single" w:color="auto" w:sz="6"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1674</w:t>
            </w:r>
          </w:p>
        </w:tc>
        <w:tc>
          <w:tcPr>
            <w:tcW w:w="727" w:type="dxa"/>
            <w:tcBorders>
              <w:top w:val="single" w:color="auto" w:sz="6" w:space="0"/>
              <w:left w:val="nil"/>
              <w:bottom w:val="single" w:color="auto" w:sz="6"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≥60</w:t>
            </w:r>
          </w:p>
        </w:tc>
        <w:tc>
          <w:tcPr>
            <w:tcW w:w="709" w:type="dxa"/>
            <w:tcBorders>
              <w:top w:val="single" w:color="auto" w:sz="4" w:space="0"/>
              <w:left w:val="nil"/>
              <w:bottom w:val="single" w:color="auto" w:sz="4" w:space="0"/>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282-338</w:t>
            </w:r>
          </w:p>
        </w:tc>
        <w:tc>
          <w:tcPr>
            <w:tcW w:w="1159" w:type="dxa"/>
            <w:tcBorders>
              <w:top w:val="single" w:color="auto" w:sz="4" w:space="0"/>
              <w:left w:val="nil"/>
              <w:bottom w:val="single" w:color="auto" w:sz="4" w:space="0"/>
              <w:right w:val="single" w:color="auto" w:sz="4" w:space="0"/>
            </w:tcBorders>
            <w:vAlign w:val="center"/>
          </w:tcPr>
          <w:p>
            <w:pPr>
              <w:pStyle w:val="74"/>
              <w:snapToGrid w:val="0"/>
              <w:spacing w:line="280" w:lineRule="exact"/>
              <w:rPr>
                <w:rFonts w:asciiTheme="minorEastAsia" w:hAnsiTheme="minorEastAsia" w:eastAsiaTheme="minorEastAsia"/>
                <w:color w:val="auto"/>
                <w:sz w:val="21"/>
                <w:szCs w:val="21"/>
              </w:rPr>
            </w:pPr>
            <w:r>
              <w:rPr>
                <w:rFonts w:hint="eastAsia" w:asciiTheme="minorEastAsia" w:hAnsiTheme="minorEastAsia" w:eastAsiaTheme="minorEastAsia"/>
                <w:color w:val="auto"/>
                <w:sz w:val="21"/>
                <w:szCs w:val="21"/>
              </w:rPr>
              <w:t>/</w:t>
            </w:r>
          </w:p>
        </w:tc>
        <w:tc>
          <w:tcPr>
            <w:tcW w:w="547" w:type="dxa"/>
            <w:tcBorders>
              <w:top w:val="single" w:color="auto" w:sz="4" w:space="0"/>
              <w:left w:val="nil"/>
              <w:bottom w:val="single" w:color="auto" w:sz="4" w:space="0"/>
              <w:right w:val="single" w:color="auto" w:sz="4" w:space="0"/>
            </w:tcBorders>
            <w:vAlign w:val="center"/>
          </w:tcPr>
          <w:p>
            <w:pPr>
              <w:widowControl/>
              <w:spacing w:line="280" w:lineRule="exact"/>
              <w:jc w:val="center"/>
              <w:rPr>
                <w:rFonts w:asciiTheme="minorEastAsia" w:hAnsiTheme="minorEastAsia" w:eastAsiaTheme="minorEastAsia"/>
                <w:color w:val="auto"/>
                <w:kern w:val="0"/>
              </w:rPr>
            </w:pPr>
            <w:r>
              <w:rPr>
                <w:rFonts w:hint="eastAsia" w:asciiTheme="minorEastAsia" w:hAnsiTheme="minorEastAsia" w:eastAsiaTheme="minorEastAsia"/>
                <w:color w:val="auto"/>
                <w:kern w:val="0"/>
              </w:rPr>
              <w:t>丙</w:t>
            </w:r>
          </w:p>
        </w:tc>
        <w:tc>
          <w:tcPr>
            <w:tcW w:w="3246" w:type="dxa"/>
            <w:tcBorders>
              <w:top w:val="single" w:color="auto" w:sz="4" w:space="0"/>
              <w:left w:val="nil"/>
              <w:bottom w:val="single" w:color="auto" w:sz="4" w:space="0"/>
              <w:right w:val="single" w:color="auto" w:sz="4" w:space="0"/>
            </w:tcBorders>
            <w:vAlign w:val="center"/>
          </w:tcPr>
          <w:p>
            <w:pPr>
              <w:rPr>
                <w:rFonts w:ascii="宋体" w:hAnsi="宋体"/>
                <w:color w:val="auto"/>
                <w:kern w:val="0"/>
                <w:sz w:val="20"/>
                <w:szCs w:val="20"/>
              </w:rPr>
            </w:pPr>
            <w:r>
              <w:rPr>
                <w:rFonts w:ascii="宋体" w:hAnsi="宋体" w:cs="宋体"/>
                <w:color w:val="auto"/>
                <w:kern w:val="0"/>
                <w:sz w:val="20"/>
                <w:szCs w:val="20"/>
              </w:rPr>
              <w:t>易燃液体,类别3</w:t>
            </w:r>
          </w:p>
        </w:tc>
        <w:tc>
          <w:tcPr>
            <w:tcW w:w="618" w:type="dxa"/>
            <w:tcBorders>
              <w:left w:val="nil"/>
              <w:right w:val="single" w:color="auto" w:sz="6" w:space="0"/>
            </w:tcBorders>
            <w:vAlign w:val="center"/>
          </w:tcPr>
          <w:p>
            <w:pPr>
              <w:pStyle w:val="74"/>
              <w:snapToGrid w:val="0"/>
              <w:spacing w:line="280" w:lineRule="exact"/>
              <w:rPr>
                <w:rFonts w:asciiTheme="minorEastAsia" w:hAnsiTheme="minorEastAsia" w:eastAsiaTheme="minorEastAsia"/>
                <w:color w:val="auto"/>
                <w:sz w:val="21"/>
                <w:szCs w:val="21"/>
              </w:rPr>
            </w:pPr>
          </w:p>
        </w:tc>
      </w:tr>
    </w:tbl>
    <w:p>
      <w:pPr>
        <w:spacing w:line="600" w:lineRule="exact"/>
        <w:ind w:firstLine="562" w:firstLineChars="200"/>
        <w:rPr>
          <w:rFonts w:ascii="宋体" w:hAnsi="宋体"/>
          <w:b/>
          <w:color w:val="auto"/>
          <w:sz w:val="28"/>
          <w:szCs w:val="28"/>
        </w:rPr>
      </w:pPr>
      <w:r>
        <w:rPr>
          <w:rFonts w:hint="eastAsia" w:ascii="宋体" w:hAnsi="宋体"/>
          <w:b/>
          <w:color w:val="auto"/>
          <w:sz w:val="28"/>
          <w:szCs w:val="28"/>
        </w:rPr>
        <w:t>2</w:t>
      </w:r>
      <w:r>
        <w:rPr>
          <w:rFonts w:ascii="宋体" w:hAnsi="宋体"/>
          <w:b/>
          <w:color w:val="auto"/>
          <w:sz w:val="28"/>
          <w:szCs w:val="28"/>
        </w:rPr>
        <w:t>.</w:t>
      </w:r>
      <w:r>
        <w:rPr>
          <w:rFonts w:hint="eastAsia" w:ascii="宋体" w:hAnsi="宋体"/>
          <w:b/>
          <w:color w:val="auto"/>
          <w:sz w:val="28"/>
          <w:szCs w:val="28"/>
        </w:rPr>
        <w:t>非危险化学品</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该项目非危险化学品特性见附录A。</w:t>
      </w:r>
    </w:p>
    <w:p>
      <w:pPr>
        <w:keepNext/>
        <w:keepLines/>
        <w:spacing w:line="600" w:lineRule="exact"/>
        <w:jc w:val="left"/>
        <w:outlineLvl w:val="1"/>
        <w:rPr>
          <w:b/>
          <w:color w:val="auto"/>
          <w:sz w:val="30"/>
          <w:szCs w:val="30"/>
        </w:rPr>
      </w:pPr>
      <w:bookmarkStart w:id="63" w:name="_Toc144109170"/>
      <w:r>
        <w:rPr>
          <w:b/>
          <w:color w:val="auto"/>
          <w:sz w:val="30"/>
          <w:szCs w:val="30"/>
        </w:rPr>
        <w:t xml:space="preserve">3.2 </w:t>
      </w:r>
      <w:r>
        <w:rPr>
          <w:rFonts w:hint="eastAsia"/>
          <w:b/>
          <w:color w:val="auto"/>
          <w:sz w:val="30"/>
          <w:szCs w:val="30"/>
        </w:rPr>
        <w:t>危险化学品包装、储存、运输的技术要求及信息来源</w:t>
      </w:r>
      <w:bookmarkEnd w:id="63"/>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该项目危险化学品包装、储存、运输的技术要求情况见3.</w:t>
      </w:r>
      <w:r>
        <w:rPr>
          <w:rFonts w:ascii="宋体" w:hAnsi="宋体"/>
          <w:color w:val="auto"/>
          <w:sz w:val="28"/>
          <w:szCs w:val="28"/>
        </w:rPr>
        <w:t>2</w:t>
      </w:r>
      <w:r>
        <w:rPr>
          <w:rFonts w:hint="eastAsia" w:ascii="宋体" w:hAnsi="宋体"/>
          <w:color w:val="auto"/>
          <w:sz w:val="28"/>
          <w:szCs w:val="28"/>
        </w:rPr>
        <w:t>节主要危险化学品</w:t>
      </w:r>
      <w:r>
        <w:rPr>
          <w:rFonts w:ascii="宋体" w:hAnsi="宋体"/>
          <w:color w:val="auto"/>
          <w:sz w:val="28"/>
          <w:szCs w:val="28"/>
        </w:rPr>
        <w:t>理化及危险特性</w:t>
      </w:r>
      <w:r>
        <w:rPr>
          <w:rFonts w:hint="eastAsia" w:ascii="宋体" w:hAnsi="宋体"/>
          <w:color w:val="auto"/>
          <w:sz w:val="28"/>
          <w:szCs w:val="28"/>
        </w:rPr>
        <w:t>各</w:t>
      </w:r>
      <w:r>
        <w:rPr>
          <w:rFonts w:ascii="宋体" w:hAnsi="宋体"/>
          <w:color w:val="auto"/>
          <w:sz w:val="28"/>
          <w:szCs w:val="28"/>
        </w:rPr>
        <w:t>表</w:t>
      </w:r>
      <w:r>
        <w:rPr>
          <w:rFonts w:hint="eastAsia" w:ascii="宋体" w:hAnsi="宋体"/>
          <w:color w:val="auto"/>
          <w:sz w:val="28"/>
          <w:szCs w:val="28"/>
        </w:rPr>
        <w:t>相关内容，其数据来源于《危险化学品安全技术全书》（化学工业出版社 第二版）。</w:t>
      </w:r>
    </w:p>
    <w:p>
      <w:pPr>
        <w:keepNext/>
        <w:keepLines/>
        <w:spacing w:line="600" w:lineRule="exact"/>
        <w:jc w:val="left"/>
        <w:outlineLvl w:val="1"/>
        <w:rPr>
          <w:b/>
          <w:color w:val="auto"/>
          <w:sz w:val="30"/>
          <w:szCs w:val="30"/>
        </w:rPr>
      </w:pPr>
      <w:bookmarkStart w:id="64" w:name="_Toc144109171"/>
      <w:r>
        <w:rPr>
          <w:b/>
          <w:color w:val="auto"/>
          <w:sz w:val="30"/>
          <w:szCs w:val="30"/>
        </w:rPr>
        <w:t xml:space="preserve">3.3 </w:t>
      </w:r>
      <w:r>
        <w:rPr>
          <w:rFonts w:hint="eastAsia"/>
          <w:b/>
          <w:color w:val="auto"/>
          <w:sz w:val="30"/>
          <w:szCs w:val="30"/>
        </w:rPr>
        <w:t>重点监管危险化学品、危险工艺分析</w:t>
      </w:r>
      <w:bookmarkEnd w:id="64"/>
    </w:p>
    <w:p>
      <w:pPr>
        <w:keepNext/>
        <w:keepLines/>
        <w:spacing w:line="600" w:lineRule="exact"/>
        <w:jc w:val="left"/>
        <w:outlineLvl w:val="2"/>
        <w:rPr>
          <w:rFonts w:ascii="Calibri" w:hAnsi="Calibri"/>
          <w:b/>
          <w:color w:val="auto"/>
          <w:sz w:val="28"/>
          <w:szCs w:val="32"/>
        </w:rPr>
      </w:pPr>
      <w:bookmarkStart w:id="65" w:name="_Toc35435418"/>
      <w:bookmarkStart w:id="66" w:name="_Toc28496"/>
      <w:bookmarkStart w:id="67" w:name="_Toc144109172"/>
      <w:r>
        <w:rPr>
          <w:rFonts w:ascii="Calibri" w:hAnsi="Calibri"/>
          <w:b/>
          <w:color w:val="auto"/>
          <w:sz w:val="28"/>
          <w:szCs w:val="32"/>
        </w:rPr>
        <w:t>3.3</w:t>
      </w:r>
      <w:r>
        <w:rPr>
          <w:rFonts w:hint="eastAsia" w:ascii="Calibri" w:hAnsi="Calibri"/>
          <w:b/>
          <w:color w:val="auto"/>
          <w:sz w:val="28"/>
          <w:szCs w:val="32"/>
        </w:rPr>
        <w:t>.</w:t>
      </w:r>
      <w:r>
        <w:rPr>
          <w:rFonts w:ascii="Calibri" w:hAnsi="Calibri"/>
          <w:b/>
          <w:color w:val="auto"/>
          <w:sz w:val="28"/>
          <w:szCs w:val="32"/>
        </w:rPr>
        <w:t>1</w:t>
      </w:r>
      <w:r>
        <w:rPr>
          <w:rFonts w:hint="eastAsia" w:ascii="Calibri" w:hAnsi="Calibri"/>
          <w:b/>
          <w:color w:val="auto"/>
          <w:sz w:val="28"/>
          <w:szCs w:val="32"/>
        </w:rPr>
        <w:t xml:space="preserve"> 重点监管</w:t>
      </w:r>
      <w:r>
        <w:rPr>
          <w:rFonts w:ascii="Calibri" w:hAnsi="Calibri"/>
          <w:b/>
          <w:color w:val="auto"/>
          <w:sz w:val="28"/>
          <w:szCs w:val="32"/>
        </w:rPr>
        <w:t>危险</w:t>
      </w:r>
      <w:r>
        <w:rPr>
          <w:rFonts w:hint="eastAsia" w:ascii="Calibri" w:hAnsi="Calibri"/>
          <w:b/>
          <w:color w:val="auto"/>
          <w:sz w:val="28"/>
          <w:szCs w:val="32"/>
        </w:rPr>
        <w:t>化工</w:t>
      </w:r>
      <w:r>
        <w:rPr>
          <w:rFonts w:ascii="Calibri" w:hAnsi="Calibri"/>
          <w:b/>
          <w:color w:val="auto"/>
          <w:sz w:val="28"/>
          <w:szCs w:val="32"/>
        </w:rPr>
        <w:t>工艺辨识</w:t>
      </w:r>
      <w:bookmarkEnd w:id="65"/>
      <w:bookmarkEnd w:id="66"/>
      <w:bookmarkEnd w:id="67"/>
    </w:p>
    <w:p>
      <w:pPr>
        <w:ind w:firstLine="560" w:firstLineChars="200"/>
        <w:rPr>
          <w:color w:val="auto"/>
          <w:sz w:val="28"/>
          <w:szCs w:val="28"/>
        </w:rPr>
      </w:pPr>
      <w:r>
        <w:rPr>
          <w:rFonts w:hint="eastAsia"/>
          <w:color w:val="auto"/>
          <w:sz w:val="28"/>
          <w:szCs w:val="28"/>
        </w:rPr>
        <w:t>1</w:t>
      </w:r>
      <w:r>
        <w:rPr>
          <w:color w:val="auto"/>
          <w:sz w:val="28"/>
          <w:szCs w:val="28"/>
        </w:rPr>
        <w:t>.</w:t>
      </w:r>
      <w:r>
        <w:rPr>
          <w:rFonts w:hint="eastAsia"/>
          <w:color w:val="auto"/>
          <w:sz w:val="28"/>
          <w:szCs w:val="28"/>
        </w:rPr>
        <w:t>重点监管危险工艺辨识</w:t>
      </w:r>
    </w:p>
    <w:p>
      <w:pPr>
        <w:ind w:firstLine="560" w:firstLineChars="200"/>
        <w:rPr>
          <w:color w:val="auto"/>
          <w:sz w:val="28"/>
          <w:szCs w:val="28"/>
        </w:rPr>
      </w:pPr>
      <w:r>
        <w:rPr>
          <w:color w:val="auto"/>
          <w:sz w:val="28"/>
          <w:szCs w:val="28"/>
        </w:rPr>
        <w:t>根据</w:t>
      </w:r>
      <w:r>
        <w:rPr>
          <w:rFonts w:hint="eastAsia" w:ascii="宋体" w:hAnsi="宋体"/>
          <w:smallCaps/>
          <w:color w:val="auto"/>
          <w:sz w:val="28"/>
          <w:szCs w:val="28"/>
        </w:rPr>
        <w:t>《国家安全监管总局关于公布首批重点监管的危险化工工艺目录的通知（安监总管三〔</w:t>
      </w:r>
      <w:r>
        <w:rPr>
          <w:rFonts w:hint="eastAsia"/>
          <w:smallCaps/>
          <w:color w:val="auto"/>
          <w:sz w:val="28"/>
          <w:szCs w:val="28"/>
        </w:rPr>
        <w:t>2009</w:t>
      </w:r>
      <w:r>
        <w:rPr>
          <w:rFonts w:hint="eastAsia" w:ascii="宋体" w:hAnsi="宋体"/>
          <w:smallCaps/>
          <w:color w:val="auto"/>
          <w:sz w:val="28"/>
          <w:szCs w:val="28"/>
        </w:rPr>
        <w:t>〕</w:t>
      </w:r>
      <w:r>
        <w:rPr>
          <w:rFonts w:hint="eastAsia"/>
          <w:smallCaps/>
          <w:color w:val="auto"/>
          <w:sz w:val="28"/>
          <w:szCs w:val="28"/>
        </w:rPr>
        <w:t>116</w:t>
      </w:r>
      <w:r>
        <w:rPr>
          <w:rFonts w:hint="eastAsia" w:ascii="宋体" w:hAnsi="宋体"/>
          <w:smallCaps/>
          <w:color w:val="auto"/>
          <w:sz w:val="28"/>
          <w:szCs w:val="28"/>
        </w:rPr>
        <w:t>号）《国家安全监管总局关于公布第二批重点监管危险化工工艺目录和调整首重点监管危险化工工艺中部分典型工艺的通知》安监总管三</w:t>
      </w:r>
      <w:r>
        <w:rPr>
          <w:rFonts w:hint="eastAsia"/>
          <w:smallCaps/>
          <w:color w:val="auto"/>
          <w:sz w:val="28"/>
          <w:szCs w:val="28"/>
        </w:rPr>
        <w:t>[2013]3</w:t>
      </w:r>
      <w:r>
        <w:rPr>
          <w:rFonts w:hint="eastAsia" w:ascii="宋体" w:hAnsi="宋体"/>
          <w:smallCaps/>
          <w:color w:val="auto"/>
          <w:sz w:val="28"/>
          <w:szCs w:val="28"/>
        </w:rPr>
        <w:t>号）</w:t>
      </w:r>
      <w:r>
        <w:rPr>
          <w:color w:val="auto"/>
          <w:sz w:val="28"/>
          <w:szCs w:val="28"/>
        </w:rPr>
        <w:t>，</w:t>
      </w:r>
      <w:r>
        <w:rPr>
          <w:rFonts w:hint="eastAsia"/>
          <w:color w:val="auto"/>
          <w:sz w:val="28"/>
          <w:szCs w:val="28"/>
        </w:rPr>
        <w:t>该项目2</w:t>
      </w:r>
      <w:r>
        <w:rPr>
          <w:color w:val="auto"/>
          <w:sz w:val="28"/>
          <w:szCs w:val="28"/>
        </w:rPr>
        <w:t>4</w:t>
      </w:r>
      <w:r>
        <w:rPr>
          <w:rFonts w:hint="eastAsia"/>
          <w:color w:val="auto"/>
          <w:sz w:val="28"/>
          <w:szCs w:val="28"/>
        </w:rPr>
        <w:t>表芸苔素内酯磺酰化反应工段麦角淄醇和甲基磺酰氯以及三乙胺反应生产甲基磺酰麦角淄醇涉及重点监管的磺化工艺，氧化反应工段中间产物和次氯酸钠反应涉及氧化反应，内酯化工段副反应中三氟乙酸酐和双氧水反应涉及重点监管的氧化工艺；2</w:t>
      </w:r>
      <w:r>
        <w:rPr>
          <w:color w:val="auto"/>
          <w:sz w:val="28"/>
          <w:szCs w:val="28"/>
        </w:rPr>
        <w:t>8</w:t>
      </w:r>
      <w:r>
        <w:rPr>
          <w:rFonts w:hint="eastAsia"/>
          <w:color w:val="auto"/>
          <w:sz w:val="28"/>
          <w:szCs w:val="28"/>
        </w:rPr>
        <w:t>高芸苔素内酯磺酰化反应工段豆甾醇和甲基磺酰氯以及三乙胺反应生产甲磺酰豆甾醇涉及重点监管的磺化工艺，氧化反应工段中间产物和次氯酸钠反应涉及氧化工艺，内酯化工段副反应中三氟乙酸酐和双氧水反应涉及重点监管的氧化工艺；丙酰芸苔素内酯磺酰化反应工段豆甾醇和甲基磺酰氯以及三乙胺反应生产甲磺酰豆甾醇涉及重点监管的磺化工艺，氧化反应工段中间产物和次氯酸钠反应涉及重点监管的氧化工艺，环氧和内酯化工段中间产物和间氯过氧本甲酸反应生成丙酰芸苔素内酯涉及重点监管的氧化工艺。该项目已开展反应安全风险评估，其中2</w:t>
      </w:r>
      <w:r>
        <w:rPr>
          <w:color w:val="auto"/>
          <w:sz w:val="28"/>
          <w:szCs w:val="28"/>
        </w:rPr>
        <w:t>8-</w:t>
      </w:r>
      <w:r>
        <w:rPr>
          <w:rFonts w:hint="eastAsia"/>
          <w:color w:val="auto"/>
          <w:sz w:val="28"/>
          <w:szCs w:val="28"/>
        </w:rPr>
        <w:t>高芸苔素内酯和丙酰芸苔素内酯磺酰化反应、氧化反应相同。</w:t>
      </w:r>
    </w:p>
    <w:p>
      <w:pPr>
        <w:ind w:firstLine="560" w:firstLineChars="200"/>
        <w:rPr>
          <w:color w:val="auto"/>
          <w:sz w:val="28"/>
          <w:szCs w:val="28"/>
        </w:rPr>
      </w:pPr>
      <w:r>
        <w:rPr>
          <w:rFonts w:hint="eastAsia"/>
          <w:color w:val="auto"/>
          <w:sz w:val="28"/>
          <w:szCs w:val="28"/>
        </w:rPr>
        <w:t>2</w:t>
      </w:r>
      <w:r>
        <w:rPr>
          <w:color w:val="auto"/>
          <w:sz w:val="28"/>
          <w:szCs w:val="28"/>
        </w:rPr>
        <w:t>.</w:t>
      </w:r>
      <w:r>
        <w:rPr>
          <w:rFonts w:hint="eastAsia"/>
          <w:color w:val="auto"/>
          <w:sz w:val="28"/>
          <w:szCs w:val="28"/>
        </w:rPr>
        <w:t>危险工艺的设计要求</w:t>
      </w:r>
    </w:p>
    <w:p>
      <w:pPr>
        <w:ind w:firstLine="560" w:firstLineChars="200"/>
        <w:rPr>
          <w:color w:val="auto"/>
        </w:rPr>
      </w:pPr>
      <w:r>
        <w:rPr>
          <w:rFonts w:hint="eastAsia" w:ascii="宋体" w:hAnsi="宋体"/>
          <w:color w:val="auto"/>
          <w:sz w:val="28"/>
          <w:szCs w:val="28"/>
        </w:rPr>
        <w:t>依据《首批重点监管的危险化工工艺安全控制要求、重点监控参数及推荐的控制方案》、《第二批重点监管危险化工工艺重点监控参数、安全控制基本要求及推荐的控制方案》的要求，</w:t>
      </w:r>
      <w:r>
        <w:rPr>
          <w:rFonts w:hint="eastAsia" w:ascii="宋体" w:hAnsi="宋体" w:cs="Arial"/>
          <w:bCs/>
          <w:smallCaps/>
          <w:color w:val="auto"/>
          <w:sz w:val="28"/>
          <w:szCs w:val="28"/>
        </w:rPr>
        <w:t>该项目生产过程中涉及重点监管危险工艺中磺化工艺、氧化工艺；危</w:t>
      </w:r>
      <w:r>
        <w:rPr>
          <w:rFonts w:hint="eastAsia" w:ascii="宋体" w:hAnsi="宋体"/>
          <w:bCs/>
          <w:color w:val="auto"/>
          <w:kern w:val="0"/>
          <w:sz w:val="28"/>
          <w:szCs w:val="28"/>
        </w:rPr>
        <w:t>险工艺</w:t>
      </w:r>
      <w:r>
        <w:rPr>
          <w:rFonts w:hint="eastAsia" w:ascii="宋体" w:hAnsi="宋体"/>
          <w:color w:val="auto"/>
          <w:sz w:val="28"/>
          <w:szCs w:val="28"/>
        </w:rPr>
        <w:t>安全控制要求、重点监控参数及推荐的控制方案如下表。</w:t>
      </w:r>
    </w:p>
    <w:p>
      <w:pPr>
        <w:ind w:firstLine="560" w:firstLineChars="200"/>
        <w:rPr>
          <w:color w:val="auto"/>
          <w:sz w:val="28"/>
          <w:szCs w:val="28"/>
        </w:rPr>
      </w:pPr>
      <w:r>
        <w:rPr>
          <w:color w:val="auto"/>
          <w:sz w:val="28"/>
          <w:szCs w:val="28"/>
        </w:rPr>
        <w:t>1</w:t>
      </w:r>
      <w:r>
        <w:rPr>
          <w:rFonts w:hint="eastAsia"/>
          <w:color w:val="auto"/>
          <w:sz w:val="28"/>
          <w:szCs w:val="28"/>
        </w:rPr>
        <w:t>）磺化工艺</w:t>
      </w:r>
    </w:p>
    <w:tbl>
      <w:tblPr>
        <w:tblStyle w:val="31"/>
        <w:tblW w:w="907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0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72"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重点监控工艺参数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7" w:hRule="atLeast"/>
        </w:trPr>
        <w:tc>
          <w:tcPr>
            <w:tcW w:w="9072" w:type="dxa"/>
            <w:tcBorders>
              <w:top w:val="single" w:color="000000" w:sz="4" w:space="0"/>
              <w:left w:val="single" w:color="000000" w:sz="4" w:space="0"/>
              <w:bottom w:val="single" w:color="000000"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磺化反应釜内温度；磺化反应釜内搅拌速率；磺化剂流量；冷却水流量。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72"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安全控制的基本要求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atLeast"/>
        </w:trPr>
        <w:tc>
          <w:tcPr>
            <w:tcW w:w="9072" w:type="dxa"/>
            <w:tcBorders>
              <w:top w:val="single" w:color="000000" w:sz="4" w:space="0"/>
              <w:left w:val="single" w:color="000000" w:sz="4" w:space="0"/>
              <w:bottom w:val="single" w:color="000000"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反应釜温度的报警和联锁；搅拌的稳定控制和联锁系统；紧急冷却系统；紧急停车系统；安全泄放系统；三氧化硫泄漏监控报警系统等。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72"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宜采用的控制方式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72" w:type="dxa"/>
            <w:tcBorders>
              <w:top w:val="single" w:color="auto" w:sz="4" w:space="0"/>
              <w:left w:val="single" w:color="000000" w:sz="4" w:space="0"/>
              <w:bottom w:val="single" w:color="auto"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将磺化反应釜内温度与磺化剂流量、磺化反应釜夹套冷却水进水阀、釜内搅拌电流形成联锁关系，紧急断料系统，当磺化反应釜内各参数偏离工艺指标时，能自动报警、停止加料，甚至紧急停车。</w:t>
            </w:r>
          </w:p>
          <w:p>
            <w:pPr>
              <w:ind w:firstLine="420" w:firstLineChars="200"/>
              <w:rPr>
                <w:rFonts w:hint="eastAsia" w:ascii="仿宋_GB2312" w:hAnsi="仿宋_GB2312"/>
                <w:color w:val="auto"/>
              </w:rPr>
            </w:pPr>
            <w:r>
              <w:rPr>
                <w:rFonts w:ascii="仿宋_GB2312" w:hAnsi="仿宋_GB2312"/>
                <w:color w:val="auto"/>
              </w:rPr>
              <w:t>磺化反应系统应设有泄爆管和紧急排放系统。</w:t>
            </w:r>
          </w:p>
        </w:tc>
      </w:tr>
    </w:tbl>
    <w:p>
      <w:pPr>
        <w:ind w:firstLine="560" w:firstLineChars="200"/>
        <w:rPr>
          <w:color w:val="auto"/>
          <w:sz w:val="28"/>
          <w:szCs w:val="28"/>
        </w:rPr>
      </w:pPr>
      <w:r>
        <w:rPr>
          <w:rFonts w:hint="eastAsia"/>
          <w:color w:val="auto"/>
          <w:sz w:val="28"/>
          <w:szCs w:val="28"/>
        </w:rPr>
        <w:t>2）氧化工艺</w:t>
      </w:r>
    </w:p>
    <w:tbl>
      <w:tblPr>
        <w:tblStyle w:val="31"/>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重点监控工艺参数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4" w:hRule="atLeast"/>
        </w:trPr>
        <w:tc>
          <w:tcPr>
            <w:tcW w:w="9067" w:type="dxa"/>
            <w:tcBorders>
              <w:top w:val="single" w:color="000000" w:sz="4" w:space="0"/>
              <w:left w:val="single" w:color="000000" w:sz="4" w:space="0"/>
              <w:bottom w:val="single" w:color="000000"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氧化反应釜内温度和压力；氧化反应釜内搅拌速率；氧化剂流量；反应物料的配比；气相氧含量；过氧化物含量等。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安全控制的基本要求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Borders>
              <w:top w:val="single" w:color="000000" w:sz="4" w:space="0"/>
              <w:left w:val="single" w:color="000000" w:sz="4" w:space="0"/>
              <w:bottom w:val="single" w:color="000000"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反应釜温度和压力的报警和联锁；反应物料的比例控制和联锁及紧急切断动力系统；紧急断料系统；紧急冷却系统；紧急送入惰性气体的系统；气相氧含量监测、报警和联锁；安全泄放系统；可燃和有毒气体检测报警装置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Borders>
              <w:top w:val="single" w:color="000000" w:sz="4" w:space="0"/>
              <w:left w:val="single" w:color="000000" w:sz="4" w:space="0"/>
              <w:bottom w:val="single" w:color="000000" w:sz="4" w:space="0"/>
              <w:right w:val="single" w:color="000000" w:sz="4" w:space="0"/>
            </w:tcBorders>
          </w:tcPr>
          <w:p>
            <w:pPr>
              <w:jc w:val="center"/>
              <w:rPr>
                <w:rFonts w:hint="eastAsia" w:ascii="仿宋_GB2312" w:hAnsi="仿宋_GB2312"/>
                <w:b/>
                <w:color w:val="auto"/>
              </w:rPr>
            </w:pPr>
            <w:r>
              <w:rPr>
                <w:rFonts w:ascii="仿宋_GB2312" w:hAnsi="仿宋_GB2312"/>
                <w:b/>
                <w:color w:val="auto"/>
              </w:rPr>
              <w:t>宜采用的控制方式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Borders>
              <w:top w:val="single" w:color="000000" w:sz="4" w:space="0"/>
              <w:left w:val="single" w:color="000000" w:sz="4" w:space="0"/>
              <w:bottom w:val="single" w:color="000000" w:sz="4" w:space="0"/>
              <w:right w:val="single" w:color="000000" w:sz="4" w:space="0"/>
            </w:tcBorders>
          </w:tcPr>
          <w:p>
            <w:pPr>
              <w:ind w:firstLine="420" w:firstLineChars="200"/>
              <w:rPr>
                <w:rFonts w:hint="eastAsia" w:ascii="仿宋_GB2312" w:hAnsi="仿宋_GB2312"/>
                <w:color w:val="auto"/>
              </w:rPr>
            </w:pPr>
            <w:r>
              <w:rPr>
                <w:rFonts w:ascii="仿宋_GB2312" w:hAnsi="仿宋_GB2312"/>
                <w:color w:val="auto"/>
              </w:rPr>
              <w:t>将氧化反应釜内温度和压力与反应物的配比和流量、氧化反应釜夹套冷却水进水阀、紧急冷却系统形成联锁关系，在氧化反应釜处设立紧急停车系统，当氧化反应釜内温度超标或搅拌系统发生故障时自动停止加料并紧急停车。配备安全阀、爆破片等安全设施。</w:t>
            </w:r>
          </w:p>
        </w:tc>
      </w:tr>
    </w:tbl>
    <w:p>
      <w:pPr>
        <w:ind w:firstLine="560" w:firstLineChars="200"/>
        <w:rPr>
          <w:color w:val="auto"/>
        </w:rPr>
      </w:pPr>
      <w:r>
        <w:rPr>
          <w:rFonts w:hint="eastAsia" w:ascii="宋体" w:hAnsi="宋体"/>
          <w:color w:val="auto"/>
          <w:sz w:val="28"/>
          <w:szCs w:val="28"/>
        </w:rPr>
        <w:t>该项目应重点关注磺化工艺、氧化工艺中重点监控参数、各上下游工序间联锁控制装置，并完善监控及自动控制方案。</w:t>
      </w:r>
    </w:p>
    <w:p>
      <w:pPr>
        <w:keepNext/>
        <w:keepLines/>
        <w:spacing w:line="600" w:lineRule="exact"/>
        <w:jc w:val="left"/>
        <w:outlineLvl w:val="2"/>
        <w:rPr>
          <w:rFonts w:ascii="Calibri" w:hAnsi="Calibri"/>
          <w:b/>
          <w:color w:val="auto"/>
          <w:sz w:val="28"/>
          <w:szCs w:val="32"/>
        </w:rPr>
      </w:pPr>
      <w:bookmarkStart w:id="68" w:name="_Toc35435417"/>
      <w:bookmarkStart w:id="69" w:name="_Toc144109173"/>
      <w:bookmarkStart w:id="70" w:name="_Toc20137"/>
      <w:r>
        <w:rPr>
          <w:rFonts w:ascii="Calibri" w:hAnsi="Calibri"/>
          <w:b/>
          <w:color w:val="auto"/>
          <w:sz w:val="28"/>
          <w:szCs w:val="32"/>
        </w:rPr>
        <w:t>3.3</w:t>
      </w:r>
      <w:r>
        <w:rPr>
          <w:rFonts w:hint="eastAsia" w:ascii="Calibri" w:hAnsi="Calibri"/>
          <w:b/>
          <w:color w:val="auto"/>
          <w:sz w:val="28"/>
          <w:szCs w:val="32"/>
        </w:rPr>
        <w:t>.</w:t>
      </w:r>
      <w:r>
        <w:rPr>
          <w:rFonts w:ascii="Calibri" w:hAnsi="Calibri"/>
          <w:b/>
          <w:color w:val="auto"/>
          <w:sz w:val="28"/>
          <w:szCs w:val="32"/>
        </w:rPr>
        <w:t>2</w:t>
      </w:r>
      <w:r>
        <w:rPr>
          <w:rFonts w:hint="eastAsia" w:ascii="Calibri" w:hAnsi="Calibri"/>
          <w:b/>
          <w:color w:val="auto"/>
          <w:sz w:val="28"/>
          <w:szCs w:val="32"/>
        </w:rPr>
        <w:t xml:space="preserve"> </w:t>
      </w:r>
      <w:r>
        <w:rPr>
          <w:rFonts w:ascii="Calibri" w:hAnsi="Calibri"/>
          <w:b/>
          <w:color w:val="auto"/>
          <w:sz w:val="28"/>
          <w:szCs w:val="32"/>
        </w:rPr>
        <w:t>重点监管危险化学品辨识</w:t>
      </w:r>
      <w:bookmarkEnd w:id="68"/>
      <w:bookmarkEnd w:id="69"/>
      <w:bookmarkEnd w:id="70"/>
    </w:p>
    <w:p>
      <w:pPr>
        <w:ind w:firstLine="562" w:firstLineChars="200"/>
        <w:rPr>
          <w:b/>
          <w:bCs/>
          <w:color w:val="auto"/>
          <w:sz w:val="28"/>
          <w:szCs w:val="28"/>
        </w:rPr>
      </w:pPr>
      <w:r>
        <w:rPr>
          <w:rFonts w:hint="eastAsia"/>
          <w:b/>
          <w:bCs/>
          <w:color w:val="auto"/>
          <w:sz w:val="28"/>
          <w:szCs w:val="28"/>
        </w:rPr>
        <w:t>1、重点监管危险化学品</w:t>
      </w:r>
    </w:p>
    <w:p>
      <w:pPr>
        <w:ind w:firstLine="560" w:firstLineChars="200"/>
        <w:rPr>
          <w:color w:val="auto"/>
          <w:sz w:val="28"/>
          <w:szCs w:val="28"/>
        </w:rPr>
      </w:pPr>
      <w:r>
        <w:rPr>
          <w:color w:val="auto"/>
          <w:sz w:val="28"/>
          <w:szCs w:val="28"/>
        </w:rPr>
        <w:t>根据</w:t>
      </w:r>
      <w:r>
        <w:rPr>
          <w:rFonts w:hint="eastAsia" w:ascii="宋体" w:hAnsi="宋体"/>
          <w:color w:val="auto"/>
          <w:sz w:val="28"/>
          <w:szCs w:val="28"/>
        </w:rPr>
        <w:t>《国家安全监管总局关于公布首批重点监管的危险化学品目录的通知》（安监总管三〔</w:t>
      </w:r>
      <w:r>
        <w:rPr>
          <w:rFonts w:hint="eastAsia"/>
          <w:color w:val="auto"/>
          <w:sz w:val="28"/>
          <w:szCs w:val="28"/>
        </w:rPr>
        <w:t>2011</w:t>
      </w:r>
      <w:r>
        <w:rPr>
          <w:rFonts w:hint="eastAsia" w:ascii="宋体" w:hAnsi="宋体"/>
          <w:color w:val="auto"/>
          <w:sz w:val="28"/>
          <w:szCs w:val="28"/>
        </w:rPr>
        <w:t>〕</w:t>
      </w:r>
      <w:r>
        <w:rPr>
          <w:rFonts w:hint="eastAsia"/>
          <w:color w:val="auto"/>
          <w:sz w:val="28"/>
          <w:szCs w:val="28"/>
        </w:rPr>
        <w:t>95</w:t>
      </w:r>
      <w:r>
        <w:rPr>
          <w:rFonts w:hint="eastAsia" w:ascii="宋体" w:hAnsi="宋体"/>
          <w:color w:val="auto"/>
          <w:sz w:val="28"/>
          <w:szCs w:val="28"/>
        </w:rPr>
        <w:t>号）、《国家安全监管总局关于公布第二批重点监管的危险化学品目录的通知》（安监总管三〔</w:t>
      </w:r>
      <w:r>
        <w:rPr>
          <w:rFonts w:hint="eastAsia"/>
          <w:color w:val="auto"/>
          <w:sz w:val="28"/>
          <w:szCs w:val="28"/>
        </w:rPr>
        <w:t>2013</w:t>
      </w:r>
      <w:r>
        <w:rPr>
          <w:rFonts w:hint="eastAsia" w:ascii="宋体" w:hAnsi="宋体"/>
          <w:color w:val="auto"/>
          <w:sz w:val="28"/>
          <w:szCs w:val="28"/>
        </w:rPr>
        <w:t>〕</w:t>
      </w:r>
      <w:r>
        <w:rPr>
          <w:rFonts w:hint="eastAsia"/>
          <w:color w:val="auto"/>
          <w:sz w:val="28"/>
          <w:szCs w:val="28"/>
        </w:rPr>
        <w:t>12</w:t>
      </w:r>
      <w:r>
        <w:rPr>
          <w:rFonts w:hint="eastAsia" w:ascii="宋体" w:hAnsi="宋体"/>
          <w:color w:val="auto"/>
          <w:sz w:val="28"/>
          <w:szCs w:val="28"/>
        </w:rPr>
        <w:t>号）</w:t>
      </w:r>
      <w:r>
        <w:rPr>
          <w:color w:val="auto"/>
          <w:sz w:val="28"/>
          <w:szCs w:val="28"/>
        </w:rPr>
        <w:t>，本项目</w:t>
      </w:r>
      <w:r>
        <w:rPr>
          <w:rFonts w:hint="eastAsia"/>
          <w:color w:val="auto"/>
          <w:sz w:val="28"/>
          <w:szCs w:val="28"/>
        </w:rPr>
        <w:t>液氨、甲醇、乙酸乙酯、甲苯、中间产物二氧化硫、中间产物氢气为</w:t>
      </w:r>
      <w:r>
        <w:rPr>
          <w:color w:val="auto"/>
          <w:sz w:val="28"/>
          <w:szCs w:val="28"/>
        </w:rPr>
        <w:t>重点监管的危险化学品。</w:t>
      </w:r>
    </w:p>
    <w:p>
      <w:pPr>
        <w:ind w:firstLine="562" w:firstLineChars="200"/>
        <w:rPr>
          <w:b/>
          <w:bCs/>
          <w:color w:val="auto"/>
          <w:sz w:val="28"/>
          <w:szCs w:val="28"/>
        </w:rPr>
      </w:pPr>
      <w:r>
        <w:rPr>
          <w:rFonts w:hint="eastAsia"/>
          <w:b/>
          <w:bCs/>
          <w:color w:val="auto"/>
          <w:sz w:val="28"/>
          <w:szCs w:val="28"/>
        </w:rPr>
        <w:t>2、重点监管危险化学品安全措施和应急处置原则</w:t>
      </w:r>
    </w:p>
    <w:p>
      <w:pPr>
        <w:ind w:firstLine="560" w:firstLineChars="200"/>
        <w:rPr>
          <w:color w:val="auto"/>
        </w:rPr>
      </w:pPr>
      <w:r>
        <w:rPr>
          <w:rFonts w:hint="eastAsia" w:ascii="宋体" w:hAnsi="宋体"/>
          <w:color w:val="auto"/>
          <w:sz w:val="28"/>
          <w:szCs w:val="28"/>
        </w:rPr>
        <w:t>依据《国家安全监管总局办公厅关于印发首批重点监管的危险化学品安全措施和应急处置原则的通知》（安监总厅管三〔2011〕142号）、《第二批重点监管的危险化学品安全措施和应急处置原则》，该项目涉及的重点监管危险化学品为</w:t>
      </w:r>
      <w:r>
        <w:rPr>
          <w:rFonts w:hint="eastAsia"/>
          <w:color w:val="auto"/>
          <w:sz w:val="28"/>
          <w:szCs w:val="28"/>
        </w:rPr>
        <w:t>液氨、甲醇、乙酸乙酯、甲苯、中间产物二氧化硫、中间产物氢气。</w:t>
      </w:r>
      <w:r>
        <w:rPr>
          <w:rFonts w:hint="eastAsia" w:ascii="宋体" w:hAnsi="宋体"/>
          <w:color w:val="auto"/>
          <w:sz w:val="28"/>
          <w:szCs w:val="28"/>
        </w:rPr>
        <w:t>重点监管危险化学品安全措施和应急处置原则要求如下：</w:t>
      </w:r>
    </w:p>
    <w:p>
      <w:pPr>
        <w:ind w:firstLine="560" w:firstLineChars="200"/>
        <w:rPr>
          <w:color w:val="auto"/>
          <w:sz w:val="28"/>
          <w:szCs w:val="28"/>
        </w:rPr>
      </w:pPr>
      <w:r>
        <w:rPr>
          <w:rFonts w:hint="eastAsia"/>
          <w:color w:val="auto"/>
          <w:sz w:val="28"/>
          <w:szCs w:val="28"/>
        </w:rPr>
        <w:t>1）液氨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rPr>
                <w:rFonts w:ascii="Arial" w:hAnsi="Arial" w:cs="Arial"/>
                <w:color w:val="auto"/>
                <w:sz w:val="21"/>
                <w:szCs w:val="21"/>
              </w:rPr>
            </w:pPr>
            <w:r>
              <w:rPr>
                <w:rFonts w:hAnsi="宋体" w:cs="Arial"/>
                <w:color w:val="auto"/>
                <w:sz w:val="21"/>
                <w:szCs w:val="21"/>
              </w:rPr>
              <w:t>安全措施</w:t>
            </w:r>
            <w:r>
              <w:rPr>
                <w:rFonts w:ascii="Arial" w:hAnsi="Arial" w:cs="Arial"/>
                <w:color w:val="auto"/>
                <w:sz w:val="21"/>
                <w:szCs w:val="21"/>
              </w:rPr>
              <w:t xml:space="preserve"> </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【一般要求】</w:t>
            </w:r>
            <w:r>
              <w:rPr>
                <w:rFonts w:ascii="Arial" w:hAnsi="Arial" w:cs="Arial"/>
                <w:color w:val="auto"/>
                <w:sz w:val="21"/>
                <w:szCs w:val="21"/>
              </w:rPr>
              <w:t xml:space="preserve"> </w:t>
            </w:r>
            <w:r>
              <w:rPr>
                <w:rFonts w:hAnsi="宋体" w:cs="Arial"/>
                <w:color w:val="auto"/>
                <w:sz w:val="21"/>
                <w:szCs w:val="21"/>
              </w:rPr>
              <w:t>操作人员必须经过专门培训，严格遵守操作规程，熟练掌握操作技能，具备应急处置知识。</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严加密闭，防止泄漏，工作场所提供充分的局部排风和全面通风，远离火种、热源，工作场所严禁吸烟。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生产、使用氨气的车间及贮氨场所应设置氨气泄漏检测报警仪，使用防爆型的通风系统和设备，应至少配备两套正压式空气呼吸器、长管式防毒面具、重型防护服等防护器具。戴化学安全防护眼镜，穿防静电工作服，戴橡胶手套。工作场所浓度超标时，操作人员应该佩戴过滤式防毒面具。可能接触液体时，应防止冻伤。</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储罐等压力容器和设备应设置安全阀、压力表、液位计、温度计，并应装有带压力、液位、温度远传记录和报警功能的安全装置，设置整流装置与压力机、动力电源、管线压力、通风设施或相应的吸收装置的联锁装置。重点储罐需设置紧急切断装置。</w:t>
            </w:r>
            <w:r>
              <w:rPr>
                <w:rFonts w:ascii="Arial" w:hAnsi="Arial" w:cs="Arial"/>
                <w:color w:val="auto"/>
                <w:sz w:val="21"/>
                <w:szCs w:val="21"/>
              </w:rPr>
              <w:t xml:space="preserve"> </w:t>
            </w:r>
            <w:r>
              <w:rPr>
                <w:rFonts w:hAnsi="宋体" w:cs="Arial"/>
                <w:color w:val="auto"/>
                <w:sz w:val="21"/>
                <w:szCs w:val="21"/>
              </w:rPr>
              <w:t>避免与氧化剂、酸类、卤素接触。</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生产、储存区域应设置安全警示标志。在传送过程中，钢瓶和容器必须接地和跨接，防止产生静电。搬运时轻装轻卸，防止钢瓶及附件破损。禁止使用电磁起重机和用链绳捆扎、或将瓶阀作为吊运着力点。配备相应品种和数量的消防器材及泄漏应急处理设备。</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【特殊要求】</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【操作安全】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）严禁利用氨气管道做电焊接地线。严禁用铁器敲击管道与阀体，以免引起火花。</w:t>
            </w:r>
            <w:r>
              <w:rPr>
                <w:rFonts w:ascii="Arial" w:hAnsi="Arial" w:cs="Arial"/>
                <w:color w:val="auto"/>
                <w:sz w:val="21"/>
                <w:szCs w:val="21"/>
              </w:rPr>
              <w:t xml:space="preserve"> </w:t>
            </w: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）在含氨气环境中作业应采用以下防护措施：</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根据不同作业环境配备相应的氨气检测仪及防护装置，并落实人员管理，使氨气检测仪及防护装置处于备用状态；</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作业环境应设立风向标；</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供气装置的空气压缩机应置于上风侧；</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进行检修和抢修作业时，应携带氨气检测仪和正压式空气呼吸器。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）充装时，使用万向节管道充装系统，严防超装。</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【储存安全】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）储存于阴凉、通风的专用库房。远离火种、热源。库房温度不宜超过</w:t>
            </w:r>
            <w:r>
              <w:rPr>
                <w:rFonts w:ascii="Arial" w:hAnsi="Arial" w:cs="Arial"/>
                <w:color w:val="auto"/>
                <w:sz w:val="21"/>
                <w:szCs w:val="21"/>
              </w:rPr>
              <w:t>30</w:t>
            </w:r>
            <w:r>
              <w:rPr>
                <w:rFonts w:hAnsi="宋体" w:cs="Arial"/>
                <w:color w:val="auto"/>
                <w:sz w:val="21"/>
                <w:szCs w:val="21"/>
              </w:rPr>
              <w:t>℃。</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）与氧化剂、酸类、卤素、食用化学品分开存放，切忌混储。储罐远离火种、热源。采用防爆型照明、通风设施。禁止使用易产生火花的机械设备和工具。储存区应备有泄漏应急处理设备。</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）液氨气瓶应放置在距工作场地至少</w:t>
            </w:r>
            <w:r>
              <w:rPr>
                <w:rFonts w:ascii="Arial" w:hAnsi="Arial" w:cs="Arial"/>
                <w:color w:val="auto"/>
                <w:sz w:val="21"/>
                <w:szCs w:val="21"/>
              </w:rPr>
              <w:t>5m</w:t>
            </w:r>
            <w:r>
              <w:rPr>
                <w:rFonts w:hAnsi="宋体" w:cs="Arial"/>
                <w:color w:val="auto"/>
                <w:sz w:val="21"/>
                <w:szCs w:val="21"/>
              </w:rPr>
              <w:t>以外的地方，并且通风良好。</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4</w:t>
            </w:r>
            <w:r>
              <w:rPr>
                <w:rFonts w:hAnsi="宋体" w:cs="Arial"/>
                <w:color w:val="auto"/>
                <w:sz w:val="21"/>
                <w:szCs w:val="21"/>
              </w:rPr>
              <w:t>）注意防雷、防静电，厂</w:t>
            </w:r>
            <w:r>
              <w:rPr>
                <w:rFonts w:ascii="Arial" w:hAnsi="Arial" w:cs="Arial"/>
                <w:color w:val="auto"/>
                <w:sz w:val="21"/>
                <w:szCs w:val="21"/>
              </w:rPr>
              <w:t>(</w:t>
            </w:r>
            <w:r>
              <w:rPr>
                <w:rFonts w:hAnsi="宋体" w:cs="Arial"/>
                <w:color w:val="auto"/>
                <w:sz w:val="21"/>
                <w:szCs w:val="21"/>
              </w:rPr>
              <w:t>车间</w:t>
            </w:r>
            <w:r>
              <w:rPr>
                <w:rFonts w:ascii="Arial" w:hAnsi="Arial" w:cs="Arial"/>
                <w:color w:val="auto"/>
                <w:sz w:val="21"/>
                <w:szCs w:val="21"/>
              </w:rPr>
              <w:t>)</w:t>
            </w:r>
            <w:r>
              <w:rPr>
                <w:rFonts w:hAnsi="宋体" w:cs="Arial"/>
                <w:color w:val="auto"/>
                <w:sz w:val="21"/>
                <w:szCs w:val="21"/>
              </w:rPr>
              <w:t>内的氨气储罐应按《建筑物防雷设计规范》（</w:t>
            </w:r>
            <w:r>
              <w:rPr>
                <w:rFonts w:ascii="Arial" w:hAnsi="Arial" w:cs="Arial"/>
                <w:color w:val="auto"/>
                <w:sz w:val="21"/>
                <w:szCs w:val="21"/>
              </w:rPr>
              <w:t>GB 50057</w:t>
            </w:r>
            <w:r>
              <w:rPr>
                <w:rFonts w:hAnsi="宋体" w:cs="Arial"/>
                <w:color w:val="auto"/>
                <w:sz w:val="21"/>
                <w:szCs w:val="21"/>
              </w:rPr>
              <w:t>）的规定设置防雷、防静电设施。</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【运输安全】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）运输车辆应有危险货物运输标志、安装具有行驶记录功能的卫星定位装置。未经公安机关批准，运输车辆不得进入危险化学品运输车辆限制通行的区域。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）槽车运输时要用专用槽车。槽车安装的阻火器（火星熄灭器）必须完好。槽车和运输卡车要有导静电拖线；槽车上要备有</w:t>
            </w:r>
            <w:r>
              <w:rPr>
                <w:rFonts w:ascii="Arial" w:hAnsi="Arial" w:cs="Arial"/>
                <w:color w:val="auto"/>
                <w:sz w:val="21"/>
                <w:szCs w:val="21"/>
              </w:rPr>
              <w:t>2</w:t>
            </w:r>
            <w:r>
              <w:rPr>
                <w:rFonts w:hAnsi="宋体" w:cs="Arial"/>
                <w:color w:val="auto"/>
                <w:sz w:val="21"/>
                <w:szCs w:val="21"/>
              </w:rPr>
              <w:t>只以上干粉或二氧化碳灭火器和防爆工具；防止阳光直射。</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）车辆运输钢瓶时</w:t>
            </w:r>
            <w:r>
              <w:rPr>
                <w:rFonts w:ascii="Arial" w:hAnsi="Arial" w:cs="Arial"/>
                <w:color w:val="auto"/>
                <w:sz w:val="21"/>
                <w:szCs w:val="21"/>
              </w:rPr>
              <w:t>,</w:t>
            </w:r>
            <w:r>
              <w:rPr>
                <w:rFonts w:hAnsi="宋体" w:cs="Arial"/>
                <w:color w:val="auto"/>
                <w:sz w:val="21"/>
                <w:szCs w:val="21"/>
              </w:rPr>
              <w:t>瓶口一律朝向车辆行驶方向的右方，堆放高度不得超过车辆的防护栏板，并用三角木垫卡牢，防止滚动。不准同车混装有抵触性质的物品和让无关人员搭车。运输途中远离火种，不准在有明火地点或人多地段停车，停车时要有人看管。发生泄漏或火灾时要把车开到安全地方进行灭火或堵漏。</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4</w:t>
            </w:r>
            <w:r>
              <w:rPr>
                <w:rFonts w:hAnsi="宋体" w:cs="Arial"/>
                <w:color w:val="auto"/>
                <w:sz w:val="21"/>
                <w:szCs w:val="21"/>
              </w:rPr>
              <w:t>）输送氨的管道不应靠近热源敷设；管道采用地上敷设时，应在人员活动较多和易遭车辆、外来物撞击的地段，采取保护措施并设置明显的警示标志；氨管道架空敷设时，管道应敷设在非燃烧体的支架或栈桥上。在已敷设的氨管道下面，不得修建与氨管道无关的建筑物和堆放易燃物品；氨管道外壁颜色、标志应执行《工业管道的基本识别色、识别符号和安全标识》（</w:t>
            </w:r>
            <w:r>
              <w:rPr>
                <w:rFonts w:ascii="Arial" w:hAnsi="Arial" w:cs="Arial"/>
                <w:color w:val="auto"/>
                <w:sz w:val="21"/>
                <w:szCs w:val="21"/>
              </w:rPr>
              <w:t>GB 7231</w:t>
            </w:r>
            <w:r>
              <w:rPr>
                <w:rFonts w:hAnsi="宋体" w:cs="Arial"/>
                <w:color w:val="auto"/>
                <w:sz w:val="21"/>
                <w:szCs w:val="21"/>
              </w:rPr>
              <w:t>）的规定。</w:t>
            </w:r>
            <w:r>
              <w:rPr>
                <w:rFonts w:ascii="Arial" w:hAnsi="Arial" w:cs="Arial"/>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rPr>
                <w:rFonts w:ascii="Arial" w:hAnsi="Arial" w:cs="Arial"/>
                <w:color w:val="auto"/>
                <w:sz w:val="21"/>
                <w:szCs w:val="21"/>
              </w:rPr>
            </w:pPr>
            <w:r>
              <w:rPr>
                <w:rFonts w:hAnsi="宋体" w:cs="Arial"/>
                <w:color w:val="auto"/>
                <w:sz w:val="21"/>
                <w:szCs w:val="21"/>
              </w:rPr>
              <w:t>应急处置原则</w:t>
            </w:r>
            <w:r>
              <w:rPr>
                <w:rFonts w:ascii="Arial" w:hAnsi="Arial" w:cs="Arial"/>
                <w:color w:val="auto"/>
                <w:sz w:val="21"/>
                <w:szCs w:val="21"/>
              </w:rPr>
              <w:t xml:space="preserve"> </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【急救措施】</w:t>
            </w:r>
            <w:r>
              <w:rPr>
                <w:rFonts w:ascii="Arial" w:hAnsi="Arial" w:cs="Arial"/>
                <w:color w:val="auto"/>
                <w:sz w:val="21"/>
                <w:szCs w:val="21"/>
              </w:rPr>
              <w:t xml:space="preserve"> </w:t>
            </w:r>
            <w:r>
              <w:rPr>
                <w:rFonts w:hAnsi="宋体" w:cs="Arial"/>
                <w:color w:val="auto"/>
                <w:sz w:val="21"/>
                <w:szCs w:val="21"/>
              </w:rPr>
              <w:t>吸入：迅速脱离现场至空气新鲜处。保持呼吸道通畅。如呼吸困难，给氧。如呼吸停止，立即进行人工呼吸。就医。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皮肤接触：立即脱去污染的衣着，应用</w:t>
            </w:r>
            <w:r>
              <w:rPr>
                <w:rFonts w:ascii="Arial" w:hAnsi="Arial" w:cs="Arial"/>
                <w:color w:val="auto"/>
                <w:sz w:val="21"/>
                <w:szCs w:val="21"/>
              </w:rPr>
              <w:t>2%</w:t>
            </w:r>
            <w:r>
              <w:rPr>
                <w:rFonts w:hAnsi="宋体" w:cs="Arial"/>
                <w:color w:val="auto"/>
                <w:sz w:val="21"/>
                <w:szCs w:val="21"/>
              </w:rPr>
              <w:t>硼酸液或大量清水彻底冲洗。就医。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眼睛接触：立即提起眼睑，用大量流动清水或生理盐水彻底冲洗至少</w:t>
            </w:r>
            <w:r>
              <w:rPr>
                <w:rFonts w:ascii="Arial" w:hAnsi="Arial" w:cs="Arial"/>
                <w:color w:val="auto"/>
                <w:sz w:val="21"/>
                <w:szCs w:val="21"/>
              </w:rPr>
              <w:t>15</w:t>
            </w:r>
            <w:r>
              <w:rPr>
                <w:rFonts w:hAnsi="宋体" w:cs="Arial"/>
                <w:color w:val="auto"/>
                <w:sz w:val="21"/>
                <w:szCs w:val="21"/>
              </w:rPr>
              <w:t>分钟。就医。</w:t>
            </w:r>
            <w:r>
              <w:rPr>
                <w:rFonts w:ascii="Arial" w:hAnsi="Arial" w:cs="Arial"/>
                <w:color w:val="auto"/>
                <w:sz w:val="21"/>
                <w:szCs w:val="21"/>
              </w:rPr>
              <w:t xml:space="preserve"> </w:t>
            </w:r>
            <w:r>
              <w:rPr>
                <w:rFonts w:hAnsi="宋体" w:cs="Arial"/>
                <w:color w:val="auto"/>
                <w:sz w:val="21"/>
                <w:szCs w:val="21"/>
              </w:rPr>
              <w:t>【灭火方法】</w:t>
            </w:r>
            <w:r>
              <w:rPr>
                <w:rFonts w:ascii="Arial" w:hAnsi="Arial" w:cs="Arial"/>
                <w:color w:val="auto"/>
                <w:sz w:val="21"/>
                <w:szCs w:val="21"/>
              </w:rPr>
              <w:t xml:space="preserve"> </w:t>
            </w:r>
            <w:r>
              <w:rPr>
                <w:rFonts w:hAnsi="宋体" w:cs="Arial"/>
                <w:color w:val="auto"/>
                <w:sz w:val="21"/>
                <w:szCs w:val="21"/>
              </w:rPr>
              <w:t>消防人员必须穿全身防火防毒服，在上风向灭火。切断气源。若不能切断气源，则不允许熄灭泄漏处的火焰。喷水冷却容器，尽可能将容器从火场移至空旷处。</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灭火剂：雾状水、抗溶性泡沫、二氧化碳、砂土。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【泄漏应急处置】</w:t>
            </w:r>
            <w:r>
              <w:rPr>
                <w:rFonts w:ascii="Arial" w:hAnsi="Arial" w:cs="Arial"/>
                <w:color w:val="auto"/>
                <w:sz w:val="21"/>
                <w:szCs w:val="21"/>
              </w:rPr>
              <w:t xml:space="preserve"> </w:t>
            </w:r>
            <w:r>
              <w:rPr>
                <w:rFonts w:hAnsi="宋体" w:cs="Arial"/>
                <w:color w:val="auto"/>
                <w:sz w:val="21"/>
                <w:szCs w:val="21"/>
              </w:rPr>
              <w:t>消除所有点火源。根据气体的影响区域划定警戒区，无关人员从侧风、上风向撤离至安全区。建议应急处理人员穿内置正压自给式空气呼吸器的全封闭防化服。如果是液化气体泄漏，还应注意防冻伤。禁止接触或跨越泄漏物。尽可能切断泄漏源。防止气体通过下水道、通风系统和密闭性空间扩散。若可能翻转容器，使之逸出气体而非液体。构筑围堤或挖坑收容液体泄漏物。用醋酸或其它稀酸中和。也可以喷雾状水稀释、溶解，同时构筑围堤或挖坑收容产生的大量废水。如有可能，将残余气或漏出气用排风机送至水洗塔或与塔相连的通风橱内。如果钢瓶发生泄漏，无法封堵时可浸入水中。储罐区最好设水或稀酸喷洒设施。隔离泄漏区直至气体散尽。漏气容器要妥善处理，修复、检验后再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隔离与疏散距离：小量泄漏，初始隔离</w:t>
            </w:r>
            <w:r>
              <w:rPr>
                <w:rFonts w:ascii="Arial" w:hAnsi="Arial" w:cs="Arial"/>
                <w:color w:val="auto"/>
                <w:sz w:val="21"/>
                <w:szCs w:val="21"/>
              </w:rPr>
              <w:t>30m</w:t>
            </w:r>
            <w:r>
              <w:rPr>
                <w:rFonts w:hAnsi="宋体" w:cs="Arial"/>
                <w:color w:val="auto"/>
                <w:sz w:val="21"/>
                <w:szCs w:val="21"/>
              </w:rPr>
              <w:t>，下风向疏散白天</w:t>
            </w:r>
            <w:r>
              <w:rPr>
                <w:rFonts w:ascii="Arial" w:hAnsi="Arial" w:cs="Arial"/>
                <w:color w:val="auto"/>
                <w:sz w:val="21"/>
                <w:szCs w:val="21"/>
              </w:rPr>
              <w:t>100m</w:t>
            </w:r>
            <w:r>
              <w:rPr>
                <w:rFonts w:hAnsi="宋体" w:cs="Arial"/>
                <w:color w:val="auto"/>
                <w:sz w:val="21"/>
                <w:szCs w:val="21"/>
              </w:rPr>
              <w:t>、夜晚</w:t>
            </w:r>
            <w:r>
              <w:rPr>
                <w:rFonts w:ascii="Arial" w:hAnsi="Arial" w:cs="Arial"/>
                <w:color w:val="auto"/>
                <w:sz w:val="21"/>
                <w:szCs w:val="21"/>
              </w:rPr>
              <w:t>200m</w:t>
            </w:r>
            <w:r>
              <w:rPr>
                <w:rFonts w:hAnsi="宋体" w:cs="Arial"/>
                <w:color w:val="auto"/>
                <w:sz w:val="21"/>
                <w:szCs w:val="21"/>
              </w:rPr>
              <w:t>；大量泄漏，初始隔离</w:t>
            </w:r>
            <w:r>
              <w:rPr>
                <w:rFonts w:ascii="Arial" w:hAnsi="Arial" w:cs="Arial"/>
                <w:color w:val="auto"/>
                <w:sz w:val="21"/>
                <w:szCs w:val="21"/>
              </w:rPr>
              <w:t>150m</w:t>
            </w:r>
            <w:r>
              <w:rPr>
                <w:rFonts w:hAnsi="宋体" w:cs="Arial"/>
                <w:color w:val="auto"/>
                <w:sz w:val="21"/>
                <w:szCs w:val="21"/>
              </w:rPr>
              <w:t>，下风向疏散白天</w:t>
            </w:r>
            <w:r>
              <w:rPr>
                <w:rFonts w:ascii="Arial" w:hAnsi="Arial" w:cs="Arial"/>
                <w:color w:val="auto"/>
                <w:sz w:val="21"/>
                <w:szCs w:val="21"/>
              </w:rPr>
              <w:t>800m</w:t>
            </w:r>
            <w:r>
              <w:rPr>
                <w:rFonts w:hAnsi="宋体" w:cs="Arial"/>
                <w:color w:val="auto"/>
                <w:sz w:val="21"/>
                <w:szCs w:val="21"/>
              </w:rPr>
              <w:t>、夜晚</w:t>
            </w:r>
            <w:r>
              <w:rPr>
                <w:rFonts w:ascii="Arial" w:hAnsi="Arial" w:cs="Arial"/>
                <w:color w:val="auto"/>
                <w:sz w:val="21"/>
                <w:szCs w:val="21"/>
              </w:rPr>
              <w:t>2300m</w:t>
            </w:r>
            <w:r>
              <w:rPr>
                <w:rFonts w:hAnsi="宋体" w:cs="Arial"/>
                <w:color w:val="auto"/>
                <w:sz w:val="21"/>
                <w:szCs w:val="21"/>
              </w:rPr>
              <w:t>。</w:t>
            </w:r>
            <w:r>
              <w:rPr>
                <w:rFonts w:ascii="Arial" w:hAnsi="Arial" w:cs="Arial"/>
                <w:color w:val="auto"/>
                <w:sz w:val="21"/>
                <w:szCs w:val="21"/>
              </w:rPr>
              <w:t xml:space="preserve"> </w:t>
            </w:r>
          </w:p>
        </w:tc>
      </w:tr>
    </w:tbl>
    <w:p>
      <w:pPr>
        <w:ind w:firstLine="560" w:firstLineChars="200"/>
        <w:rPr>
          <w:color w:val="auto"/>
          <w:sz w:val="28"/>
          <w:szCs w:val="28"/>
        </w:rPr>
      </w:pPr>
      <w:r>
        <w:rPr>
          <w:rFonts w:hint="eastAsia"/>
          <w:color w:val="auto"/>
          <w:sz w:val="28"/>
          <w:szCs w:val="28"/>
        </w:rPr>
        <w:t>2）甲醇</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88" w:type="dxa"/>
            <w:tcBorders>
              <w:top w:val="single" w:color="auto" w:sz="4" w:space="0"/>
              <w:left w:val="single" w:color="auto" w:sz="4" w:space="0"/>
              <w:bottom w:val="single" w:color="auto" w:sz="4" w:space="0"/>
              <w:right w:val="single" w:color="auto" w:sz="4" w:space="0"/>
            </w:tcBorders>
            <w:vAlign w:val="center"/>
          </w:tcPr>
          <w:p>
            <w:pPr>
              <w:pStyle w:val="86"/>
              <w:jc w:val="center"/>
              <w:rPr>
                <w:rFonts w:ascii="Arial" w:hAnsi="Arial" w:cs="Arial"/>
                <w:color w:val="auto"/>
                <w:sz w:val="21"/>
                <w:szCs w:val="21"/>
              </w:rPr>
            </w:pPr>
            <w:r>
              <w:rPr>
                <w:rFonts w:hAnsi="宋体" w:cs="Arial"/>
                <w:color w:val="auto"/>
                <w:sz w:val="21"/>
                <w:szCs w:val="21"/>
              </w:rPr>
              <w:t>安全措施</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【一般要求】</w:t>
            </w:r>
            <w:r>
              <w:rPr>
                <w:rFonts w:ascii="Arial" w:hAnsi="Arial" w:cs="Arial"/>
                <w:color w:val="auto"/>
                <w:sz w:val="21"/>
                <w:szCs w:val="21"/>
              </w:rPr>
              <w:t xml:space="preserve"> </w:t>
            </w:r>
            <w:r>
              <w:rPr>
                <w:rFonts w:hAnsi="宋体" w:cs="Arial"/>
                <w:color w:val="auto"/>
                <w:sz w:val="21"/>
                <w:szCs w:val="21"/>
              </w:rPr>
              <w:t>操作人员必须经过专门培训，严格遵守操作规程，熟练掌握操作技能，具备应急处置知识。</w:t>
            </w:r>
            <w:r>
              <w:rPr>
                <w:rFonts w:ascii="Arial" w:hAnsi="Arial" w:cs="Arial"/>
                <w:color w:val="auto"/>
                <w:sz w:val="21"/>
                <w:szCs w:val="21"/>
              </w:rPr>
              <w:t xml:space="preserve"> </w:t>
            </w:r>
            <w:r>
              <w:rPr>
                <w:rFonts w:hAnsi="宋体" w:cs="Arial"/>
                <w:color w:val="auto"/>
                <w:sz w:val="21"/>
                <w:szCs w:val="21"/>
              </w:rPr>
              <w:t>密闭操作，防止泄漏，加强通风。远离火种、热源，工作场所严禁吸烟。使用防爆型的通风系统和设备。戴化学安全防护眼镜，穿防静电工作服，戴橡胶手套，建议操作人员佩戴过滤式防毒面具（半面罩）。</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储罐等压力设备应设置压力表、液位计、温度计，并应装有带压力、液位、温度远传记录和报警功能的安全装置，</w:t>
            </w:r>
            <w:r>
              <w:rPr>
                <w:rFonts w:ascii="Arial" w:hAnsi="Arial" w:cs="Arial"/>
                <w:color w:val="auto"/>
                <w:sz w:val="21"/>
                <w:szCs w:val="21"/>
              </w:rPr>
              <w:t xml:space="preserve"> </w:t>
            </w:r>
            <w:r>
              <w:rPr>
                <w:rFonts w:hAnsi="宋体" w:cs="Arial"/>
                <w:color w:val="auto"/>
                <w:sz w:val="21"/>
                <w:szCs w:val="21"/>
              </w:rPr>
              <w:t>避免与氧化剂、酸类、碱金属接触。</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生产、储存区域应设置安全警示标志。灌装时应控制流速，且有接地装置，防止静电积聚。配备相应品种和数量的消防器材及泄漏应急处理设备。</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【特殊要求】</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【操作安全】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打开甲醇容器前，应确定工作区通风良好且无火花或引火源存在；避免让释出的蒸气进入工作区的空气中。生产、贮存甲醇的车间要有可靠的防火、防爆措施。一旦发生物品着火，应用干粉灭火器、二氧化碳灭火器、砂土灭火。</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）设备罐内作业时注意以下事项：</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进入设备内作业，必须办理罐内作业许可证。入罐作业前必须严格执行安全隔离、清洗、置换的规定。做到物料不切断不进入；清洗置换不合格不进入；行灯不符合规定不进入；没有监护人员不进入；没有事故抢救后备措施不进入；</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入罐作业前</w:t>
            </w:r>
            <w:r>
              <w:rPr>
                <w:rFonts w:ascii="Arial" w:hAnsi="Arial" w:cs="Arial"/>
                <w:color w:val="auto"/>
                <w:sz w:val="21"/>
                <w:szCs w:val="21"/>
              </w:rPr>
              <w:t>30</w:t>
            </w:r>
            <w:r>
              <w:rPr>
                <w:rFonts w:hAnsi="宋体" w:cs="Arial"/>
                <w:color w:val="auto"/>
                <w:sz w:val="21"/>
                <w:szCs w:val="21"/>
              </w:rPr>
              <w:t>分钟取样分析，易燃易爆、有毒有害物质浓度及氧含量合格方可进入作业。视具体条件加强罐内通风；对通风不良环境，应采取间歇作业；</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在罐内动火作业，除了执行动火规定外，还必须符合罐内作业条件，有毒气体浓度低于国家规定值，严禁向罐内充氧。焊工离开作业罐时不准将焊（割）具留在罐内。</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）生产设备的清洗污水及生产车间内部地坪的冲洗水须收入应急池，经处理合格后才可排放。</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【储存安全】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）储存于阴凉、通风良好的专用库房或储罐内，远离火种、热源。库房温度不宜超过</w:t>
            </w:r>
            <w:r>
              <w:rPr>
                <w:rFonts w:ascii="Arial" w:hAnsi="Arial" w:cs="Arial"/>
                <w:color w:val="auto"/>
                <w:sz w:val="21"/>
                <w:szCs w:val="21"/>
              </w:rPr>
              <w:t>37</w:t>
            </w:r>
            <w:r>
              <w:rPr>
                <w:rFonts w:hAnsi="宋体" w:cs="Arial"/>
                <w:color w:val="auto"/>
                <w:sz w:val="21"/>
                <w:szCs w:val="21"/>
              </w:rPr>
              <w:t>℃，保持容器密封。</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应与氧化剂、酸类、碱金属等分开存放，切忌混储。采用防爆型照明、通风设施。禁止使用易产生火花的机械设备和工具。在甲醇储罐四周设置围堰，围堰的容积等于储罐的容积。储存区应备有泄漏应急处理设备和合适的收容材料。</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）注意防雷、防静电，厂</w:t>
            </w:r>
            <w:r>
              <w:rPr>
                <w:rFonts w:ascii="Arial" w:hAnsi="Arial" w:cs="Arial"/>
                <w:color w:val="auto"/>
                <w:sz w:val="21"/>
                <w:szCs w:val="21"/>
              </w:rPr>
              <w:t>(</w:t>
            </w:r>
            <w:r>
              <w:rPr>
                <w:rFonts w:hAnsi="宋体" w:cs="Arial"/>
                <w:color w:val="auto"/>
                <w:sz w:val="21"/>
                <w:szCs w:val="21"/>
              </w:rPr>
              <w:t>车间</w:t>
            </w:r>
            <w:r>
              <w:rPr>
                <w:rFonts w:ascii="Arial" w:hAnsi="Arial" w:cs="Arial"/>
                <w:color w:val="auto"/>
                <w:sz w:val="21"/>
                <w:szCs w:val="21"/>
              </w:rPr>
              <w:t>)</w:t>
            </w:r>
            <w:r>
              <w:rPr>
                <w:rFonts w:hAnsi="宋体" w:cs="Arial"/>
                <w:color w:val="auto"/>
                <w:sz w:val="21"/>
                <w:szCs w:val="21"/>
              </w:rPr>
              <w:t>内的储罐应按《建筑物防雷设计规范》（</w:t>
            </w:r>
            <w:r>
              <w:rPr>
                <w:rFonts w:ascii="Arial" w:hAnsi="Arial" w:cs="Arial"/>
                <w:color w:val="auto"/>
                <w:sz w:val="21"/>
                <w:szCs w:val="21"/>
              </w:rPr>
              <w:t>GB 50057</w:t>
            </w:r>
            <w:r>
              <w:rPr>
                <w:rFonts w:hAnsi="宋体" w:cs="Arial"/>
                <w:color w:val="auto"/>
                <w:sz w:val="21"/>
                <w:szCs w:val="21"/>
              </w:rPr>
              <w:t>）的规定设置防雷防静电设施。</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【运输安全】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）运输车辆应有危险货物运输标志、安装具有行驶记录功能的卫星定位装置。未经公安机关批准，运输车辆不得进入危险化学品运输车辆限制通行的区域。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）甲醇装于专用的槽车</w:t>
            </w:r>
            <w:r>
              <w:rPr>
                <w:rFonts w:ascii="Arial" w:hAnsi="Arial" w:cs="Arial"/>
                <w:color w:val="auto"/>
                <w:sz w:val="21"/>
                <w:szCs w:val="21"/>
              </w:rPr>
              <w:t>(</w:t>
            </w:r>
            <w:r>
              <w:rPr>
                <w:rFonts w:hAnsi="宋体" w:cs="Arial"/>
                <w:color w:val="auto"/>
                <w:sz w:val="21"/>
                <w:szCs w:val="21"/>
              </w:rPr>
              <w:t>船</w:t>
            </w:r>
            <w:r>
              <w:rPr>
                <w:rFonts w:ascii="Arial" w:hAnsi="Arial" w:cs="Arial"/>
                <w:color w:val="auto"/>
                <w:sz w:val="21"/>
                <w:szCs w:val="21"/>
              </w:rPr>
              <w:t>)</w:t>
            </w:r>
            <w:r>
              <w:rPr>
                <w:rFonts w:hAnsi="宋体" w:cs="Arial"/>
                <w:color w:val="auto"/>
                <w:sz w:val="21"/>
                <w:szCs w:val="21"/>
              </w:rPr>
              <w:t>内运输，槽车</w:t>
            </w:r>
            <w:r>
              <w:rPr>
                <w:rFonts w:ascii="Arial" w:hAnsi="Arial" w:cs="Arial"/>
                <w:color w:val="auto"/>
                <w:sz w:val="21"/>
                <w:szCs w:val="21"/>
              </w:rPr>
              <w:t>(</w:t>
            </w:r>
            <w:r>
              <w:rPr>
                <w:rFonts w:hAnsi="宋体" w:cs="Arial"/>
                <w:color w:val="auto"/>
                <w:sz w:val="21"/>
                <w:szCs w:val="21"/>
              </w:rPr>
              <w:t>船</w:t>
            </w:r>
            <w:r>
              <w:rPr>
                <w:rFonts w:ascii="Arial" w:hAnsi="Arial" w:cs="Arial"/>
                <w:color w:val="auto"/>
                <w:sz w:val="21"/>
                <w:szCs w:val="21"/>
              </w:rPr>
              <w:t>)</w:t>
            </w:r>
            <w:r>
              <w:rPr>
                <w:rFonts w:hAnsi="宋体" w:cs="Arial"/>
                <w:color w:val="auto"/>
                <w:sz w:val="21"/>
                <w:szCs w:val="21"/>
              </w:rPr>
              <w:t>应定期清理；用其他包装容器运输时，容器须用盖密封。严禁与氧化剂、酸类、碱金属等混装混运。运输时运输车辆应配备</w:t>
            </w:r>
            <w:r>
              <w:rPr>
                <w:rFonts w:ascii="Arial" w:hAnsi="Arial" w:cs="Arial"/>
                <w:color w:val="auto"/>
                <w:sz w:val="21"/>
                <w:szCs w:val="21"/>
              </w:rPr>
              <w:t>2</w:t>
            </w:r>
            <w:r>
              <w:rPr>
                <w:rFonts w:hAnsi="宋体" w:cs="Arial"/>
                <w:color w:val="auto"/>
                <w:sz w:val="21"/>
                <w:szCs w:val="21"/>
              </w:rPr>
              <w:t>只以上干粉或二氧化碳灭火器和防爆工具。运输途中应防曝晒、防雨淋、防高温。不准在有明火地点或人多地段停车，高温季节应早晚运输。</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）在使用汽车、手推车运输甲醇容器时，应轻装轻卸。严禁抛、滑、滚、碰。严禁用电磁起重机和链绳吊装搬运。装运时，应妥善固定。</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4</w:t>
            </w:r>
            <w:r>
              <w:rPr>
                <w:rFonts w:hAnsi="宋体" w:cs="Arial"/>
                <w:color w:val="auto"/>
                <w:sz w:val="21"/>
                <w:szCs w:val="21"/>
              </w:rPr>
              <w:t>）甲醇管道输送时，注意以下事项：</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甲醇管道架空敷设时，甲醇管道应敷设在非燃烧体的支架或栈桥上；在已敷设的甲醇管道下面，不得修建与甲醇管道无关的建筑物和堆放易燃物品；</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管道消除静电接地装置和防雷接地线，单独接地。防雷的接地电阻值不大于</w:t>
            </w:r>
            <w:r>
              <w:rPr>
                <w:rFonts w:ascii="Arial" w:hAnsi="Arial" w:cs="Arial"/>
                <w:color w:val="auto"/>
                <w:sz w:val="21"/>
                <w:szCs w:val="21"/>
              </w:rPr>
              <w:t>10Ω</w:t>
            </w:r>
            <w:r>
              <w:rPr>
                <w:rFonts w:hAnsi="宋体" w:cs="Arial"/>
                <w:color w:val="auto"/>
                <w:sz w:val="21"/>
                <w:szCs w:val="21"/>
              </w:rPr>
              <w:t>，防静电的接地电阻值不大于</w:t>
            </w:r>
            <w:r>
              <w:rPr>
                <w:rFonts w:ascii="Arial" w:hAnsi="Arial" w:cs="Arial"/>
                <w:color w:val="auto"/>
                <w:sz w:val="21"/>
                <w:szCs w:val="21"/>
              </w:rPr>
              <w:t>100Ω</w:t>
            </w:r>
            <w:r>
              <w:rPr>
                <w:rFonts w:hAnsi="宋体" w:cs="Arial"/>
                <w:color w:val="auto"/>
                <w:sz w:val="21"/>
                <w:szCs w:val="21"/>
              </w:rPr>
              <w:t>；</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甲醇管道不应靠近热源敷设；</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管道采用地上敷设时，应在人员活动较多和易遭车辆、外来物撞击的地段，采取保护措施并设置明显的警示标志；</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甲醇管道外壁颜色、标志应执行《工业管道的基本识别色、识别符号和安全标识》（</w:t>
            </w:r>
            <w:r>
              <w:rPr>
                <w:rFonts w:ascii="Arial" w:hAnsi="Arial" w:cs="Arial"/>
                <w:color w:val="auto"/>
                <w:sz w:val="21"/>
                <w:szCs w:val="21"/>
              </w:rPr>
              <w:t>GB 7231</w:t>
            </w:r>
            <w:r>
              <w:rPr>
                <w:rFonts w:hAnsi="宋体" w:cs="Arial"/>
                <w:color w:val="auto"/>
                <w:sz w:val="21"/>
                <w:szCs w:val="21"/>
              </w:rPr>
              <w:t>）的规定；</w:t>
            </w:r>
            <w:r>
              <w:rPr>
                <w:rFonts w:ascii="Arial" w:hAnsi="Arial" w:cs="Arial"/>
                <w:color w:val="auto"/>
                <w:sz w:val="21"/>
                <w:szCs w:val="21"/>
              </w:rPr>
              <w:t xml:space="preserve"> </w:t>
            </w:r>
          </w:p>
          <w:p>
            <w:pPr>
              <w:pStyle w:val="86"/>
              <w:rPr>
                <w:rFonts w:ascii="Arial" w:hAnsi="Arial" w:cs="Arial"/>
                <w:color w:val="auto"/>
                <w:sz w:val="21"/>
                <w:szCs w:val="21"/>
              </w:rPr>
            </w:pPr>
            <w:r>
              <w:rPr>
                <w:rFonts w:ascii="Arial" w:hAnsi="Arial" w:cs="Arial"/>
                <w:color w:val="auto"/>
                <w:sz w:val="21"/>
                <w:szCs w:val="21"/>
              </w:rPr>
              <w:t>——</w:t>
            </w:r>
            <w:r>
              <w:rPr>
                <w:rFonts w:hAnsi="宋体" w:cs="Arial"/>
                <w:color w:val="auto"/>
                <w:sz w:val="21"/>
                <w:szCs w:val="21"/>
              </w:rPr>
              <w:t>室内管道不应敷设在地沟中或直接埋地，室外地沟敷设的管道，应有防止泄漏、积聚或窜入其他沟道的措施。</w:t>
            </w:r>
            <w:r>
              <w:rPr>
                <w:rFonts w:ascii="Arial" w:hAnsi="Arial" w:cs="Arial"/>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jc w:val="center"/>
              <w:rPr>
                <w:rFonts w:ascii="Arial" w:hAnsi="Arial" w:cs="Arial"/>
                <w:color w:val="auto"/>
                <w:sz w:val="21"/>
                <w:szCs w:val="21"/>
              </w:rPr>
            </w:pPr>
            <w:r>
              <w:rPr>
                <w:rFonts w:hAnsi="宋体" w:cs="Arial"/>
                <w:color w:val="auto"/>
                <w:sz w:val="21"/>
                <w:szCs w:val="21"/>
              </w:rPr>
              <w:t>应急处置原则</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【急救措施】</w:t>
            </w:r>
            <w:r>
              <w:rPr>
                <w:rFonts w:ascii="Arial" w:hAnsi="Arial" w:cs="Arial"/>
                <w:color w:val="auto"/>
                <w:sz w:val="21"/>
                <w:szCs w:val="21"/>
              </w:rPr>
              <w:t xml:space="preserve"> </w:t>
            </w:r>
            <w:r>
              <w:rPr>
                <w:rFonts w:hAnsi="宋体" w:cs="Arial"/>
                <w:color w:val="auto"/>
                <w:sz w:val="21"/>
                <w:szCs w:val="21"/>
              </w:rPr>
              <w:t>吸入：迅速脱离现场至空气新鲜处。保持呼吸道通畅。如呼吸困难，给氧。如呼吸停止，立即进行人工呼吸。就医。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食入：饮足量温水，催吐。用清水或</w:t>
            </w:r>
            <w:r>
              <w:rPr>
                <w:rFonts w:ascii="Arial" w:hAnsi="Arial" w:cs="Arial"/>
                <w:color w:val="auto"/>
                <w:sz w:val="21"/>
                <w:szCs w:val="21"/>
              </w:rPr>
              <w:t xml:space="preserve"> 1</w:t>
            </w:r>
            <w:r>
              <w:rPr>
                <w:rFonts w:hAnsi="宋体" w:cs="Arial"/>
                <w:color w:val="auto"/>
                <w:sz w:val="21"/>
                <w:szCs w:val="21"/>
              </w:rPr>
              <w:t>％硫代硫酸钠溶液洗胃。就医。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皮肤接触：脱去污染的衣着，用肥皂水和清水彻底冲洗皮肤。</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眼睛接触：提起眼睑，用流动清水或生理盐水冲洗。就医。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【灭火方法】</w:t>
            </w:r>
            <w:r>
              <w:rPr>
                <w:rFonts w:ascii="Arial" w:hAnsi="Arial" w:cs="Arial"/>
                <w:color w:val="auto"/>
                <w:sz w:val="21"/>
                <w:szCs w:val="21"/>
              </w:rPr>
              <w:t xml:space="preserve"> </w:t>
            </w:r>
            <w:r>
              <w:rPr>
                <w:rFonts w:hAnsi="宋体" w:cs="Arial"/>
                <w:color w:val="auto"/>
                <w:sz w:val="21"/>
                <w:szCs w:val="21"/>
              </w:rPr>
              <w:t>尽可能将容器从火场移至空旷处。喷水保持火场容器冷却，直至灭火结束。处在火场中的容器若已变色或从安全泄压装置中产生声音，必须马上撤离。</w:t>
            </w:r>
            <w:r>
              <w:rPr>
                <w:rFonts w:ascii="Arial" w:hAnsi="Arial" w:cs="Arial"/>
                <w:color w:val="auto"/>
                <w:sz w:val="21"/>
                <w:szCs w:val="21"/>
              </w:rPr>
              <w:t xml:space="preserve"> </w:t>
            </w:r>
            <w:r>
              <w:rPr>
                <w:rFonts w:hAnsi="宋体" w:cs="Arial"/>
                <w:color w:val="auto"/>
                <w:sz w:val="21"/>
                <w:szCs w:val="21"/>
              </w:rPr>
              <w:t>灭火剂：抗溶性泡沫、干粉、二氧化碳、砂土。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【泄漏应急处置】</w:t>
            </w:r>
            <w:r>
              <w:rPr>
                <w:rFonts w:ascii="Arial" w:hAnsi="Arial" w:cs="Arial"/>
                <w:color w:val="auto"/>
                <w:sz w:val="21"/>
                <w:szCs w:val="21"/>
              </w:rPr>
              <w:t xml:space="preserve"> </w:t>
            </w:r>
            <w:r>
              <w:rPr>
                <w:rFonts w:hAnsi="宋体" w:cs="Arial"/>
                <w:color w:val="auto"/>
                <w:sz w:val="21"/>
                <w:szCs w:val="21"/>
              </w:rPr>
              <w:t>消除所有点火源。根据液体流动和蒸气扩散的影响区域划定警戒区，无关人员从侧风、上风向撤离至安全区。建议应急处理人员戴正压自给式空气呼吸器，穿防毒、防静电服。作业时使用的所有设备应接地。禁止接触或跨越泄漏物。尽可能切断泄漏源。防止泄漏物进入水体、下水道、地下室或密闭性空间。小量泄漏：用砂土或其它不燃材料吸收。使用洁净的无火花工具收集吸收材料。大量泄漏：构筑围堤或挖坑收容。用抗溶性泡沫覆盖，减少蒸发。喷水雾能减少蒸发，但不能降低泄漏物在受限制空间内的易燃性。用防爆泵转移至槽车或专用收集器内。喷雾状水驱散蒸气、稀释液体泄漏物。</w:t>
            </w:r>
            <w:r>
              <w:rPr>
                <w:rFonts w:ascii="Arial" w:hAnsi="Arial" w:cs="Arial"/>
                <w:color w:val="auto"/>
                <w:sz w:val="21"/>
                <w:szCs w:val="21"/>
              </w:rPr>
              <w:t xml:space="preserve"> </w:t>
            </w:r>
            <w:r>
              <w:rPr>
                <w:rFonts w:hAnsi="宋体" w:cs="Arial"/>
                <w:color w:val="auto"/>
                <w:sz w:val="21"/>
                <w:szCs w:val="21"/>
              </w:rPr>
              <w:t>作为一项紧急预防措施，泄漏隔离</w:t>
            </w:r>
            <w:r>
              <w:rPr>
                <w:rFonts w:hAnsi="宋体" w:cs="Arial"/>
                <w:color w:val="auto"/>
                <w:spacing w:val="-6"/>
                <w:sz w:val="21"/>
                <w:szCs w:val="21"/>
              </w:rPr>
              <w:t>距离至少为</w:t>
            </w:r>
            <w:r>
              <w:rPr>
                <w:rFonts w:ascii="Arial" w:hAnsi="Arial" w:cs="Arial"/>
                <w:color w:val="auto"/>
                <w:spacing w:val="-6"/>
                <w:sz w:val="21"/>
                <w:szCs w:val="21"/>
              </w:rPr>
              <w:t>50m</w:t>
            </w:r>
            <w:r>
              <w:rPr>
                <w:rFonts w:hAnsi="宋体" w:cs="Arial"/>
                <w:color w:val="auto"/>
                <w:spacing w:val="-6"/>
                <w:sz w:val="21"/>
                <w:szCs w:val="21"/>
              </w:rPr>
              <w:t>。如果为大量泄漏，在初始隔离距离的基础上加大下风向的疏散距离。</w:t>
            </w:r>
            <w:r>
              <w:rPr>
                <w:rFonts w:ascii="Arial" w:hAnsi="Arial" w:cs="Arial"/>
                <w:color w:val="auto"/>
                <w:spacing w:val="-6"/>
                <w:sz w:val="21"/>
                <w:szCs w:val="21"/>
              </w:rPr>
              <w:t xml:space="preserve"> </w:t>
            </w:r>
          </w:p>
        </w:tc>
      </w:tr>
    </w:tbl>
    <w:p>
      <w:pPr>
        <w:ind w:firstLine="560" w:firstLineChars="200"/>
        <w:rPr>
          <w:color w:val="auto"/>
          <w:sz w:val="28"/>
          <w:szCs w:val="28"/>
        </w:rPr>
      </w:pPr>
      <w:r>
        <w:rPr>
          <w:color w:val="auto"/>
          <w:sz w:val="28"/>
          <w:szCs w:val="28"/>
        </w:rPr>
        <w:t>3</w:t>
      </w:r>
      <w:r>
        <w:rPr>
          <w:rFonts w:hint="eastAsia"/>
          <w:color w:val="auto"/>
          <w:sz w:val="28"/>
          <w:szCs w:val="28"/>
        </w:rPr>
        <w:t>）乙酸乙酯</w:t>
      </w:r>
    </w:p>
    <w:tbl>
      <w:tblPr>
        <w:tblStyle w:val="31"/>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7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pPr>
              <w:pStyle w:val="75"/>
              <w:widowControl w:val="0"/>
              <w:spacing w:before="0" w:beforeAutospacing="0" w:after="0" w:afterAutospacing="0" w:line="360" w:lineRule="exact"/>
              <w:jc w:val="center"/>
              <w:rPr>
                <w:b/>
                <w:color w:val="auto"/>
              </w:rPr>
            </w:pPr>
            <w:r>
              <w:rPr>
                <w:rFonts w:hint="eastAsia"/>
                <w:b/>
                <w:color w:val="auto"/>
              </w:rPr>
              <w:t>安</w:t>
            </w:r>
          </w:p>
          <w:p>
            <w:pPr>
              <w:pStyle w:val="75"/>
              <w:widowControl w:val="0"/>
              <w:spacing w:before="0" w:beforeAutospacing="0" w:after="0" w:afterAutospacing="0" w:line="360" w:lineRule="exact"/>
              <w:jc w:val="center"/>
              <w:rPr>
                <w:b/>
                <w:color w:val="auto"/>
              </w:rPr>
            </w:pPr>
            <w:r>
              <w:rPr>
                <w:rFonts w:hint="eastAsia"/>
                <w:b/>
                <w:color w:val="auto"/>
              </w:rPr>
              <w:t>全</w:t>
            </w:r>
          </w:p>
          <w:p>
            <w:pPr>
              <w:pStyle w:val="75"/>
              <w:widowControl w:val="0"/>
              <w:spacing w:before="0" w:beforeAutospacing="0" w:after="0" w:afterAutospacing="0" w:line="360" w:lineRule="exact"/>
              <w:jc w:val="center"/>
              <w:rPr>
                <w:b/>
                <w:color w:val="auto"/>
              </w:rPr>
            </w:pPr>
            <w:r>
              <w:rPr>
                <w:rFonts w:hint="eastAsia"/>
                <w:b/>
                <w:color w:val="auto"/>
              </w:rPr>
              <w:t>措</w:t>
            </w:r>
          </w:p>
          <w:p>
            <w:pPr>
              <w:pStyle w:val="75"/>
              <w:widowControl w:val="0"/>
              <w:spacing w:before="0" w:beforeAutospacing="0" w:after="0" w:afterAutospacing="0" w:line="360" w:lineRule="exact"/>
              <w:jc w:val="center"/>
              <w:rPr>
                <w:color w:val="auto"/>
              </w:rPr>
            </w:pPr>
            <w:r>
              <w:rPr>
                <w:rFonts w:hint="eastAsia"/>
                <w:b/>
                <w:color w:val="auto"/>
              </w:rPr>
              <w:t>施</w:t>
            </w:r>
          </w:p>
        </w:tc>
        <w:tc>
          <w:tcPr>
            <w:tcW w:w="7796" w:type="dxa"/>
            <w:tcBorders>
              <w:top w:val="single" w:color="auto" w:sz="4" w:space="0"/>
              <w:left w:val="single" w:color="auto" w:sz="4" w:space="0"/>
              <w:bottom w:val="single" w:color="auto" w:sz="4" w:space="0"/>
              <w:right w:val="single" w:color="auto" w:sz="4" w:space="0"/>
            </w:tcBorders>
          </w:tcPr>
          <w:p>
            <w:pPr>
              <w:spacing w:line="258" w:lineRule="exact"/>
              <w:rPr>
                <w:rFonts w:ascii="宋体" w:hAnsi="宋体"/>
                <w:b/>
                <w:color w:val="auto"/>
                <w:kern w:val="0"/>
              </w:rPr>
            </w:pPr>
            <w:r>
              <w:rPr>
                <w:rFonts w:hint="eastAsia" w:ascii="宋体" w:hAnsi="宋体"/>
                <w:color w:val="auto"/>
                <w:kern w:val="0"/>
              </w:rPr>
              <w:t>【一般要求】</w:t>
            </w:r>
          </w:p>
          <w:p>
            <w:pPr>
              <w:widowControl/>
              <w:spacing w:line="258" w:lineRule="exact"/>
              <w:ind w:firstLine="420" w:firstLineChars="200"/>
              <w:jc w:val="left"/>
              <w:rPr>
                <w:rStyle w:val="63"/>
                <w:rFonts w:ascii="宋体" w:hAnsi="宋体"/>
                <w:color w:val="auto"/>
              </w:rPr>
            </w:pPr>
            <w:r>
              <w:rPr>
                <w:rStyle w:val="63"/>
                <w:rFonts w:ascii="宋体" w:hAnsi="宋体"/>
                <w:color w:val="auto"/>
              </w:rPr>
              <w:t>操作人员必须经过专门培训，应具有防火、防爆、防静电事故和预防职业病的知识和操作能力，严格遵守操作规程。</w:t>
            </w:r>
          </w:p>
          <w:p>
            <w:pPr>
              <w:widowControl/>
              <w:spacing w:line="258" w:lineRule="exact"/>
              <w:ind w:firstLine="315" w:firstLineChars="150"/>
              <w:jc w:val="left"/>
              <w:rPr>
                <w:rStyle w:val="63"/>
                <w:rFonts w:ascii="宋体" w:hAnsi="宋体"/>
                <w:color w:val="auto"/>
              </w:rPr>
            </w:pPr>
            <w:r>
              <w:rPr>
                <w:rStyle w:val="63"/>
                <w:rFonts w:ascii="宋体" w:hAnsi="宋体"/>
                <w:color w:val="auto"/>
              </w:rPr>
              <w:t>生产过程密闭，全面通风。防止乙酸乙酯蒸气泄漏到工作场所空气中；在有乙酸乙酯存在或使用乙酸乙酯的场所，设置可燃气体检测报警仪，并与应急通风联锁。禁止接触高温和明火。可能接触其蒸气时，应佩戴自吸过滤式防毒面具，穿防静电工作服。戴乳胶手套。工作现场禁止吸烟。工作毕，沐浴更衣。注意个人清洁卫生。紧急事态抢救或撤离时，应佩戴正压自给式空气呼吸器。戴化学安全防护眼镜。提供安全淋浴和洗眼设备。</w:t>
            </w:r>
          </w:p>
          <w:p>
            <w:pPr>
              <w:widowControl/>
              <w:spacing w:line="258" w:lineRule="exact"/>
              <w:ind w:firstLine="315" w:firstLineChars="150"/>
              <w:jc w:val="left"/>
              <w:rPr>
                <w:rStyle w:val="63"/>
                <w:rFonts w:ascii="宋体" w:hAnsi="宋体"/>
                <w:color w:val="auto"/>
              </w:rPr>
            </w:pPr>
            <w:r>
              <w:rPr>
                <w:rStyle w:val="63"/>
                <w:rFonts w:ascii="宋体" w:hAnsi="宋体"/>
                <w:color w:val="auto"/>
              </w:rPr>
              <w:t>储罐等容器和设备应设置液位计、温度计，并应装有带液位、温度远传记录和报警功能的安全装置。</w:t>
            </w:r>
          </w:p>
          <w:p>
            <w:pPr>
              <w:widowControl/>
              <w:spacing w:line="258" w:lineRule="exact"/>
              <w:ind w:firstLine="420" w:firstLineChars="200"/>
              <w:jc w:val="left"/>
              <w:rPr>
                <w:rStyle w:val="63"/>
                <w:rFonts w:ascii="宋体" w:hAnsi="宋体"/>
                <w:color w:val="auto"/>
              </w:rPr>
            </w:pPr>
            <w:r>
              <w:rPr>
                <w:rStyle w:val="63"/>
                <w:rFonts w:ascii="宋体" w:hAnsi="宋体"/>
                <w:color w:val="auto"/>
              </w:rPr>
              <w:t>避免与强氧化剂、酸类、碱类接触。</w:t>
            </w:r>
          </w:p>
          <w:p>
            <w:pPr>
              <w:widowControl/>
              <w:spacing w:line="258" w:lineRule="exact"/>
              <w:ind w:firstLine="420" w:firstLineChars="200"/>
              <w:jc w:val="left"/>
              <w:rPr>
                <w:rStyle w:val="63"/>
                <w:rFonts w:ascii="宋体" w:hAnsi="宋体"/>
                <w:color w:val="auto"/>
              </w:rPr>
            </w:pPr>
            <w:r>
              <w:rPr>
                <w:rStyle w:val="63"/>
                <w:rFonts w:ascii="宋体" w:hAnsi="宋体"/>
                <w:color w:val="auto"/>
              </w:rPr>
              <w:t>生产、储存区域应设置安全警示标志。禁止使用易产生火花的机械设备和工具装卸。进入作业场所时，应去除身体携带的静电。</w:t>
            </w:r>
          </w:p>
          <w:p>
            <w:pPr>
              <w:spacing w:line="258" w:lineRule="exact"/>
              <w:rPr>
                <w:rFonts w:ascii="宋体" w:hAnsi="宋体"/>
                <w:b/>
                <w:color w:val="auto"/>
                <w:kern w:val="0"/>
              </w:rPr>
            </w:pPr>
            <w:r>
              <w:rPr>
                <w:rFonts w:hint="eastAsia" w:ascii="宋体" w:hAnsi="宋体"/>
                <w:color w:val="auto"/>
                <w:kern w:val="0"/>
              </w:rPr>
              <w:t>【特殊要求】</w:t>
            </w:r>
          </w:p>
          <w:p>
            <w:pPr>
              <w:spacing w:line="258" w:lineRule="exact"/>
              <w:ind w:firstLine="420" w:firstLineChars="200"/>
              <w:rPr>
                <w:rFonts w:ascii="宋体" w:hAnsi="宋体"/>
                <w:b/>
                <w:color w:val="auto"/>
                <w:kern w:val="0"/>
              </w:rPr>
            </w:pPr>
            <w:r>
              <w:rPr>
                <w:rFonts w:hint="eastAsia" w:ascii="宋体" w:hAnsi="宋体"/>
                <w:color w:val="auto"/>
                <w:kern w:val="0"/>
              </w:rPr>
              <w:t>【操作安全】</w:t>
            </w:r>
          </w:p>
          <w:p>
            <w:pPr>
              <w:widowControl/>
              <w:spacing w:line="258" w:lineRule="exact"/>
              <w:ind w:firstLine="320"/>
              <w:jc w:val="left"/>
              <w:rPr>
                <w:rStyle w:val="63"/>
                <w:rFonts w:ascii="宋体" w:hAnsi="宋体"/>
                <w:color w:val="auto"/>
              </w:rPr>
            </w:pPr>
            <w:r>
              <w:rPr>
                <w:rStyle w:val="63"/>
                <w:rFonts w:ascii="宋体" w:hAnsi="宋体"/>
                <w:color w:val="auto"/>
              </w:rPr>
              <w:t>（1）乙酸乙酯挥发性极强，在大量存在乙酸乙酯的区域或使用乙酸乙酯作业的人员，应配备便携式可燃气体检测报警仪。</w:t>
            </w:r>
          </w:p>
          <w:p>
            <w:pPr>
              <w:widowControl/>
              <w:spacing w:line="258" w:lineRule="exact"/>
              <w:ind w:firstLine="320"/>
              <w:jc w:val="left"/>
              <w:rPr>
                <w:rStyle w:val="63"/>
                <w:rFonts w:ascii="宋体" w:hAnsi="宋体"/>
                <w:color w:val="auto"/>
              </w:rPr>
            </w:pPr>
            <w:r>
              <w:rPr>
                <w:rStyle w:val="63"/>
                <w:rFonts w:ascii="宋体" w:hAnsi="宋体"/>
                <w:color w:val="auto"/>
              </w:rPr>
              <w:t>（2）灌装时控制管道内流速小于3m/s，且有良好接地装置，防止静电积聚。</w:t>
            </w:r>
          </w:p>
          <w:p>
            <w:pPr>
              <w:widowControl/>
              <w:spacing w:line="258" w:lineRule="exact"/>
              <w:ind w:firstLine="320"/>
              <w:jc w:val="left"/>
              <w:rPr>
                <w:rStyle w:val="63"/>
                <w:rFonts w:ascii="宋体" w:hAnsi="宋体"/>
                <w:color w:val="auto"/>
              </w:rPr>
            </w:pPr>
            <w:r>
              <w:rPr>
                <w:rStyle w:val="63"/>
                <w:rFonts w:ascii="宋体" w:hAnsi="宋体"/>
                <w:color w:val="auto"/>
              </w:rPr>
              <w:t>（3）避免将容器置于调温环境中，以免发生泄漏和爆炸。</w:t>
            </w:r>
          </w:p>
          <w:p>
            <w:pPr>
              <w:widowControl/>
              <w:spacing w:line="258" w:lineRule="exact"/>
              <w:ind w:firstLine="320"/>
              <w:jc w:val="left"/>
              <w:rPr>
                <w:rStyle w:val="63"/>
                <w:rFonts w:ascii="宋体" w:hAnsi="宋体"/>
                <w:color w:val="auto"/>
              </w:rPr>
            </w:pPr>
            <w:r>
              <w:rPr>
                <w:rStyle w:val="63"/>
                <w:rFonts w:ascii="宋体" w:hAnsi="宋体"/>
                <w:color w:val="auto"/>
              </w:rPr>
              <w:t>（4）生产装置中宜采用微负压操作，以免蒸气泄漏。</w:t>
            </w:r>
          </w:p>
          <w:p>
            <w:pPr>
              <w:spacing w:line="258" w:lineRule="exact"/>
              <w:ind w:firstLine="315" w:firstLineChars="150"/>
              <w:rPr>
                <w:rFonts w:ascii="宋体" w:hAnsi="宋体"/>
                <w:b/>
                <w:color w:val="auto"/>
                <w:kern w:val="0"/>
              </w:rPr>
            </w:pPr>
            <w:r>
              <w:rPr>
                <w:rFonts w:hint="eastAsia" w:ascii="宋体" w:hAnsi="宋体"/>
                <w:color w:val="auto"/>
                <w:kern w:val="0"/>
              </w:rPr>
              <w:t>【储存安全】</w:t>
            </w:r>
          </w:p>
          <w:p>
            <w:pPr>
              <w:widowControl/>
              <w:spacing w:line="258" w:lineRule="exact"/>
              <w:ind w:firstLine="320"/>
              <w:jc w:val="left"/>
              <w:rPr>
                <w:rStyle w:val="63"/>
                <w:rFonts w:ascii="宋体" w:hAnsi="宋体"/>
                <w:color w:val="auto"/>
              </w:rPr>
            </w:pPr>
            <w:r>
              <w:rPr>
                <w:rStyle w:val="63"/>
                <w:rFonts w:ascii="宋体" w:hAnsi="宋体"/>
                <w:color w:val="auto"/>
              </w:rPr>
              <w:t>（1）储存于阴凉，通风的库房。远离火种，热源。库房内温度不宜超过30℃。保持容器密封。</w:t>
            </w:r>
          </w:p>
          <w:p>
            <w:pPr>
              <w:widowControl/>
              <w:spacing w:line="258" w:lineRule="exact"/>
              <w:ind w:firstLine="320"/>
              <w:jc w:val="left"/>
              <w:rPr>
                <w:rStyle w:val="63"/>
                <w:rFonts w:ascii="宋体" w:hAnsi="宋体"/>
                <w:color w:val="auto"/>
              </w:rPr>
            </w:pPr>
            <w:r>
              <w:rPr>
                <w:rStyle w:val="63"/>
                <w:rFonts w:ascii="宋体" w:hAnsi="宋体"/>
                <w:color w:val="auto"/>
              </w:rPr>
              <w:t>（2）应与氧化剂、酸类、碱类、食用化学品分开存放，切忌混储。库房内的照明、通风等设施应采用防爆型，开关设在室外。配备相应品种和数量的消防器材。禁止使用易产生火花的机械设备和工具。定期检查是否有泄漏现象。储存区应备有泄漏应急处理设备和合适的收容材料。</w:t>
            </w:r>
          </w:p>
          <w:p>
            <w:pPr>
              <w:spacing w:line="258" w:lineRule="exact"/>
              <w:ind w:firstLine="315" w:firstLineChars="150"/>
              <w:rPr>
                <w:rFonts w:ascii="宋体" w:hAnsi="宋体"/>
                <w:b/>
                <w:color w:val="auto"/>
                <w:kern w:val="0"/>
              </w:rPr>
            </w:pPr>
            <w:r>
              <w:rPr>
                <w:rFonts w:hint="eastAsia" w:ascii="宋体" w:hAnsi="宋体"/>
                <w:color w:val="auto"/>
                <w:kern w:val="0"/>
              </w:rPr>
              <w:t>【运输安全】</w:t>
            </w:r>
          </w:p>
          <w:p>
            <w:pPr>
              <w:widowControl/>
              <w:spacing w:line="258" w:lineRule="exact"/>
              <w:ind w:firstLine="320"/>
              <w:jc w:val="left"/>
              <w:rPr>
                <w:rStyle w:val="63"/>
                <w:rFonts w:ascii="宋体" w:hAnsi="宋体"/>
                <w:color w:val="auto"/>
              </w:rPr>
            </w:pPr>
            <w:r>
              <w:rPr>
                <w:rStyle w:val="63"/>
                <w:rFonts w:ascii="宋体" w:hAnsi="宋体"/>
                <w:color w:val="auto"/>
              </w:rPr>
              <w:t>（1）运输车辆应有危险货物运输标志、安装具有行驶记录功能的卫星定位装置。未经公安机关批准，运输车辆不得进入危险化学品运输车辆限制通行的区域。</w:t>
            </w:r>
          </w:p>
          <w:p>
            <w:pPr>
              <w:widowControl/>
              <w:spacing w:line="258" w:lineRule="exact"/>
              <w:ind w:firstLine="320"/>
              <w:jc w:val="left"/>
              <w:rPr>
                <w:rFonts w:ascii="宋体" w:hAnsi="宋体"/>
                <w:color w:val="auto"/>
              </w:rPr>
            </w:pPr>
            <w:r>
              <w:rPr>
                <w:rStyle w:val="63"/>
                <w:rFonts w:ascii="宋体" w:hAnsi="宋体"/>
                <w:color w:val="auto"/>
              </w:rPr>
              <w:t>（2）运输时所用的槽（罐）车应有接地链，槽内可设孔隔板以减少震荡产生静电。运输车辆应配备相应品种和数量的消防器材及泄漏应急处理设备。装运该物品的车辆排气管必须配备阻火装置，禁止使用易产生火花的机械设备和工具装卸。严禁与氧化剂、酸类、碱类、食用化学品等混装混运。运输途中应防爆晒、雨淋，防高温。中途停留时应远离火种、热源、高温区，勿在居民区和人口稠密区停留。高温季节最好早晚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pPr>
              <w:pStyle w:val="75"/>
              <w:widowControl w:val="0"/>
              <w:spacing w:before="0" w:beforeAutospacing="0" w:after="0" w:afterAutospacing="0" w:line="360" w:lineRule="exact"/>
              <w:jc w:val="center"/>
              <w:rPr>
                <w:b/>
                <w:color w:val="auto"/>
              </w:rPr>
            </w:pPr>
            <w:r>
              <w:rPr>
                <w:rFonts w:hint="eastAsia"/>
                <w:b/>
                <w:color w:val="auto"/>
              </w:rPr>
              <w:t>应</w:t>
            </w:r>
          </w:p>
          <w:p>
            <w:pPr>
              <w:pStyle w:val="75"/>
              <w:widowControl w:val="0"/>
              <w:spacing w:before="0" w:beforeAutospacing="0" w:after="0" w:afterAutospacing="0" w:line="360" w:lineRule="exact"/>
              <w:jc w:val="center"/>
              <w:rPr>
                <w:b/>
                <w:color w:val="auto"/>
              </w:rPr>
            </w:pPr>
            <w:r>
              <w:rPr>
                <w:rFonts w:hint="eastAsia"/>
                <w:b/>
                <w:color w:val="auto"/>
              </w:rPr>
              <w:t>急</w:t>
            </w:r>
          </w:p>
          <w:p>
            <w:pPr>
              <w:pStyle w:val="75"/>
              <w:widowControl w:val="0"/>
              <w:spacing w:before="0" w:beforeAutospacing="0" w:after="0" w:afterAutospacing="0" w:line="360" w:lineRule="exact"/>
              <w:jc w:val="center"/>
              <w:rPr>
                <w:b/>
                <w:color w:val="auto"/>
              </w:rPr>
            </w:pPr>
            <w:r>
              <w:rPr>
                <w:rFonts w:hint="eastAsia"/>
                <w:b/>
                <w:color w:val="auto"/>
              </w:rPr>
              <w:t>处</w:t>
            </w:r>
          </w:p>
          <w:p>
            <w:pPr>
              <w:pStyle w:val="75"/>
              <w:widowControl w:val="0"/>
              <w:spacing w:before="0" w:beforeAutospacing="0" w:after="0" w:afterAutospacing="0" w:line="360" w:lineRule="exact"/>
              <w:jc w:val="center"/>
              <w:rPr>
                <w:b/>
                <w:color w:val="auto"/>
              </w:rPr>
            </w:pPr>
            <w:r>
              <w:rPr>
                <w:rFonts w:hint="eastAsia"/>
                <w:b/>
                <w:color w:val="auto"/>
              </w:rPr>
              <w:t>置</w:t>
            </w:r>
          </w:p>
          <w:p>
            <w:pPr>
              <w:pStyle w:val="75"/>
              <w:widowControl w:val="0"/>
              <w:spacing w:before="0" w:beforeAutospacing="0" w:after="0" w:afterAutospacing="0" w:line="360" w:lineRule="exact"/>
              <w:jc w:val="center"/>
              <w:rPr>
                <w:b/>
                <w:color w:val="auto"/>
              </w:rPr>
            </w:pPr>
            <w:r>
              <w:rPr>
                <w:rFonts w:hint="eastAsia"/>
                <w:b/>
                <w:color w:val="auto"/>
              </w:rPr>
              <w:t>原</w:t>
            </w:r>
          </w:p>
          <w:p>
            <w:pPr>
              <w:pStyle w:val="75"/>
              <w:widowControl w:val="0"/>
              <w:spacing w:before="0" w:beforeAutospacing="0" w:after="0" w:afterAutospacing="0" w:line="360" w:lineRule="exact"/>
              <w:jc w:val="center"/>
              <w:rPr>
                <w:color w:val="auto"/>
              </w:rPr>
            </w:pPr>
            <w:r>
              <w:rPr>
                <w:rFonts w:hint="eastAsia"/>
                <w:b/>
                <w:color w:val="auto"/>
              </w:rPr>
              <w:t>则</w:t>
            </w:r>
          </w:p>
        </w:tc>
        <w:tc>
          <w:tcPr>
            <w:tcW w:w="7796" w:type="dxa"/>
            <w:tcBorders>
              <w:top w:val="single" w:color="auto" w:sz="4" w:space="0"/>
              <w:left w:val="single" w:color="auto" w:sz="4" w:space="0"/>
              <w:bottom w:val="single" w:color="auto" w:sz="4" w:space="0"/>
              <w:right w:val="single" w:color="auto" w:sz="4" w:space="0"/>
            </w:tcBorders>
          </w:tcPr>
          <w:p>
            <w:pPr>
              <w:spacing w:line="258" w:lineRule="exact"/>
              <w:rPr>
                <w:rFonts w:ascii="宋体" w:hAnsi="宋体"/>
                <w:b/>
                <w:color w:val="auto"/>
                <w:kern w:val="0"/>
              </w:rPr>
            </w:pPr>
            <w:r>
              <w:rPr>
                <w:rFonts w:hint="eastAsia" w:ascii="宋体" w:hAnsi="宋体"/>
                <w:color w:val="auto"/>
                <w:kern w:val="0"/>
              </w:rPr>
              <w:t>【急救措施】</w:t>
            </w:r>
          </w:p>
          <w:p>
            <w:pPr>
              <w:spacing w:line="258" w:lineRule="exact"/>
              <w:ind w:firstLine="420" w:firstLineChars="200"/>
              <w:rPr>
                <w:rFonts w:ascii="宋体" w:hAnsi="宋体"/>
                <w:color w:val="auto"/>
              </w:rPr>
            </w:pPr>
            <w:r>
              <w:rPr>
                <w:rFonts w:hint="eastAsia" w:ascii="宋体" w:hAnsi="宋体"/>
                <w:color w:val="auto"/>
              </w:rPr>
              <w:t>吸入：将患者移到空气新鲜处。保持呼吸道通畅，如果呼吸困难，给氧。若呼吸、心跳停止、给予心肺复苏。就医。</w:t>
            </w:r>
          </w:p>
          <w:p>
            <w:pPr>
              <w:spacing w:line="258" w:lineRule="exact"/>
              <w:ind w:firstLine="420" w:firstLineChars="200"/>
              <w:rPr>
                <w:rFonts w:ascii="宋体" w:hAnsi="宋体"/>
                <w:color w:val="auto"/>
              </w:rPr>
            </w:pPr>
            <w:r>
              <w:rPr>
                <w:rFonts w:hint="eastAsia" w:ascii="宋体" w:hAnsi="宋体"/>
                <w:color w:val="auto"/>
              </w:rPr>
              <w:t>食入：饮足量温水，催吐。尽快就医。</w:t>
            </w:r>
          </w:p>
          <w:p>
            <w:pPr>
              <w:spacing w:line="258" w:lineRule="exact"/>
              <w:ind w:firstLine="420" w:firstLineChars="200"/>
              <w:rPr>
                <w:rFonts w:ascii="宋体" w:hAnsi="宋体"/>
                <w:color w:val="auto"/>
              </w:rPr>
            </w:pPr>
            <w:r>
              <w:rPr>
                <w:rFonts w:hint="eastAsia" w:ascii="宋体" w:hAnsi="宋体"/>
                <w:color w:val="auto"/>
              </w:rPr>
              <w:t>皮肤接触：脱去污染的衣着，用肥皂水和清水彻底冲洗皮肤至少15分钟。如有不适感，就医。</w:t>
            </w:r>
          </w:p>
          <w:p>
            <w:pPr>
              <w:spacing w:line="258" w:lineRule="exact"/>
              <w:ind w:firstLine="420" w:firstLineChars="200"/>
              <w:rPr>
                <w:rFonts w:ascii="宋体" w:hAnsi="宋体"/>
                <w:color w:val="auto"/>
              </w:rPr>
            </w:pPr>
            <w:r>
              <w:rPr>
                <w:rFonts w:hint="eastAsia" w:ascii="宋体" w:hAnsi="宋体"/>
                <w:color w:val="auto"/>
              </w:rPr>
              <w:t>眼睛接触：立即提起眼睑，用大量流动清水或生理盐水彻底冲洗至少15分钟。就医。</w:t>
            </w:r>
          </w:p>
          <w:p>
            <w:pPr>
              <w:spacing w:line="258" w:lineRule="exact"/>
              <w:rPr>
                <w:rFonts w:ascii="宋体" w:hAnsi="宋体"/>
                <w:b/>
                <w:color w:val="auto"/>
                <w:kern w:val="0"/>
              </w:rPr>
            </w:pPr>
            <w:r>
              <w:rPr>
                <w:rFonts w:hint="eastAsia" w:ascii="宋体" w:hAnsi="宋体"/>
                <w:color w:val="auto"/>
                <w:kern w:val="0"/>
              </w:rPr>
              <w:t>【灭火方法】</w:t>
            </w:r>
          </w:p>
          <w:p>
            <w:pPr>
              <w:spacing w:line="258" w:lineRule="exact"/>
              <w:ind w:firstLine="420" w:firstLineChars="200"/>
              <w:rPr>
                <w:rFonts w:ascii="宋体" w:hAnsi="宋体"/>
                <w:b/>
                <w:color w:val="auto"/>
                <w:kern w:val="0"/>
              </w:rPr>
            </w:pPr>
            <w:r>
              <w:rPr>
                <w:rFonts w:hint="eastAsia" w:ascii="宋体" w:hAnsi="宋体"/>
                <w:color w:val="auto"/>
              </w:rPr>
              <w:t>采用抗溶性泡沫、二氧化碳、干粉、砂土灭火。用水灭火无效，但可用水保持火场中容器冷却。</w:t>
            </w:r>
          </w:p>
          <w:p>
            <w:pPr>
              <w:spacing w:line="258" w:lineRule="exact"/>
              <w:rPr>
                <w:rFonts w:ascii="宋体" w:hAnsi="宋体"/>
                <w:b/>
                <w:color w:val="auto"/>
                <w:kern w:val="0"/>
              </w:rPr>
            </w:pPr>
            <w:r>
              <w:rPr>
                <w:rFonts w:hint="eastAsia" w:ascii="宋体" w:hAnsi="宋体"/>
                <w:color w:val="auto"/>
                <w:kern w:val="0"/>
              </w:rPr>
              <w:t>【泄漏应急处置】</w:t>
            </w:r>
          </w:p>
          <w:p>
            <w:pPr>
              <w:spacing w:line="258" w:lineRule="exact"/>
              <w:ind w:firstLine="420" w:firstLineChars="200"/>
              <w:rPr>
                <w:rStyle w:val="63"/>
                <w:rFonts w:ascii="宋体" w:hAnsi="宋体"/>
                <w:color w:val="auto"/>
              </w:rPr>
            </w:pPr>
            <w:r>
              <w:rPr>
                <w:rStyle w:val="63"/>
                <w:rFonts w:ascii="宋体" w:hAnsi="宋体"/>
                <w:color w:val="auto"/>
              </w:rPr>
              <w:t>消除所有点火源。根据液体流动和蒸气扩散的影响区域划定警戒区，无关人员从侧风、上风向撤离至安全区。建议应急处理人员戴正压自给式空气呼吸器，穿防静电服。作业时使用的所有设备应接地。禁止接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喷雾状水驱散蒸气、稀释液体泄漏物。</w:t>
            </w:r>
          </w:p>
          <w:p>
            <w:pPr>
              <w:widowControl/>
              <w:spacing w:line="258" w:lineRule="exact"/>
              <w:ind w:firstLine="420" w:firstLineChars="200"/>
              <w:jc w:val="left"/>
              <w:rPr>
                <w:rFonts w:ascii="宋体" w:hAnsi="宋体"/>
                <w:color w:val="auto"/>
              </w:rPr>
            </w:pPr>
            <w:r>
              <w:rPr>
                <w:rStyle w:val="63"/>
                <w:rFonts w:ascii="宋体" w:hAnsi="宋体"/>
                <w:color w:val="auto"/>
              </w:rPr>
              <w:t>作为一项紧急预防措施，泄漏隔离距离周围至少为50m。如果为大量泄漏，下风向的初始疏散距离应至少为300m。</w:t>
            </w:r>
          </w:p>
        </w:tc>
      </w:tr>
    </w:tbl>
    <w:p>
      <w:pPr>
        <w:rPr>
          <w:color w:val="auto"/>
          <w:sz w:val="28"/>
          <w:szCs w:val="28"/>
        </w:rPr>
      </w:pPr>
      <w:r>
        <w:rPr>
          <w:color w:val="auto"/>
          <w:sz w:val="28"/>
          <w:szCs w:val="28"/>
        </w:rPr>
        <w:t>4</w:t>
      </w:r>
      <w:r>
        <w:rPr>
          <w:rFonts w:hint="eastAsia"/>
          <w:color w:val="auto"/>
          <w:sz w:val="28"/>
          <w:szCs w:val="28"/>
        </w:rPr>
        <w:t>）甲苯</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jc w:val="center"/>
              <w:rPr>
                <w:rFonts w:ascii="Arial" w:hAnsi="Arial" w:cs="Arial"/>
                <w:color w:val="auto"/>
                <w:sz w:val="21"/>
                <w:szCs w:val="21"/>
              </w:rPr>
            </w:pPr>
            <w:r>
              <w:rPr>
                <w:rFonts w:hAnsi="宋体" w:cs="Arial"/>
                <w:color w:val="auto"/>
                <w:sz w:val="21"/>
                <w:szCs w:val="21"/>
              </w:rPr>
              <w:t>安全措施</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【一般要求】</w:t>
            </w:r>
            <w:r>
              <w:rPr>
                <w:rFonts w:ascii="Arial" w:hAnsi="Arial" w:cs="Arial"/>
                <w:color w:val="auto"/>
                <w:sz w:val="21"/>
                <w:szCs w:val="21"/>
              </w:rPr>
              <w:t xml:space="preserve"> </w:t>
            </w:r>
            <w:r>
              <w:rPr>
                <w:rFonts w:hAnsi="宋体" w:cs="Arial"/>
                <w:color w:val="auto"/>
                <w:sz w:val="21"/>
                <w:szCs w:val="21"/>
              </w:rPr>
              <w:t>操作人员必须经过专门培训，严格遵守操作规程。熟练掌握操作技能，具备应急处置知识。</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操作应严加密闭。要求有局部排风设施和全面通风。</w:t>
            </w:r>
            <w:r>
              <w:rPr>
                <w:rFonts w:ascii="Arial" w:hAnsi="Arial" w:cs="Arial"/>
                <w:color w:val="auto"/>
                <w:sz w:val="21"/>
                <w:szCs w:val="21"/>
              </w:rPr>
              <w:t xml:space="preserve"> </w:t>
            </w:r>
            <w:r>
              <w:rPr>
                <w:rFonts w:hAnsi="宋体" w:cs="Arial"/>
                <w:color w:val="auto"/>
                <w:sz w:val="21"/>
                <w:szCs w:val="21"/>
              </w:rPr>
              <w:t>设置固定式可燃气体报警器，或配备便携式可燃气体报警器、宜增设有毒气体报警仪。采用防爆型的通风系统和设备。穿防静电工作服，戴橡胶防护手套。空气中浓度超标时，佩戴防毒面具。紧急事态抢救或撤离时，佩戴自给式呼吸器。选用无泄漏泵来输送本介质，如屏蔽泵或磁力泵输送。甲苯储罐采取人工脱水方式时，应增配检测有毒气体检测报警仪（固定式或便携式）。采样宜采用循环密闭采样系统。在作业现场应提供安全淋浴和洗眼设备。安全喷淋和洗眼器应在生产装置开车时进行校验。操作现场严禁吸烟。进入罐、限制性空间或其它高浓度区作业，须有人监护。</w:t>
            </w:r>
            <w:r>
              <w:rPr>
                <w:rFonts w:ascii="Arial" w:hAnsi="Arial" w:cs="Arial"/>
                <w:color w:val="auto"/>
                <w:sz w:val="21"/>
                <w:szCs w:val="21"/>
              </w:rPr>
              <w:t xml:space="preserve"> </w:t>
            </w:r>
            <w:r>
              <w:rPr>
                <w:rFonts w:hAnsi="宋体" w:cs="Arial"/>
                <w:color w:val="auto"/>
                <w:sz w:val="21"/>
                <w:szCs w:val="21"/>
              </w:rPr>
              <w:t>储罐等容器和设备应设置液位计、温度计，并应装有带液位、温度远传记录和报警功能的安全装置。</w:t>
            </w:r>
            <w:r>
              <w:rPr>
                <w:rFonts w:ascii="Arial" w:hAnsi="Arial" w:cs="Arial"/>
                <w:color w:val="auto"/>
                <w:sz w:val="21"/>
                <w:szCs w:val="21"/>
              </w:rPr>
              <w:t xml:space="preserve"> </w:t>
            </w:r>
            <w:r>
              <w:rPr>
                <w:rFonts w:hAnsi="宋体" w:cs="Arial"/>
                <w:color w:val="auto"/>
                <w:sz w:val="21"/>
                <w:szCs w:val="21"/>
              </w:rPr>
              <w:t>禁止与强氧化剂接触。</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生产、储存区域应设置安全警示标志。在传送过程中，容器、管道必须接地和跨接，防止产生静电。输送过程中易产生静电积聚，相关防护知识应加强培训。</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【特殊要求】</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【操作安全】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选用无泄漏泵来输送本介质，如屏蔽泵或磁力泵输送。甲苯储罐采取人工脱水方式时，应增配检测有毒气体检测报警仪（固定式的或便携式的）。采样宜采用循环密闭采样系统。设置必要的安全联锁及紧急排放系统，通风设施应每年进行一次检查。</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）在生产企业设置</w:t>
            </w:r>
            <w:r>
              <w:rPr>
                <w:rFonts w:ascii="Arial" w:hAnsi="Arial" w:cs="Arial"/>
                <w:color w:val="auto"/>
                <w:sz w:val="21"/>
                <w:szCs w:val="21"/>
              </w:rPr>
              <w:t>DCS</w:t>
            </w:r>
            <w:r>
              <w:rPr>
                <w:rFonts w:hAnsi="宋体" w:cs="Arial"/>
                <w:color w:val="auto"/>
                <w:sz w:val="21"/>
                <w:szCs w:val="21"/>
              </w:rPr>
              <w:t>集散控制系统，同时设置安全联锁、紧急停车系统</w:t>
            </w:r>
            <w:r>
              <w:rPr>
                <w:rFonts w:ascii="Arial" w:hAnsi="Arial" w:cs="Arial"/>
                <w:color w:val="auto"/>
                <w:sz w:val="21"/>
                <w:szCs w:val="21"/>
              </w:rPr>
              <w:t xml:space="preserve">(ESD) </w:t>
            </w:r>
            <w:r>
              <w:rPr>
                <w:rFonts w:hAnsi="宋体" w:cs="Arial"/>
                <w:color w:val="auto"/>
                <w:sz w:val="21"/>
                <w:szCs w:val="21"/>
              </w:rPr>
              <w:t>以及正常及事故通风设施并独立设置。</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）装置内配备防毒面具等防护用品，操作人员在操作、取样、检维修时宜佩戴防毒面具。装置区所有设备、泵以及管线的放净均排放到密闭排放系统，保证职工健康不受损害。</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4</w:t>
            </w:r>
            <w:r>
              <w:rPr>
                <w:rFonts w:hAnsi="宋体" w:cs="Arial"/>
                <w:color w:val="auto"/>
                <w:sz w:val="21"/>
                <w:szCs w:val="21"/>
              </w:rPr>
              <w:t>）介质为高温、有毒或强腐蚀性的设备及管线上的压力表与设备之间应有能隔离介质的装置或切断阀。另外，装置中的设备和管道应有惰性气体置换设施。</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5</w:t>
            </w:r>
            <w:r>
              <w:rPr>
                <w:rFonts w:hAnsi="宋体" w:cs="Arial"/>
                <w:color w:val="auto"/>
                <w:sz w:val="21"/>
                <w:szCs w:val="21"/>
              </w:rPr>
              <w:t>）充装时使用万向节管道充装系统，严防超装。</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【储存安全】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）储存于阴凉、通风仓库内。远离火种、热源。库房温度不宜超过</w:t>
            </w:r>
            <w:r>
              <w:rPr>
                <w:rFonts w:ascii="Arial" w:hAnsi="Arial" w:cs="Arial"/>
                <w:color w:val="auto"/>
                <w:sz w:val="21"/>
                <w:szCs w:val="21"/>
              </w:rPr>
              <w:t>30</w:t>
            </w:r>
            <w:r>
              <w:rPr>
                <w:rFonts w:hAnsi="宋体" w:cs="Arial"/>
                <w:color w:val="auto"/>
                <w:sz w:val="21"/>
                <w:szCs w:val="21"/>
              </w:rPr>
              <w:t>℃。防止阳光直射，保持容器密封。</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）应与氧化剂分开存放。储存间内的照明、通风等设施应采用防爆型。罐储时要有防火防爆技术措施。禁止使用易产生火花的机械设备和工具。灌装时应注意流速（不超过</w:t>
            </w:r>
            <w:r>
              <w:rPr>
                <w:rFonts w:ascii="Arial" w:hAnsi="Arial" w:cs="Arial"/>
                <w:color w:val="auto"/>
                <w:sz w:val="21"/>
                <w:szCs w:val="21"/>
              </w:rPr>
              <w:t>3m/s</w:t>
            </w:r>
            <w:r>
              <w:rPr>
                <w:rFonts w:hAnsi="宋体" w:cs="Arial"/>
                <w:color w:val="auto"/>
                <w:sz w:val="21"/>
                <w:szCs w:val="21"/>
              </w:rPr>
              <w:t>），且有接地装置，防止静电积聚。搬运时要轻装轻卸，防止包装及容器损坏。</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）储罐采用金属浮舱式浮顶或内浮顶罐。储罐应设固定或移动式消防冷却水系统。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4</w:t>
            </w:r>
            <w:r>
              <w:rPr>
                <w:rFonts w:hAnsi="宋体" w:cs="Arial"/>
                <w:color w:val="auto"/>
                <w:sz w:val="21"/>
                <w:szCs w:val="21"/>
              </w:rPr>
              <w:t>）生产装置重要岗位如罐区设置工业电视监控。</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5</w:t>
            </w:r>
            <w:r>
              <w:rPr>
                <w:rFonts w:hAnsi="宋体" w:cs="Arial"/>
                <w:color w:val="auto"/>
                <w:sz w:val="21"/>
                <w:szCs w:val="21"/>
              </w:rPr>
              <w:t>）介质为高温、有毒或强腐蚀性的设备及管线上的压力表与设备之间应有能隔离介质的装置或切断阀。另外，装置中的甲、乙类设备和管道应有惰性气体置换设施。</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【运输安全】</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）运输车辆应有危险货物运输标志、安装具有行驶记录功能的卫星定位装置。未经公安机关批准，运输车辆不得进入危险化学品运输车辆限制通行的区域。</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）槽车和运输卡车要有导静电拖线；槽车上要备有</w:t>
            </w:r>
            <w:r>
              <w:rPr>
                <w:rFonts w:ascii="Arial" w:hAnsi="Arial" w:cs="Arial"/>
                <w:color w:val="auto"/>
                <w:sz w:val="21"/>
                <w:szCs w:val="21"/>
              </w:rPr>
              <w:t>2</w:t>
            </w:r>
            <w:r>
              <w:rPr>
                <w:rFonts w:hAnsi="宋体" w:cs="Arial"/>
                <w:color w:val="auto"/>
                <w:sz w:val="21"/>
                <w:szCs w:val="21"/>
              </w:rPr>
              <w:t>只以上干粉或二氧化碳灭火器和防爆工具；要有遮阳措施，防止阳光直射。</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）车辆运输钢瓶时</w:t>
            </w:r>
            <w:r>
              <w:rPr>
                <w:rFonts w:ascii="Arial" w:hAnsi="Arial" w:cs="Arial"/>
                <w:color w:val="auto"/>
                <w:sz w:val="21"/>
                <w:szCs w:val="21"/>
              </w:rPr>
              <w:t>,</w:t>
            </w:r>
            <w:r>
              <w:rPr>
                <w:rFonts w:hAnsi="宋体" w:cs="Arial"/>
                <w:color w:val="auto"/>
                <w:sz w:val="21"/>
                <w:szCs w:val="21"/>
              </w:rPr>
              <w:t>瓶口一律朝向车辆行驶方向的右方，堆放高度不得超过车辆的防护栏板，并用三角木垫卡牢，防止滚动。不准同车混装有抵触性质的物品和让无关人员搭车。运输途中远离火种，不准在有明火地点或人多地段停车，停车时要有人看管。发生泄漏或火灾要开到安全地方进行灭火或堵漏。</w:t>
            </w:r>
            <w:r>
              <w:rPr>
                <w:rFonts w:ascii="Arial" w:hAnsi="Arial" w:cs="Arial"/>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jc w:val="center"/>
              <w:rPr>
                <w:rFonts w:ascii="Arial" w:hAnsi="Arial" w:cs="Arial"/>
                <w:color w:val="auto"/>
                <w:sz w:val="21"/>
                <w:szCs w:val="21"/>
              </w:rPr>
            </w:pPr>
            <w:r>
              <w:rPr>
                <w:rFonts w:hAnsi="宋体" w:cs="Arial"/>
                <w:color w:val="auto"/>
                <w:sz w:val="21"/>
                <w:szCs w:val="21"/>
              </w:rPr>
              <w:t>应急处置原则</w:t>
            </w:r>
          </w:p>
        </w:tc>
        <w:tc>
          <w:tcPr>
            <w:tcW w:w="7815" w:type="dxa"/>
            <w:tcBorders>
              <w:top w:val="single" w:color="auto" w:sz="4" w:space="0"/>
              <w:left w:val="single" w:color="auto" w:sz="4" w:space="0"/>
              <w:bottom w:val="single" w:color="auto" w:sz="4" w:space="0"/>
              <w:right w:val="single" w:color="auto" w:sz="4" w:space="0"/>
            </w:tcBorders>
          </w:tcPr>
          <w:p>
            <w:pPr>
              <w:pStyle w:val="86"/>
              <w:rPr>
                <w:rFonts w:ascii="Arial" w:hAnsi="Arial" w:cs="Arial"/>
                <w:color w:val="auto"/>
                <w:sz w:val="21"/>
                <w:szCs w:val="21"/>
              </w:rPr>
            </w:pPr>
            <w:r>
              <w:rPr>
                <w:rFonts w:hAnsi="宋体" w:cs="Arial"/>
                <w:color w:val="auto"/>
                <w:sz w:val="21"/>
                <w:szCs w:val="21"/>
              </w:rPr>
              <w:t>【急救措施】</w:t>
            </w:r>
            <w:r>
              <w:rPr>
                <w:rFonts w:ascii="Arial" w:hAnsi="Arial" w:cs="Arial"/>
                <w:color w:val="auto"/>
                <w:sz w:val="21"/>
                <w:szCs w:val="21"/>
              </w:rPr>
              <w:t xml:space="preserve"> </w:t>
            </w:r>
            <w:r>
              <w:rPr>
                <w:rFonts w:hAnsi="宋体" w:cs="Arial"/>
                <w:color w:val="auto"/>
                <w:sz w:val="21"/>
                <w:szCs w:val="21"/>
              </w:rPr>
              <w:t>吸入：迅速脱离现场至空气新鲜处。保持呼吸道通畅。如呼吸困难，给氧。如呼吸停止，立即进行人工呼吸。就医。</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食入：饮足量温水，催吐。就医。</w:t>
            </w:r>
            <w:r>
              <w:rPr>
                <w:rFonts w:ascii="Arial" w:hAnsi="Arial" w:cs="Arial"/>
                <w:color w:val="auto"/>
                <w:sz w:val="21"/>
                <w:szCs w:val="21"/>
              </w:rPr>
              <w:t xml:space="preserve"> </w:t>
            </w:r>
            <w:r>
              <w:rPr>
                <w:rFonts w:hAnsi="宋体" w:cs="Arial"/>
                <w:color w:val="auto"/>
                <w:sz w:val="21"/>
                <w:szCs w:val="21"/>
              </w:rPr>
              <w:t>皮肤接触：脱去污染的衣着，用肥皂水和清水彻底冲洗皮肤。</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眼睛接触：提起眼睑，用流动清水或生理盐水冲洗。就医。</w:t>
            </w:r>
            <w:r>
              <w:rPr>
                <w:rFonts w:ascii="Arial" w:hAnsi="Arial" w:cs="Arial"/>
                <w:color w:val="auto"/>
                <w:sz w:val="21"/>
                <w:szCs w:val="21"/>
              </w:rPr>
              <w:t xml:space="preserve"> </w:t>
            </w:r>
          </w:p>
          <w:p>
            <w:pPr>
              <w:pStyle w:val="86"/>
              <w:rPr>
                <w:rFonts w:ascii="Arial" w:hAnsi="宋体" w:cs="Arial"/>
                <w:color w:val="auto"/>
                <w:sz w:val="21"/>
                <w:szCs w:val="21"/>
              </w:rPr>
            </w:pPr>
            <w:r>
              <w:rPr>
                <w:rFonts w:hAnsi="宋体" w:cs="Arial"/>
                <w:color w:val="auto"/>
                <w:sz w:val="21"/>
                <w:szCs w:val="21"/>
              </w:rPr>
              <w:t>【灭火方法】</w:t>
            </w:r>
            <w:r>
              <w:rPr>
                <w:rFonts w:ascii="Arial" w:hAnsi="Arial" w:cs="Arial"/>
                <w:color w:val="auto"/>
                <w:sz w:val="21"/>
                <w:szCs w:val="21"/>
              </w:rPr>
              <w:t xml:space="preserve"> </w:t>
            </w:r>
            <w:r>
              <w:rPr>
                <w:rFonts w:hAnsi="宋体" w:cs="Arial"/>
                <w:color w:val="auto"/>
                <w:sz w:val="21"/>
                <w:szCs w:val="21"/>
              </w:rPr>
              <w:t>喷水冷却容器，尽可能将容器从火场移至空旷处。处在火场中的容器若已变色或从安全泄压装置中产生声音，必须马上撤离。</w:t>
            </w:r>
          </w:p>
          <w:p>
            <w:pPr>
              <w:pStyle w:val="86"/>
              <w:rPr>
                <w:rFonts w:ascii="Arial" w:hAnsi="Arial" w:cs="Arial"/>
                <w:color w:val="auto"/>
                <w:sz w:val="21"/>
                <w:szCs w:val="21"/>
              </w:rPr>
            </w:pPr>
            <w:r>
              <w:rPr>
                <w:rFonts w:ascii="Arial" w:hAnsi="Arial" w:cs="Arial"/>
                <w:color w:val="auto"/>
                <w:sz w:val="21"/>
                <w:szCs w:val="21"/>
              </w:rPr>
              <w:t xml:space="preserve"> </w:t>
            </w:r>
            <w:r>
              <w:rPr>
                <w:rFonts w:hAnsi="宋体" w:cs="Arial"/>
                <w:color w:val="auto"/>
                <w:sz w:val="21"/>
                <w:szCs w:val="21"/>
              </w:rPr>
              <w:t>灭火剂：泡沫、干粉、二氧化碳、砂土。用水灭火无效。</w:t>
            </w:r>
            <w:r>
              <w:rPr>
                <w:rFonts w:ascii="Arial" w:hAnsi="Arial" w:cs="Arial"/>
                <w:color w:val="auto"/>
                <w:sz w:val="21"/>
                <w:szCs w:val="21"/>
              </w:rPr>
              <w:t xml:space="preserve"> </w:t>
            </w:r>
          </w:p>
          <w:p>
            <w:pPr>
              <w:pStyle w:val="86"/>
              <w:rPr>
                <w:rFonts w:ascii="Arial" w:hAnsi="Arial" w:cs="Arial"/>
                <w:color w:val="auto"/>
                <w:sz w:val="21"/>
                <w:szCs w:val="21"/>
              </w:rPr>
            </w:pPr>
            <w:r>
              <w:rPr>
                <w:rFonts w:hAnsi="宋体" w:cs="Arial"/>
                <w:color w:val="auto"/>
                <w:sz w:val="21"/>
                <w:szCs w:val="21"/>
              </w:rPr>
              <w:t>【泄漏应急处置】</w:t>
            </w:r>
            <w:r>
              <w:rPr>
                <w:rFonts w:ascii="Arial" w:hAnsi="Arial" w:cs="Arial"/>
                <w:color w:val="auto"/>
                <w:sz w:val="21"/>
                <w:szCs w:val="21"/>
              </w:rPr>
              <w:t xml:space="preserve"> </w:t>
            </w:r>
            <w:r>
              <w:rPr>
                <w:rFonts w:hAnsi="宋体" w:cs="Arial"/>
                <w:color w:val="auto"/>
                <w:sz w:val="21"/>
                <w:szCs w:val="21"/>
              </w:rPr>
              <w:t>消除所有点火源。根据液体流动和蒸气扩散的影响区域划定警戒区，无关人员从侧风、上风向撤离至安全区。建议应急处理人员戴正压自给式空气呼吸器，穿防毒、防静电服。作业时使用的所有设备应接地。禁止接触或跨越泄漏物。尽可能切断泄漏源。防止泄漏物进入水体、下水道、地下室或密闭性空间。小量泄漏：用砂土或其它不燃材料吸收。使用洁净的无火花工具收集吸收材料。大量泄漏：构筑围堤或挖坑收容。用石灰粉吸收大量液体。用泡沫覆盖，减少蒸发。喷水雾能减少蒸发，但不能降低泄漏物在受限制空间内的易燃性。用防爆泵转移至槽车或专用收集器内。</w:t>
            </w:r>
            <w:r>
              <w:rPr>
                <w:rFonts w:ascii="Arial" w:hAnsi="Arial" w:cs="Arial"/>
                <w:color w:val="auto"/>
                <w:sz w:val="21"/>
                <w:szCs w:val="21"/>
              </w:rPr>
              <w:t xml:space="preserve"> </w:t>
            </w:r>
            <w:r>
              <w:rPr>
                <w:rFonts w:hAnsi="宋体" w:cs="Arial"/>
                <w:color w:val="auto"/>
                <w:sz w:val="21"/>
                <w:szCs w:val="21"/>
              </w:rPr>
              <w:t>作为一项紧急预防措施，泄漏隔离距离至少为</w:t>
            </w:r>
            <w:r>
              <w:rPr>
                <w:rFonts w:ascii="Arial" w:hAnsi="Arial" w:cs="Arial"/>
                <w:color w:val="auto"/>
                <w:sz w:val="21"/>
                <w:szCs w:val="21"/>
              </w:rPr>
              <w:t>50m</w:t>
            </w:r>
            <w:r>
              <w:rPr>
                <w:rFonts w:hAnsi="宋体" w:cs="Arial"/>
                <w:color w:val="auto"/>
                <w:sz w:val="21"/>
                <w:szCs w:val="21"/>
              </w:rPr>
              <w:t>。如果为大量泄漏，下风向的初始疏散距离应至少为</w:t>
            </w:r>
            <w:r>
              <w:rPr>
                <w:rFonts w:ascii="Arial" w:hAnsi="Arial" w:cs="Arial"/>
                <w:color w:val="auto"/>
                <w:sz w:val="21"/>
                <w:szCs w:val="21"/>
              </w:rPr>
              <w:t>300m</w:t>
            </w:r>
            <w:r>
              <w:rPr>
                <w:rFonts w:hAnsi="宋体" w:cs="Arial"/>
                <w:color w:val="auto"/>
                <w:sz w:val="21"/>
                <w:szCs w:val="21"/>
              </w:rPr>
              <w:t>。</w:t>
            </w:r>
            <w:r>
              <w:rPr>
                <w:rFonts w:ascii="Arial" w:hAnsi="Arial" w:cs="Arial"/>
                <w:color w:val="auto"/>
                <w:sz w:val="21"/>
                <w:szCs w:val="21"/>
              </w:rPr>
              <w:t xml:space="preserve"> </w:t>
            </w:r>
          </w:p>
        </w:tc>
      </w:tr>
    </w:tbl>
    <w:p>
      <w:pPr>
        <w:rPr>
          <w:color w:val="auto"/>
          <w:sz w:val="28"/>
          <w:szCs w:val="28"/>
        </w:rPr>
      </w:pPr>
      <w:r>
        <w:rPr>
          <w:rFonts w:hint="eastAsia"/>
          <w:color w:val="auto"/>
          <w:sz w:val="28"/>
          <w:szCs w:val="28"/>
        </w:rPr>
        <w:t>5）二氧化硫</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spacing w:line="340" w:lineRule="exact"/>
              <w:jc w:val="center"/>
              <w:rPr>
                <w:rFonts w:ascii="Arial" w:hAnsi="Arial" w:cs="Arial"/>
                <w:color w:val="auto"/>
                <w:sz w:val="21"/>
                <w:szCs w:val="21"/>
              </w:rPr>
            </w:pPr>
            <w:r>
              <w:rPr>
                <w:rFonts w:hAnsi="宋体" w:cs="Arial"/>
                <w:color w:val="auto"/>
                <w:sz w:val="21"/>
                <w:szCs w:val="21"/>
              </w:rPr>
              <w:t>安全措施</w:t>
            </w:r>
          </w:p>
        </w:tc>
        <w:tc>
          <w:tcPr>
            <w:tcW w:w="7815" w:type="dxa"/>
            <w:tcBorders>
              <w:top w:val="single" w:color="auto" w:sz="4" w:space="0"/>
              <w:left w:val="single" w:color="auto" w:sz="4" w:space="0"/>
              <w:bottom w:val="single" w:color="auto" w:sz="4" w:space="0"/>
              <w:right w:val="single" w:color="auto" w:sz="4" w:space="0"/>
            </w:tcBorders>
          </w:tcPr>
          <w:p>
            <w:pPr>
              <w:pStyle w:val="86"/>
              <w:spacing w:line="340" w:lineRule="exact"/>
              <w:rPr>
                <w:rFonts w:ascii="Arial" w:hAnsi="Arial" w:cs="Arial"/>
                <w:color w:val="auto"/>
                <w:sz w:val="21"/>
                <w:szCs w:val="21"/>
              </w:rPr>
            </w:pPr>
            <w:r>
              <w:rPr>
                <w:rFonts w:hAnsi="宋体" w:cs="Arial"/>
                <w:color w:val="auto"/>
                <w:sz w:val="21"/>
                <w:szCs w:val="21"/>
              </w:rPr>
              <w:t>【一般要求】</w:t>
            </w:r>
            <w:r>
              <w:rPr>
                <w:rFonts w:ascii="Arial" w:hAnsi="Arial" w:cs="Arial"/>
                <w:color w:val="auto"/>
                <w:sz w:val="21"/>
                <w:szCs w:val="21"/>
              </w:rPr>
              <w:t xml:space="preserve"> </w:t>
            </w:r>
            <w:r>
              <w:rPr>
                <w:rFonts w:hAnsi="宋体" w:cs="Arial"/>
                <w:color w:val="auto"/>
                <w:sz w:val="21"/>
                <w:szCs w:val="21"/>
              </w:rPr>
              <w:t>操作人员必须经过专门培训，严格遵守操作规程，熟练掌握操作技能，具备应急处置知识。</w:t>
            </w:r>
            <w:r>
              <w:rPr>
                <w:rFonts w:ascii="Arial" w:hAnsi="Arial" w:cs="Arial"/>
                <w:color w:val="auto"/>
                <w:sz w:val="21"/>
                <w:szCs w:val="21"/>
              </w:rPr>
              <w:t xml:space="preserve"> </w:t>
            </w:r>
          </w:p>
          <w:p>
            <w:pPr>
              <w:pStyle w:val="86"/>
              <w:spacing w:line="340" w:lineRule="exact"/>
              <w:rPr>
                <w:rFonts w:ascii="Arial" w:hAnsi="宋体" w:cs="Arial"/>
                <w:color w:val="auto"/>
                <w:sz w:val="21"/>
                <w:szCs w:val="21"/>
              </w:rPr>
            </w:pPr>
            <w:r>
              <w:rPr>
                <w:rFonts w:hAnsi="宋体" w:cs="Arial"/>
                <w:color w:val="auto"/>
                <w:sz w:val="21"/>
                <w:szCs w:val="21"/>
              </w:rPr>
              <w:t>严加密闭，防止气体泄漏到工作场所空气中，提供充分的局部排风和全面通风。提供安全淋浴和洗眼设备。</w:t>
            </w:r>
            <w:r>
              <w:rPr>
                <w:rFonts w:ascii="Arial" w:hAnsi="Arial" w:cs="Arial"/>
                <w:color w:val="auto"/>
                <w:sz w:val="21"/>
                <w:szCs w:val="21"/>
              </w:rPr>
              <w:t xml:space="preserve"> </w:t>
            </w:r>
            <w:r>
              <w:rPr>
                <w:rFonts w:hAnsi="宋体" w:cs="Arial"/>
                <w:color w:val="auto"/>
                <w:sz w:val="21"/>
                <w:szCs w:val="21"/>
              </w:rPr>
              <w:t>生产、使用及贮存场所设置二氧化硫泄漏检测报警仪，配备两套以上重型防护服。空气中浓度超标时，操作人员应佩戴自吸过滤式防毒面具（全面罩）。紧急事态抢救或撤离时，建议佩戴正压自给式空气呼吸器。建议操作人员穿聚乙烯防毒服、戴橡胶手套。</w:t>
            </w:r>
            <w:r>
              <w:rPr>
                <w:rFonts w:ascii="Arial" w:hAnsi="Arial" w:cs="Arial"/>
                <w:color w:val="auto"/>
                <w:sz w:val="21"/>
                <w:szCs w:val="21"/>
              </w:rPr>
              <w:t xml:space="preserve"> </w:t>
            </w:r>
            <w:r>
              <w:rPr>
                <w:rFonts w:hAnsi="宋体" w:cs="Arial"/>
                <w:color w:val="auto"/>
                <w:sz w:val="21"/>
                <w:szCs w:val="21"/>
              </w:rPr>
              <w:t>储罐等压力容器和设备应设置安全阀、压力表、液位计、温度计，并应装有带压力、液位、温度远传记录和报警功能的安全装置，设置整流装置与压力机、动力电源、管线压力、通风设施或相应的吸收装置的联锁装置。重点储罐、输入输出管线等设置紧急切断装置。</w:t>
            </w:r>
          </w:p>
          <w:p>
            <w:pPr>
              <w:pStyle w:val="86"/>
              <w:spacing w:line="340" w:lineRule="exact"/>
              <w:rPr>
                <w:rFonts w:ascii="Arial" w:hAnsi="Arial" w:cs="Arial"/>
                <w:color w:val="auto"/>
                <w:sz w:val="21"/>
                <w:szCs w:val="21"/>
              </w:rPr>
            </w:pPr>
            <w:r>
              <w:rPr>
                <w:rFonts w:ascii="Arial" w:hAnsi="Arial" w:cs="Arial"/>
                <w:color w:val="auto"/>
                <w:sz w:val="21"/>
                <w:szCs w:val="21"/>
              </w:rPr>
              <w:t xml:space="preserve"> </w:t>
            </w:r>
            <w:r>
              <w:rPr>
                <w:rFonts w:hAnsi="宋体" w:cs="Arial"/>
                <w:color w:val="auto"/>
                <w:sz w:val="21"/>
                <w:szCs w:val="21"/>
              </w:rPr>
              <w:t>避免与氧化剂、还原剂接触，远离易燃、可燃物。</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生产、储存区域应设置安全警示标志。工作现场禁止吸烟、进食或饮水。搬运时轻装轻卸，防止钢瓶及附件破损。禁止使用电磁起重机和用链绳捆扎、或将瓶阀作为吊运着力点。配备相应品种和数量的消防器材及泄漏应急处理设备。倒空的容器可能存在残留有害物时应及时处理。</w:t>
            </w:r>
            <w:r>
              <w:rPr>
                <w:rFonts w:ascii="Arial" w:hAnsi="Arial" w:cs="Arial"/>
                <w:color w:val="auto"/>
                <w:sz w:val="21"/>
                <w:szCs w:val="21"/>
              </w:rPr>
              <w:t xml:space="preserve"> </w:t>
            </w:r>
            <w:r>
              <w:rPr>
                <w:rFonts w:hAnsi="宋体" w:cs="Arial"/>
                <w:color w:val="auto"/>
                <w:sz w:val="21"/>
                <w:szCs w:val="21"/>
              </w:rPr>
              <w:t>支气管哮喘和肺气肿等患者不宜接触二氧化硫。</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【特殊要求】</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【操作安全】</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）生产企业设置必要紧急排放系统及事故通风设施。设置碱池，进行废气处理。</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根据职工人数及巡检需要配置便携式二氧化硫浓度检测报警仪。进入密闭受限空间或二氧化硫有可能泄漏的空间之前应先进行检测，并进行强制通风，其浓度达到安全要求后进行操作，操作人员应佩戴防毒面具，并派专人监护。</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【储存安全】</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）储存于阴凉、通风的库房。远离火种、热源。库房内温不宜超过</w:t>
            </w:r>
            <w:r>
              <w:rPr>
                <w:rFonts w:ascii="Arial" w:hAnsi="Arial" w:cs="Arial"/>
                <w:color w:val="auto"/>
                <w:sz w:val="21"/>
                <w:szCs w:val="21"/>
              </w:rPr>
              <w:t>30</w:t>
            </w:r>
            <w:r>
              <w:rPr>
                <w:rFonts w:hAnsi="宋体" w:cs="Arial"/>
                <w:color w:val="auto"/>
                <w:sz w:val="21"/>
                <w:szCs w:val="21"/>
              </w:rPr>
              <w:t>℃。</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）应与易（可）燃物、氧化剂、还原剂、食用化学品分开存放，切忌混储。储存区应备有泄漏应急处理设备。</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【运输安全】</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1</w:t>
            </w:r>
            <w:r>
              <w:rPr>
                <w:rFonts w:hAnsi="宋体" w:cs="Arial"/>
                <w:color w:val="auto"/>
                <w:sz w:val="21"/>
                <w:szCs w:val="21"/>
              </w:rPr>
              <w:t>）运输车辆应有危险货物运输标志、安装具有行驶记录功能的卫星定位装置。未经公安机关批准，运输车辆不得进入危险化学品运输车辆限制通行的区域。</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2</w:t>
            </w:r>
            <w:r>
              <w:rPr>
                <w:rFonts w:hAnsi="宋体" w:cs="Arial"/>
                <w:color w:val="auto"/>
                <w:sz w:val="21"/>
                <w:szCs w:val="21"/>
              </w:rPr>
              <w:t>）车辆运输钢瓶</w:t>
            </w:r>
            <w:r>
              <w:rPr>
                <w:rFonts w:ascii="Arial" w:hAnsi="Arial" w:cs="Arial"/>
                <w:color w:val="auto"/>
                <w:sz w:val="21"/>
                <w:szCs w:val="21"/>
              </w:rPr>
              <w:t xml:space="preserve">, </w:t>
            </w:r>
            <w:r>
              <w:rPr>
                <w:rFonts w:hAnsi="宋体" w:cs="Arial"/>
                <w:color w:val="auto"/>
                <w:sz w:val="21"/>
                <w:szCs w:val="21"/>
              </w:rPr>
              <w:t>立放时，车厢高度应在瓶高的</w:t>
            </w:r>
            <w:r>
              <w:rPr>
                <w:rFonts w:ascii="Arial" w:hAnsi="Arial" w:cs="Arial"/>
                <w:color w:val="auto"/>
                <w:sz w:val="21"/>
                <w:szCs w:val="21"/>
              </w:rPr>
              <w:t>2/3</w:t>
            </w:r>
            <w:r>
              <w:rPr>
                <w:rFonts w:hAnsi="宋体" w:cs="Arial"/>
                <w:color w:val="auto"/>
                <w:sz w:val="21"/>
                <w:szCs w:val="21"/>
              </w:rPr>
              <w:t>以上；卧放时，瓶阀端应朝向车辆行驶的右方，用三角木垫卡牢，防止滚动，垛高不得超过</w:t>
            </w:r>
            <w:r>
              <w:rPr>
                <w:rFonts w:ascii="Arial" w:hAnsi="Arial" w:cs="Arial"/>
                <w:color w:val="auto"/>
                <w:sz w:val="21"/>
                <w:szCs w:val="21"/>
              </w:rPr>
              <w:t>5</w:t>
            </w:r>
            <w:r>
              <w:rPr>
                <w:rFonts w:hAnsi="宋体" w:cs="Arial"/>
                <w:color w:val="auto"/>
                <w:sz w:val="21"/>
                <w:szCs w:val="21"/>
              </w:rPr>
              <w:t>层且不得超过车厢高度。不准同车混装有抵触性质的物品和让无关人员搭车。禁止在居民区和人口稠密区停留。高温季节应早晚运输，防止日光曝晒。</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w:t>
            </w:r>
            <w:r>
              <w:rPr>
                <w:rFonts w:ascii="Arial" w:hAnsi="Arial" w:cs="Arial"/>
                <w:color w:val="auto"/>
                <w:sz w:val="21"/>
                <w:szCs w:val="21"/>
              </w:rPr>
              <w:t>3</w:t>
            </w:r>
            <w:r>
              <w:rPr>
                <w:rFonts w:hAnsi="宋体" w:cs="Arial"/>
                <w:color w:val="auto"/>
                <w:sz w:val="21"/>
                <w:szCs w:val="21"/>
              </w:rPr>
              <w:t>）搬运人员必须注意防护，按规定穿戴必要的防护用品；搬运时，管理人员必须到现场监卸监装；夜晚或光线不足时、雨天不宜搬运。若遇特殊情况必须搬运时，必须得到部门负责人的同意，还应有遮雨等相关措施；严禁在搬运时吸烟。</w:t>
            </w:r>
            <w:r>
              <w:rPr>
                <w:rFonts w:ascii="Arial" w:hAnsi="Arial" w:cs="Arial"/>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86"/>
              <w:spacing w:line="340" w:lineRule="exact"/>
              <w:jc w:val="center"/>
              <w:rPr>
                <w:rFonts w:ascii="Arial" w:hAnsi="Arial" w:cs="Arial"/>
                <w:color w:val="auto"/>
                <w:sz w:val="21"/>
                <w:szCs w:val="21"/>
              </w:rPr>
            </w:pPr>
            <w:r>
              <w:rPr>
                <w:rFonts w:hAnsi="宋体" w:cs="Arial"/>
                <w:color w:val="auto"/>
                <w:sz w:val="21"/>
                <w:szCs w:val="21"/>
              </w:rPr>
              <w:t>应急处置原则</w:t>
            </w:r>
          </w:p>
        </w:tc>
        <w:tc>
          <w:tcPr>
            <w:tcW w:w="7815" w:type="dxa"/>
            <w:tcBorders>
              <w:top w:val="single" w:color="auto" w:sz="4" w:space="0"/>
              <w:left w:val="single" w:color="auto" w:sz="4" w:space="0"/>
              <w:bottom w:val="single" w:color="auto" w:sz="4" w:space="0"/>
              <w:right w:val="single" w:color="auto" w:sz="4" w:space="0"/>
            </w:tcBorders>
          </w:tcPr>
          <w:p>
            <w:pPr>
              <w:pStyle w:val="86"/>
              <w:spacing w:line="340" w:lineRule="exact"/>
              <w:rPr>
                <w:rFonts w:ascii="Arial" w:hAnsi="Arial" w:cs="Arial"/>
                <w:color w:val="auto"/>
                <w:sz w:val="21"/>
                <w:szCs w:val="21"/>
              </w:rPr>
            </w:pPr>
            <w:r>
              <w:rPr>
                <w:rFonts w:hAnsi="宋体" w:cs="Arial"/>
                <w:color w:val="auto"/>
                <w:sz w:val="21"/>
                <w:szCs w:val="21"/>
              </w:rPr>
              <w:t>【急救措施】</w:t>
            </w:r>
            <w:r>
              <w:rPr>
                <w:rFonts w:ascii="Arial" w:hAnsi="Arial" w:cs="Arial"/>
                <w:color w:val="auto"/>
                <w:sz w:val="21"/>
                <w:szCs w:val="21"/>
              </w:rPr>
              <w:t xml:space="preserve"> </w:t>
            </w:r>
            <w:r>
              <w:rPr>
                <w:rFonts w:hAnsi="宋体" w:cs="Arial"/>
                <w:color w:val="auto"/>
                <w:sz w:val="21"/>
                <w:szCs w:val="21"/>
              </w:rPr>
              <w:t>吸入：迅速脱离现场至空气新鲜处。保持呼吸道通畅。如呼吸困难，给氧。如呼吸停止，立即进行人工呼吸。就医。</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皮肤接触：立即脱去污染的衣着，用大量流动清水冲洗。就医。</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眼睛接触：提起眼睑，用流动清水或生理盐水冲洗。就医。</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【灭火方法】</w:t>
            </w:r>
            <w:r>
              <w:rPr>
                <w:rFonts w:ascii="Arial" w:hAnsi="Arial" w:cs="Arial"/>
                <w:color w:val="auto"/>
                <w:sz w:val="21"/>
                <w:szCs w:val="21"/>
              </w:rPr>
              <w:t xml:space="preserve"> </w:t>
            </w:r>
            <w:r>
              <w:rPr>
                <w:rFonts w:hAnsi="宋体" w:cs="Arial"/>
                <w:color w:val="auto"/>
                <w:sz w:val="21"/>
                <w:szCs w:val="21"/>
              </w:rPr>
              <w:t>本品不燃，但周围起火时应切断气源。喷水冷却容器，尽可能将容器从火场移至空旷处。消防人员必须佩戴正压自给式空气呼吸器，穿全身防火防毒服，在上风向灭火。由于火场中可能发生容器爆破的情况，消防人员须在防爆掩蔽处操作。有二氧化硫泄漏时，使用细水雾驱赶泄漏的气体，使其远离未受波及的区域。</w:t>
            </w:r>
            <w:r>
              <w:rPr>
                <w:rFonts w:ascii="Arial" w:hAnsi="Arial" w:cs="Arial"/>
                <w:color w:val="auto"/>
                <w:sz w:val="21"/>
                <w:szCs w:val="21"/>
              </w:rPr>
              <w:t xml:space="preserve"> </w:t>
            </w:r>
          </w:p>
          <w:p>
            <w:pPr>
              <w:pStyle w:val="86"/>
              <w:spacing w:line="340" w:lineRule="exact"/>
              <w:rPr>
                <w:rFonts w:ascii="Arial" w:hAnsi="宋体" w:cs="Arial"/>
                <w:color w:val="auto"/>
                <w:sz w:val="21"/>
                <w:szCs w:val="21"/>
              </w:rPr>
            </w:pPr>
            <w:r>
              <w:rPr>
                <w:rFonts w:hAnsi="宋体" w:cs="Arial"/>
                <w:color w:val="auto"/>
                <w:sz w:val="21"/>
                <w:szCs w:val="21"/>
              </w:rPr>
              <w:t>灭火剂：根据周围着火原因选择适当灭火剂。可用二氧化碳、水（雾状水）或泡沫。</w:t>
            </w:r>
            <w:r>
              <w:rPr>
                <w:rFonts w:ascii="Arial" w:hAnsi="Arial" w:cs="Arial"/>
                <w:color w:val="auto"/>
                <w:sz w:val="21"/>
                <w:szCs w:val="21"/>
              </w:rPr>
              <w:t xml:space="preserve"> </w:t>
            </w:r>
          </w:p>
          <w:p>
            <w:pPr>
              <w:pStyle w:val="86"/>
              <w:spacing w:line="340" w:lineRule="exact"/>
              <w:rPr>
                <w:rFonts w:ascii="Arial" w:hAnsi="Arial" w:cs="Arial"/>
                <w:color w:val="auto"/>
                <w:sz w:val="21"/>
                <w:szCs w:val="21"/>
              </w:rPr>
            </w:pPr>
            <w:r>
              <w:rPr>
                <w:rFonts w:hAnsi="宋体" w:cs="Arial"/>
                <w:color w:val="auto"/>
                <w:sz w:val="21"/>
                <w:szCs w:val="21"/>
              </w:rPr>
              <w:t>【泄漏应急处置】</w:t>
            </w:r>
            <w:r>
              <w:rPr>
                <w:rFonts w:ascii="Arial" w:hAnsi="Arial" w:cs="Arial"/>
                <w:color w:val="auto"/>
                <w:sz w:val="21"/>
                <w:szCs w:val="21"/>
              </w:rPr>
              <w:t xml:space="preserve"> </w:t>
            </w:r>
            <w:r>
              <w:rPr>
                <w:rFonts w:hAnsi="宋体" w:cs="Arial"/>
                <w:color w:val="auto"/>
                <w:sz w:val="21"/>
                <w:szCs w:val="21"/>
              </w:rPr>
              <w:t>根据气体的影响区域划定警戒区，无关人员从侧风、上风向撤离至安全区。建议应急处理人员穿内置正压自给式空气呼吸器的全封闭防化服。如果是液化气体泄漏，还应注意防冻伤。禁止接触或跨越泄漏物。尽可能切断泄漏源。防止气体通过下水道、通风系统和密闭性空间扩散。若可能翻转容器，使之逸出气体而非液体。喷雾状水抑制蒸气或改变蒸气云流向，避免水流接触泄漏物。禁止用水直接冲击泄漏物或泄漏源。隔离泄漏区直至气体散尽。</w:t>
            </w:r>
            <w:r>
              <w:rPr>
                <w:rFonts w:ascii="Arial" w:hAnsi="Arial" w:cs="Arial"/>
                <w:color w:val="auto"/>
                <w:sz w:val="21"/>
                <w:szCs w:val="21"/>
              </w:rPr>
              <w:t xml:space="preserve"> </w:t>
            </w:r>
            <w:r>
              <w:rPr>
                <w:rFonts w:hAnsi="宋体" w:cs="Arial"/>
                <w:color w:val="auto"/>
                <w:sz w:val="21"/>
                <w:szCs w:val="21"/>
              </w:rPr>
              <w:t>隔离与疏散距离：小量泄漏，初始隔离</w:t>
            </w:r>
            <w:r>
              <w:rPr>
                <w:rFonts w:ascii="Arial" w:hAnsi="Arial" w:cs="Arial"/>
                <w:color w:val="auto"/>
                <w:sz w:val="21"/>
                <w:szCs w:val="21"/>
              </w:rPr>
              <w:t>60m</w:t>
            </w:r>
            <w:r>
              <w:rPr>
                <w:rFonts w:hAnsi="宋体" w:cs="Arial"/>
                <w:color w:val="auto"/>
                <w:sz w:val="21"/>
                <w:szCs w:val="21"/>
              </w:rPr>
              <w:t>，下风向疏散白天</w:t>
            </w:r>
            <w:r>
              <w:rPr>
                <w:rFonts w:ascii="Arial" w:hAnsi="Arial" w:cs="Arial"/>
                <w:color w:val="auto"/>
                <w:sz w:val="21"/>
                <w:szCs w:val="21"/>
              </w:rPr>
              <w:t>300m</w:t>
            </w:r>
            <w:r>
              <w:rPr>
                <w:rFonts w:hAnsi="宋体" w:cs="Arial"/>
                <w:color w:val="auto"/>
                <w:sz w:val="21"/>
                <w:szCs w:val="21"/>
              </w:rPr>
              <w:t>、夜晚</w:t>
            </w:r>
            <w:r>
              <w:rPr>
                <w:rFonts w:ascii="Arial" w:hAnsi="Arial" w:cs="Arial"/>
                <w:color w:val="auto"/>
                <w:sz w:val="21"/>
                <w:szCs w:val="21"/>
              </w:rPr>
              <w:t>1200m</w:t>
            </w:r>
            <w:r>
              <w:rPr>
                <w:rFonts w:hAnsi="宋体" w:cs="Arial"/>
                <w:color w:val="auto"/>
                <w:sz w:val="21"/>
                <w:szCs w:val="21"/>
              </w:rPr>
              <w:t>；大量泄漏，初始隔离</w:t>
            </w:r>
            <w:r>
              <w:rPr>
                <w:rFonts w:ascii="Arial" w:hAnsi="Arial" w:cs="Arial"/>
                <w:color w:val="auto"/>
                <w:sz w:val="21"/>
                <w:szCs w:val="21"/>
              </w:rPr>
              <w:t>400m</w:t>
            </w:r>
            <w:r>
              <w:rPr>
                <w:rFonts w:hAnsi="宋体" w:cs="Arial"/>
                <w:color w:val="auto"/>
                <w:sz w:val="21"/>
                <w:szCs w:val="21"/>
              </w:rPr>
              <w:t>，下风向疏散白天</w:t>
            </w:r>
            <w:r>
              <w:rPr>
                <w:rFonts w:ascii="Arial" w:hAnsi="Arial" w:cs="Arial"/>
                <w:color w:val="auto"/>
                <w:sz w:val="21"/>
                <w:szCs w:val="21"/>
              </w:rPr>
              <w:t>2100m</w:t>
            </w:r>
            <w:r>
              <w:rPr>
                <w:rFonts w:hAnsi="宋体" w:cs="Arial"/>
                <w:color w:val="auto"/>
                <w:sz w:val="21"/>
                <w:szCs w:val="21"/>
              </w:rPr>
              <w:t>、夜晚</w:t>
            </w:r>
            <w:r>
              <w:rPr>
                <w:rFonts w:ascii="Arial" w:hAnsi="Arial" w:cs="Arial"/>
                <w:color w:val="auto"/>
                <w:sz w:val="21"/>
                <w:szCs w:val="21"/>
              </w:rPr>
              <w:t>5700m</w:t>
            </w:r>
            <w:r>
              <w:rPr>
                <w:rFonts w:hAnsi="宋体" w:cs="Arial"/>
                <w:color w:val="auto"/>
                <w:sz w:val="21"/>
                <w:szCs w:val="21"/>
              </w:rPr>
              <w:t>。</w:t>
            </w:r>
            <w:r>
              <w:rPr>
                <w:rFonts w:ascii="Arial" w:hAnsi="Arial" w:cs="Arial"/>
                <w:color w:val="auto"/>
                <w:sz w:val="21"/>
                <w:szCs w:val="21"/>
              </w:rPr>
              <w:t xml:space="preserve"> </w:t>
            </w:r>
          </w:p>
        </w:tc>
      </w:tr>
    </w:tbl>
    <w:p>
      <w:pPr>
        <w:pStyle w:val="2"/>
        <w:rPr>
          <w:color w:val="auto"/>
        </w:rPr>
      </w:pPr>
      <w:bookmarkStart w:id="71" w:name="_Toc144109174"/>
    </w:p>
    <w:p>
      <w:pPr>
        <w:pStyle w:val="2"/>
        <w:rPr>
          <w:color w:val="auto"/>
          <w:sz w:val="28"/>
          <w:szCs w:val="28"/>
        </w:rPr>
      </w:pPr>
      <w:r>
        <w:rPr>
          <w:color w:val="auto"/>
          <w:sz w:val="28"/>
          <w:szCs w:val="28"/>
        </w:rPr>
        <w:t>6</w:t>
      </w:r>
      <w:r>
        <w:rPr>
          <w:rFonts w:hint="eastAsia"/>
          <w:color w:val="auto"/>
          <w:sz w:val="28"/>
          <w:szCs w:val="28"/>
        </w:rPr>
        <w:t>）氢气</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88"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00" w:lineRule="exact"/>
              <w:jc w:val="center"/>
              <w:rPr>
                <w:rFonts w:ascii="Arial" w:hAnsi="Arial" w:cs="Arial"/>
                <w:color w:val="auto"/>
                <w:kern w:val="0"/>
              </w:rPr>
            </w:pPr>
            <w:r>
              <w:rPr>
                <w:rFonts w:ascii="宋体" w:hAnsi="宋体" w:cs="Arial"/>
                <w:color w:val="auto"/>
                <w:kern w:val="0"/>
              </w:rPr>
              <w:t>特别警示</w:t>
            </w:r>
          </w:p>
        </w:tc>
        <w:tc>
          <w:tcPr>
            <w:tcW w:w="7815" w:type="dxa"/>
            <w:tcBorders>
              <w:top w:val="single" w:color="auto" w:sz="4" w:space="0"/>
              <w:left w:val="single" w:color="auto" w:sz="4" w:space="0"/>
              <w:bottom w:val="single" w:color="auto" w:sz="4" w:space="0"/>
              <w:right w:val="single" w:color="auto" w:sz="4" w:space="0"/>
            </w:tcBorders>
          </w:tcPr>
          <w:p>
            <w:pPr>
              <w:autoSpaceDE w:val="0"/>
              <w:autoSpaceDN w:val="0"/>
              <w:spacing w:line="300" w:lineRule="exact"/>
              <w:jc w:val="left"/>
              <w:rPr>
                <w:rFonts w:ascii="Arial" w:hAnsi="Arial" w:cs="Arial"/>
                <w:color w:val="auto"/>
                <w:kern w:val="0"/>
              </w:rPr>
            </w:pPr>
            <w:r>
              <w:rPr>
                <w:rFonts w:ascii="宋体" w:hAnsi="宋体" w:cs="Arial"/>
                <w:color w:val="auto"/>
                <w:kern w:val="0"/>
              </w:rPr>
              <w:t>极易燃气体。</w:t>
            </w:r>
            <w:r>
              <w:rPr>
                <w:rFonts w:ascii="Arial" w:hAnsi="Arial" w:cs="Arial"/>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line="300" w:lineRule="exact"/>
              <w:jc w:val="center"/>
              <w:rPr>
                <w:rFonts w:ascii="Arial" w:hAnsi="Arial" w:cs="Arial"/>
                <w:color w:val="auto"/>
              </w:rPr>
            </w:pPr>
            <w:r>
              <w:rPr>
                <w:rFonts w:ascii="宋体" w:hAnsi="宋体" w:cs="Arial"/>
                <w:color w:val="auto"/>
              </w:rPr>
              <w:t>理化特性</w:t>
            </w:r>
          </w:p>
        </w:tc>
        <w:tc>
          <w:tcPr>
            <w:tcW w:w="7815" w:type="dxa"/>
            <w:tcBorders>
              <w:top w:val="single" w:color="auto" w:sz="4" w:space="0"/>
              <w:left w:val="single" w:color="auto" w:sz="4" w:space="0"/>
              <w:bottom w:val="single" w:color="auto" w:sz="4" w:space="0"/>
              <w:right w:val="single" w:color="auto" w:sz="4" w:space="0"/>
            </w:tcBorders>
          </w:tcPr>
          <w:p>
            <w:pPr>
              <w:autoSpaceDE w:val="0"/>
              <w:autoSpaceDN w:val="0"/>
              <w:spacing w:line="300" w:lineRule="exact"/>
              <w:jc w:val="left"/>
              <w:rPr>
                <w:rFonts w:ascii="Arial" w:hAnsi="Arial" w:cs="Arial"/>
                <w:color w:val="auto"/>
                <w:kern w:val="0"/>
              </w:rPr>
            </w:pPr>
            <w:r>
              <w:rPr>
                <w:rFonts w:ascii="宋体" w:hAnsi="宋体" w:cs="Arial"/>
                <w:color w:val="auto"/>
                <w:kern w:val="0"/>
              </w:rPr>
              <w:t>无色、无臭的气体。很难液化。液态氢无色透明。极易扩散和渗透。微溶于水，不溶于乙醇、乙醚。分子量</w:t>
            </w:r>
            <w:r>
              <w:rPr>
                <w:rFonts w:ascii="Arial" w:hAnsi="Arial" w:cs="Arial"/>
                <w:color w:val="auto"/>
                <w:kern w:val="0"/>
              </w:rPr>
              <w:t>2.02</w:t>
            </w:r>
            <w:r>
              <w:rPr>
                <w:rFonts w:ascii="宋体" w:hAnsi="宋体" w:cs="Arial"/>
                <w:color w:val="auto"/>
                <w:kern w:val="0"/>
              </w:rPr>
              <w:t>，熔点</w:t>
            </w:r>
            <w:r>
              <w:rPr>
                <w:rFonts w:ascii="Arial" w:hAnsi="Arial" w:cs="Arial"/>
                <w:color w:val="auto"/>
                <w:kern w:val="0"/>
              </w:rPr>
              <w:t>-259.2</w:t>
            </w:r>
            <w:r>
              <w:rPr>
                <w:rFonts w:ascii="宋体" w:hAnsi="宋体" w:cs="Arial"/>
                <w:color w:val="auto"/>
                <w:kern w:val="0"/>
              </w:rPr>
              <w:t>℃，沸点</w:t>
            </w:r>
            <w:r>
              <w:rPr>
                <w:rFonts w:ascii="Arial" w:hAnsi="Arial" w:cs="Arial"/>
                <w:color w:val="auto"/>
                <w:kern w:val="0"/>
              </w:rPr>
              <w:t>-252.8</w:t>
            </w:r>
            <w:r>
              <w:rPr>
                <w:rFonts w:ascii="宋体" w:hAnsi="宋体" w:cs="Arial"/>
                <w:color w:val="auto"/>
                <w:kern w:val="0"/>
              </w:rPr>
              <w:t>℃，气体密度</w:t>
            </w:r>
            <w:r>
              <w:rPr>
                <w:rFonts w:ascii="Arial" w:hAnsi="Arial" w:cs="Arial"/>
                <w:color w:val="auto"/>
                <w:kern w:val="0"/>
              </w:rPr>
              <w:t>0.0899g/L</w:t>
            </w:r>
            <w:r>
              <w:rPr>
                <w:rFonts w:ascii="宋体" w:hAnsi="宋体" w:cs="Arial"/>
                <w:color w:val="auto"/>
                <w:kern w:val="0"/>
              </w:rPr>
              <w:t>，相对密度（水</w:t>
            </w:r>
            <w:r>
              <w:rPr>
                <w:rFonts w:ascii="Arial" w:hAnsi="Arial" w:cs="Arial"/>
                <w:color w:val="auto"/>
                <w:kern w:val="0"/>
              </w:rPr>
              <w:t>=1</w:t>
            </w:r>
            <w:r>
              <w:rPr>
                <w:rFonts w:ascii="宋体" w:hAnsi="宋体" w:cs="Arial"/>
                <w:color w:val="auto"/>
                <w:kern w:val="0"/>
              </w:rPr>
              <w:t>）</w:t>
            </w:r>
            <w:r>
              <w:rPr>
                <w:rFonts w:ascii="Arial" w:hAnsi="Arial" w:cs="Arial"/>
                <w:color w:val="auto"/>
                <w:kern w:val="0"/>
              </w:rPr>
              <w:t>0.07(-252</w:t>
            </w:r>
            <w:r>
              <w:rPr>
                <w:rFonts w:ascii="宋体" w:hAnsi="宋体" w:cs="Arial"/>
                <w:color w:val="auto"/>
                <w:kern w:val="0"/>
              </w:rPr>
              <w:t>℃</w:t>
            </w:r>
            <w:r>
              <w:rPr>
                <w:rFonts w:ascii="Arial" w:hAnsi="Arial" w:cs="Arial"/>
                <w:color w:val="auto"/>
                <w:kern w:val="0"/>
              </w:rPr>
              <w:t>)</w:t>
            </w:r>
            <w:r>
              <w:rPr>
                <w:rFonts w:ascii="宋体" w:hAnsi="宋体" w:cs="Arial"/>
                <w:color w:val="auto"/>
                <w:kern w:val="0"/>
              </w:rPr>
              <w:t>，相对蒸气密度（空气</w:t>
            </w:r>
            <w:r>
              <w:rPr>
                <w:rFonts w:ascii="Arial" w:hAnsi="Arial" w:cs="Arial"/>
                <w:color w:val="auto"/>
                <w:kern w:val="0"/>
              </w:rPr>
              <w:t>=1</w:t>
            </w:r>
            <w:r>
              <w:rPr>
                <w:rFonts w:ascii="宋体" w:hAnsi="宋体" w:cs="Arial"/>
                <w:color w:val="auto"/>
                <w:kern w:val="0"/>
              </w:rPr>
              <w:t>）</w:t>
            </w:r>
            <w:r>
              <w:rPr>
                <w:rFonts w:ascii="Arial" w:hAnsi="Arial" w:cs="Arial"/>
                <w:color w:val="auto"/>
                <w:kern w:val="0"/>
              </w:rPr>
              <w:t>0.07</w:t>
            </w:r>
            <w:r>
              <w:rPr>
                <w:rFonts w:ascii="宋体" w:hAnsi="宋体" w:cs="Arial"/>
                <w:color w:val="auto"/>
                <w:kern w:val="0"/>
              </w:rPr>
              <w:t>，临界压力</w:t>
            </w:r>
            <w:r>
              <w:rPr>
                <w:rFonts w:ascii="Arial" w:hAnsi="Arial" w:cs="Arial"/>
                <w:color w:val="auto"/>
                <w:kern w:val="0"/>
              </w:rPr>
              <w:t>1.30MPa</w:t>
            </w:r>
            <w:r>
              <w:rPr>
                <w:rFonts w:ascii="宋体" w:hAnsi="宋体" w:cs="Arial"/>
                <w:color w:val="auto"/>
                <w:kern w:val="0"/>
              </w:rPr>
              <w:t>，临界温度</w:t>
            </w:r>
            <w:r>
              <w:rPr>
                <w:rFonts w:ascii="Arial" w:hAnsi="Arial" w:cs="Arial"/>
                <w:color w:val="auto"/>
                <w:kern w:val="0"/>
              </w:rPr>
              <w:t>-240</w:t>
            </w:r>
            <w:r>
              <w:rPr>
                <w:rFonts w:ascii="宋体" w:hAnsi="宋体" w:cs="Arial"/>
                <w:color w:val="auto"/>
                <w:kern w:val="0"/>
              </w:rPr>
              <w:t>℃，饱和蒸气压</w:t>
            </w:r>
            <w:r>
              <w:rPr>
                <w:rFonts w:ascii="Arial" w:hAnsi="Arial" w:cs="Arial"/>
                <w:color w:val="auto"/>
                <w:kern w:val="0"/>
              </w:rPr>
              <w:t>13.33kPa(-257.9</w:t>
            </w:r>
            <w:r>
              <w:rPr>
                <w:rFonts w:ascii="宋体" w:hAnsi="宋体" w:cs="Arial"/>
                <w:color w:val="auto"/>
                <w:kern w:val="0"/>
              </w:rPr>
              <w:t>℃</w:t>
            </w:r>
            <w:r>
              <w:rPr>
                <w:rFonts w:ascii="Arial" w:hAnsi="Arial" w:cs="Arial"/>
                <w:color w:val="auto"/>
                <w:kern w:val="0"/>
              </w:rPr>
              <w:t>)</w:t>
            </w:r>
            <w:r>
              <w:rPr>
                <w:rFonts w:ascii="宋体" w:hAnsi="宋体" w:cs="Arial"/>
                <w:color w:val="auto"/>
                <w:kern w:val="0"/>
              </w:rPr>
              <w:t>，爆炸极限</w:t>
            </w:r>
            <w:r>
              <w:rPr>
                <w:rFonts w:ascii="Arial" w:hAnsi="Arial" w:cs="Arial"/>
                <w:color w:val="auto"/>
                <w:kern w:val="0"/>
              </w:rPr>
              <w:t>4%</w:t>
            </w:r>
            <w:r>
              <w:rPr>
                <w:rFonts w:ascii="宋体" w:hAnsi="宋体" w:cs="Arial"/>
                <w:color w:val="auto"/>
                <w:kern w:val="0"/>
              </w:rPr>
              <w:t>～</w:t>
            </w:r>
            <w:r>
              <w:rPr>
                <w:rFonts w:ascii="Arial" w:hAnsi="Arial" w:cs="Arial"/>
                <w:color w:val="auto"/>
                <w:kern w:val="0"/>
              </w:rPr>
              <w:t>75%</w:t>
            </w:r>
            <w:r>
              <w:rPr>
                <w:rFonts w:ascii="宋体" w:hAnsi="宋体" w:cs="Arial"/>
                <w:color w:val="auto"/>
                <w:kern w:val="0"/>
              </w:rPr>
              <w:t>（体积比），自燃温度</w:t>
            </w:r>
            <w:r>
              <w:rPr>
                <w:rFonts w:ascii="Arial" w:hAnsi="Arial" w:cs="Arial"/>
                <w:color w:val="auto"/>
                <w:kern w:val="0"/>
              </w:rPr>
              <w:t>500</w:t>
            </w:r>
            <w:r>
              <w:rPr>
                <w:rFonts w:ascii="宋体" w:hAnsi="宋体" w:cs="Arial"/>
                <w:color w:val="auto"/>
                <w:kern w:val="0"/>
              </w:rPr>
              <w:t>℃，最小点火能</w:t>
            </w:r>
            <w:r>
              <w:rPr>
                <w:rFonts w:ascii="Arial" w:hAnsi="Arial" w:cs="Arial"/>
                <w:color w:val="auto"/>
                <w:kern w:val="0"/>
              </w:rPr>
              <w:t>0.019mJ</w:t>
            </w:r>
            <w:r>
              <w:rPr>
                <w:rFonts w:ascii="宋体" w:hAnsi="宋体" w:cs="Arial"/>
                <w:color w:val="auto"/>
                <w:kern w:val="0"/>
              </w:rPr>
              <w:t>，最大爆炸压力</w:t>
            </w:r>
            <w:r>
              <w:rPr>
                <w:rFonts w:ascii="Arial" w:hAnsi="Arial" w:cs="Arial"/>
                <w:color w:val="auto"/>
                <w:kern w:val="0"/>
              </w:rPr>
              <w:t>0.720MPa</w:t>
            </w:r>
            <w:r>
              <w:rPr>
                <w:rFonts w:ascii="宋体" w:hAnsi="宋体" w:cs="Arial"/>
                <w:color w:val="auto"/>
                <w:kern w:val="0"/>
              </w:rPr>
              <w:t>。</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主要用途：主要用于合成氨和甲醇等，石油精制，有机物氢化及作火箭燃料。</w:t>
            </w:r>
            <w:r>
              <w:rPr>
                <w:rFonts w:ascii="Arial" w:hAnsi="Arial" w:cs="Arial"/>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line="300" w:lineRule="exact"/>
              <w:jc w:val="center"/>
              <w:rPr>
                <w:rFonts w:ascii="Arial" w:hAnsi="Arial" w:cs="Arial"/>
                <w:color w:val="auto"/>
              </w:rPr>
            </w:pPr>
            <w:r>
              <w:rPr>
                <w:rFonts w:ascii="宋体" w:hAnsi="宋体" w:cs="Arial"/>
                <w:color w:val="auto"/>
              </w:rPr>
              <w:t>危害信息</w:t>
            </w:r>
          </w:p>
        </w:tc>
        <w:tc>
          <w:tcPr>
            <w:tcW w:w="7815" w:type="dxa"/>
            <w:tcBorders>
              <w:top w:val="single" w:color="auto" w:sz="4" w:space="0"/>
              <w:left w:val="single" w:color="auto" w:sz="4" w:space="0"/>
              <w:bottom w:val="single" w:color="auto" w:sz="4" w:space="0"/>
              <w:right w:val="single" w:color="auto" w:sz="4" w:space="0"/>
            </w:tcBorders>
          </w:tcPr>
          <w:p>
            <w:pPr>
              <w:autoSpaceDE w:val="0"/>
              <w:autoSpaceDN w:val="0"/>
              <w:spacing w:line="300" w:lineRule="exact"/>
              <w:jc w:val="left"/>
              <w:rPr>
                <w:rFonts w:ascii="Arial" w:hAnsi="Arial" w:cs="Arial"/>
                <w:color w:val="auto"/>
                <w:kern w:val="0"/>
              </w:rPr>
            </w:pPr>
            <w:r>
              <w:rPr>
                <w:rFonts w:ascii="宋体" w:hAnsi="宋体" w:cs="Arial"/>
                <w:color w:val="auto"/>
                <w:kern w:val="0"/>
              </w:rPr>
              <w:t>【燃烧和爆炸危险性】</w:t>
            </w:r>
            <w:r>
              <w:rPr>
                <w:rFonts w:ascii="Arial" w:hAnsi="Arial" w:cs="Arial"/>
                <w:color w:val="auto"/>
                <w:kern w:val="0"/>
              </w:rPr>
              <w:t xml:space="preserve"> </w:t>
            </w:r>
            <w:r>
              <w:rPr>
                <w:rFonts w:ascii="宋体" w:hAnsi="宋体" w:cs="Arial"/>
                <w:color w:val="auto"/>
                <w:kern w:val="0"/>
              </w:rPr>
              <w:t>极易燃，与空气混合能形成爆炸性混合物，遇热或明火即发生爆炸。比空气轻，在室内使用和储存时，漏气上升滞留屋顶不易排出，遇火星会引起爆炸。在空气中燃烧时，火焰呈蓝色，不易被发现。</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【活性反应】</w:t>
            </w:r>
            <w:r>
              <w:rPr>
                <w:rFonts w:ascii="Arial" w:hAnsi="Arial" w:cs="Arial"/>
                <w:color w:val="auto"/>
                <w:kern w:val="0"/>
              </w:rPr>
              <w:t xml:space="preserve"> </w:t>
            </w:r>
            <w:r>
              <w:rPr>
                <w:rFonts w:ascii="宋体" w:hAnsi="宋体" w:cs="Arial"/>
                <w:color w:val="auto"/>
                <w:kern w:val="0"/>
              </w:rPr>
              <w:t>与氟、氯、溴等卤素会剧烈反应。</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【健康危害】</w:t>
            </w:r>
            <w:r>
              <w:rPr>
                <w:rFonts w:ascii="Arial" w:hAnsi="Arial" w:cs="Arial"/>
                <w:color w:val="auto"/>
                <w:kern w:val="0"/>
              </w:rPr>
              <w:t xml:space="preserve"> </w:t>
            </w:r>
            <w:r>
              <w:rPr>
                <w:rFonts w:ascii="宋体" w:hAnsi="宋体" w:cs="Arial"/>
                <w:color w:val="auto"/>
                <w:kern w:val="0"/>
              </w:rPr>
              <w:t>为单纯性窒息性气体，仅在高浓度时，由于空气中氧分压降低才引起缺氧性窒息。在很高的分压下，呈现出麻醉作用。</w:t>
            </w:r>
            <w:r>
              <w:rPr>
                <w:rFonts w:ascii="Arial" w:hAnsi="Arial" w:cs="Arial"/>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00" w:lineRule="exact"/>
              <w:jc w:val="center"/>
              <w:rPr>
                <w:rFonts w:ascii="Arial" w:hAnsi="Arial" w:cs="Arial"/>
                <w:color w:val="auto"/>
                <w:kern w:val="0"/>
              </w:rPr>
            </w:pPr>
            <w:r>
              <w:rPr>
                <w:rFonts w:ascii="宋体" w:hAnsi="宋体" w:cs="Arial"/>
                <w:color w:val="auto"/>
                <w:kern w:val="0"/>
              </w:rPr>
              <w:t>安全措施</w:t>
            </w:r>
          </w:p>
        </w:tc>
        <w:tc>
          <w:tcPr>
            <w:tcW w:w="7815" w:type="dxa"/>
            <w:tcBorders>
              <w:top w:val="single" w:color="auto" w:sz="4" w:space="0"/>
              <w:left w:val="single" w:color="auto" w:sz="4" w:space="0"/>
              <w:bottom w:val="single" w:color="auto" w:sz="4" w:space="0"/>
              <w:right w:val="single" w:color="auto" w:sz="4" w:space="0"/>
            </w:tcBorders>
          </w:tcPr>
          <w:p>
            <w:pPr>
              <w:autoSpaceDE w:val="0"/>
              <w:autoSpaceDN w:val="0"/>
              <w:spacing w:line="300" w:lineRule="exact"/>
              <w:jc w:val="left"/>
              <w:rPr>
                <w:rFonts w:ascii="Arial" w:hAnsi="Arial" w:cs="Arial"/>
                <w:color w:val="auto"/>
                <w:kern w:val="0"/>
              </w:rPr>
            </w:pPr>
            <w:r>
              <w:rPr>
                <w:rFonts w:ascii="宋体" w:hAnsi="宋体" w:cs="Arial"/>
                <w:color w:val="auto"/>
                <w:kern w:val="0"/>
              </w:rPr>
              <w:t>【一般要求】</w:t>
            </w:r>
            <w:r>
              <w:rPr>
                <w:rFonts w:ascii="Arial" w:hAnsi="Arial" w:cs="Arial"/>
                <w:color w:val="auto"/>
                <w:kern w:val="0"/>
              </w:rPr>
              <w:t xml:space="preserve"> </w:t>
            </w:r>
            <w:r>
              <w:rPr>
                <w:rFonts w:ascii="宋体" w:hAnsi="宋体" w:cs="Arial"/>
                <w:color w:val="auto"/>
                <w:kern w:val="0"/>
              </w:rPr>
              <w:t>操作人员必须经过专门培训，严格遵守操作规程，熟练掌握操作技能，具备应急处置知识。</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密闭操作，严防泄漏，工作场所加强通风。远离火种、热源，工作场所严禁吸烟。</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生产、使用氢气的车间及贮氢场所应设置氢气泄漏检测报警仪，使用防爆型的通风系统和设备。建议操作人员穿防静电工作服。储罐等压力容器和设备应设置安全阀、压力表、温度计，并应装有带压力、温度远传记录和报警功能的安全装置。</w:t>
            </w:r>
            <w:r>
              <w:rPr>
                <w:rFonts w:ascii="Arial" w:hAnsi="Arial" w:cs="Arial"/>
                <w:color w:val="auto"/>
                <w:kern w:val="0"/>
              </w:rPr>
              <w:t xml:space="preserve"> </w:t>
            </w:r>
            <w:r>
              <w:rPr>
                <w:rFonts w:ascii="宋体" w:hAnsi="宋体" w:cs="Arial"/>
                <w:color w:val="auto"/>
                <w:kern w:val="0"/>
              </w:rPr>
              <w:t>避免与氧化剂、卤素接触。</w:t>
            </w:r>
            <w:r>
              <w:rPr>
                <w:rFonts w:ascii="Arial" w:hAnsi="Arial" w:cs="Arial"/>
                <w:color w:val="auto"/>
                <w:kern w:val="0"/>
              </w:rPr>
              <w:t xml:space="preserve"> </w:t>
            </w:r>
          </w:p>
          <w:p>
            <w:pPr>
              <w:autoSpaceDE w:val="0"/>
              <w:autoSpaceDN w:val="0"/>
              <w:spacing w:line="300" w:lineRule="exact"/>
              <w:jc w:val="left"/>
              <w:rPr>
                <w:rFonts w:ascii="Arial" w:hAnsi="宋体" w:cs="Arial"/>
                <w:color w:val="auto"/>
                <w:kern w:val="0"/>
              </w:rPr>
            </w:pPr>
            <w:r>
              <w:rPr>
                <w:rFonts w:ascii="宋体" w:hAnsi="宋体" w:cs="Arial"/>
                <w:color w:val="auto"/>
                <w:kern w:val="0"/>
              </w:rPr>
              <w:t>生产、储存区域应设置安全警示标志。在传送过程中，钢瓶和容器必须接地和跨接，防止产生静电。搬运时轻装轻卸，防止钢瓶及附件破损。配备相应品种和数量的消防器材及泄漏应急处理设备。</w:t>
            </w:r>
          </w:p>
          <w:p>
            <w:pPr>
              <w:autoSpaceDE w:val="0"/>
              <w:autoSpaceDN w:val="0"/>
              <w:spacing w:line="300" w:lineRule="exact"/>
              <w:jc w:val="left"/>
              <w:rPr>
                <w:rFonts w:ascii="Arial" w:hAnsi="Arial" w:cs="Arial"/>
                <w:color w:val="auto"/>
                <w:kern w:val="0"/>
              </w:rPr>
            </w:pPr>
            <w:r>
              <w:rPr>
                <w:rFonts w:ascii="宋体" w:hAnsi="宋体" w:cs="Arial"/>
                <w:color w:val="auto"/>
                <w:kern w:val="0"/>
              </w:rPr>
              <w:t>【特殊要求】</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【操作安全】</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1</w:t>
            </w:r>
            <w:r>
              <w:rPr>
                <w:rFonts w:ascii="宋体" w:hAnsi="宋体" w:cs="Arial"/>
                <w:color w:val="auto"/>
                <w:kern w:val="0"/>
              </w:rPr>
              <w:t>）氢气系统运行时，不准敲击，不准带压修理和紧固，不得超压，严禁负压。制氢和充灌人员工作时，不可穿戴易产生静电的服装及带钉的鞋作业，以免产生静电和撞击起火。</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2</w:t>
            </w:r>
            <w:r>
              <w:rPr>
                <w:rFonts w:ascii="宋体" w:hAnsi="宋体" w:cs="Arial"/>
                <w:color w:val="auto"/>
                <w:kern w:val="0"/>
              </w:rPr>
              <w:t>）当氢气作焊接、切割、燃料和保护气等使用时，每台</w:t>
            </w:r>
            <w:r>
              <w:rPr>
                <w:rFonts w:ascii="Arial" w:hAnsi="Arial" w:cs="Arial"/>
                <w:color w:val="auto"/>
                <w:kern w:val="0"/>
              </w:rPr>
              <w:t>(</w:t>
            </w:r>
            <w:r>
              <w:rPr>
                <w:rFonts w:ascii="宋体" w:hAnsi="宋体" w:cs="Arial"/>
                <w:color w:val="auto"/>
                <w:kern w:val="0"/>
              </w:rPr>
              <w:t>组</w:t>
            </w:r>
            <w:r>
              <w:rPr>
                <w:rFonts w:ascii="Arial" w:hAnsi="Arial" w:cs="Arial"/>
                <w:color w:val="auto"/>
                <w:kern w:val="0"/>
              </w:rPr>
              <w:t>)</w:t>
            </w:r>
            <w:r>
              <w:rPr>
                <w:rFonts w:ascii="宋体" w:hAnsi="宋体" w:cs="Arial"/>
                <w:color w:val="auto"/>
                <w:kern w:val="0"/>
              </w:rPr>
              <w:t>用氢设备的支管上应设阻火器。因生产需要，必须在现场（室内）使用氢气瓶时，其数量不得超过</w:t>
            </w:r>
            <w:r>
              <w:rPr>
                <w:rFonts w:ascii="Arial" w:hAnsi="Arial" w:cs="Arial"/>
                <w:color w:val="auto"/>
                <w:kern w:val="0"/>
              </w:rPr>
              <w:t>5</w:t>
            </w:r>
            <w:r>
              <w:rPr>
                <w:rFonts w:ascii="宋体" w:hAnsi="宋体" w:cs="Arial"/>
                <w:color w:val="auto"/>
                <w:kern w:val="0"/>
              </w:rPr>
              <w:t>瓶，并且氢气瓶与盛有易燃、易爆、可燃物质及氧化性气体的容器或气瓶的间距不应小于</w:t>
            </w:r>
            <w:r>
              <w:rPr>
                <w:rFonts w:ascii="Arial" w:hAnsi="Arial" w:cs="Arial"/>
                <w:color w:val="auto"/>
                <w:kern w:val="0"/>
              </w:rPr>
              <w:t>8m</w:t>
            </w:r>
            <w:r>
              <w:rPr>
                <w:rFonts w:ascii="宋体" w:hAnsi="宋体" w:cs="Arial"/>
                <w:color w:val="auto"/>
                <w:kern w:val="0"/>
              </w:rPr>
              <w:t>，与空调装置、空气压缩机和通风设备等吸风口的间距不应小于</w:t>
            </w:r>
            <w:r>
              <w:rPr>
                <w:rFonts w:ascii="Arial" w:hAnsi="Arial" w:cs="Arial"/>
                <w:color w:val="auto"/>
                <w:kern w:val="0"/>
              </w:rPr>
              <w:t>20m</w:t>
            </w:r>
            <w:r>
              <w:rPr>
                <w:rFonts w:ascii="宋体" w:hAnsi="宋体" w:cs="Arial"/>
                <w:color w:val="auto"/>
                <w:kern w:val="0"/>
              </w:rPr>
              <w:t>。（</w:t>
            </w:r>
            <w:r>
              <w:rPr>
                <w:rFonts w:ascii="Arial" w:hAnsi="Arial" w:cs="Arial"/>
                <w:color w:val="auto"/>
                <w:kern w:val="0"/>
              </w:rPr>
              <w:t>3</w:t>
            </w:r>
            <w:r>
              <w:rPr>
                <w:rFonts w:ascii="宋体" w:hAnsi="宋体" w:cs="Arial"/>
                <w:color w:val="auto"/>
                <w:kern w:val="0"/>
              </w:rPr>
              <w:t>）管道、阀门和水封装置冻结时，只能用热水或蒸汽加热解冻，严禁使用明火烘烤。不准在室内排放氢气。吹洗置换，应立即切断气源，进行通风，不得进行可能发生火花的一切操作。</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4</w:t>
            </w:r>
            <w:r>
              <w:rPr>
                <w:rFonts w:ascii="宋体" w:hAnsi="宋体" w:cs="Arial"/>
                <w:color w:val="auto"/>
                <w:kern w:val="0"/>
              </w:rPr>
              <w:t>）使用氢气瓶时注意以下事项：</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必须使用专用的减压器，开启时，操作者应站在阀口的侧后方，动作要轻缓；</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气瓶的阀门或减压器泄漏时，不得继续使用。阀门损坏时，严禁在瓶内有压力的情况下更换阀门；</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气瓶禁止敲击、碰撞，不得靠近热源，夏季应防止曝晒；</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瓶内气体严禁用尽，应留有</w:t>
            </w:r>
            <w:r>
              <w:rPr>
                <w:rFonts w:ascii="Arial" w:hAnsi="Arial" w:cs="Arial"/>
                <w:color w:val="auto"/>
                <w:kern w:val="0"/>
              </w:rPr>
              <w:t>0.5MPa</w:t>
            </w:r>
            <w:r>
              <w:rPr>
                <w:rFonts w:ascii="宋体" w:hAnsi="宋体" w:cs="Arial"/>
                <w:color w:val="auto"/>
                <w:kern w:val="0"/>
              </w:rPr>
              <w:t>的剩余压力。</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【储存安全】</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1</w:t>
            </w:r>
            <w:r>
              <w:rPr>
                <w:rFonts w:ascii="宋体" w:hAnsi="宋体" w:cs="Arial"/>
                <w:color w:val="auto"/>
                <w:kern w:val="0"/>
              </w:rPr>
              <w:t>）储存于阴凉、通风的易燃气体专用库房。远离火种、热源。库房温度不超过</w:t>
            </w:r>
            <w:r>
              <w:rPr>
                <w:rFonts w:ascii="Arial" w:hAnsi="Arial" w:cs="Arial"/>
                <w:color w:val="auto"/>
                <w:kern w:val="0"/>
              </w:rPr>
              <w:t>30</w:t>
            </w:r>
            <w:r>
              <w:rPr>
                <w:rFonts w:ascii="宋体" w:hAnsi="宋体" w:cs="Arial"/>
                <w:color w:val="auto"/>
                <w:kern w:val="0"/>
              </w:rPr>
              <w:t>℃。</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2</w:t>
            </w:r>
            <w:r>
              <w:rPr>
                <w:rFonts w:ascii="宋体" w:hAnsi="宋体" w:cs="Arial"/>
                <w:color w:val="auto"/>
                <w:kern w:val="0"/>
              </w:rPr>
              <w:t>）应与氧化剂、卤素分开存放，切忌混储。采用防爆型照明、通风设施。禁止使用易产生火花的机械设备和工具。储存区应备有泄漏应急处理设备。储存室内必须通风良好，保证空气中氢气最高含量不超过</w:t>
            </w:r>
            <w:r>
              <w:rPr>
                <w:rFonts w:ascii="Arial" w:hAnsi="Arial" w:cs="Arial"/>
                <w:color w:val="auto"/>
                <w:kern w:val="0"/>
              </w:rPr>
              <w:t>1%</w:t>
            </w:r>
            <w:r>
              <w:rPr>
                <w:rFonts w:ascii="宋体" w:hAnsi="宋体" w:cs="Arial"/>
                <w:color w:val="auto"/>
                <w:kern w:val="0"/>
              </w:rPr>
              <w:t>（体积比）。储存室建筑物顶部或外墙的上部设气窗或排气孔。排气孔应朝向安全地带，室内换气次数每小时不得小于</w:t>
            </w:r>
            <w:r>
              <w:rPr>
                <w:rFonts w:ascii="Arial" w:hAnsi="Arial" w:cs="Arial"/>
                <w:color w:val="auto"/>
                <w:kern w:val="0"/>
              </w:rPr>
              <w:t>3</w:t>
            </w:r>
            <w:r>
              <w:rPr>
                <w:rFonts w:ascii="宋体" w:hAnsi="宋体" w:cs="Arial"/>
                <w:color w:val="auto"/>
                <w:kern w:val="0"/>
              </w:rPr>
              <w:t>次，事故通风每小时换气次数不得小于</w:t>
            </w:r>
            <w:r>
              <w:rPr>
                <w:rFonts w:ascii="Arial" w:hAnsi="Arial" w:cs="Arial"/>
                <w:color w:val="auto"/>
                <w:kern w:val="0"/>
              </w:rPr>
              <w:t>7</w:t>
            </w:r>
            <w:r>
              <w:rPr>
                <w:rFonts w:ascii="宋体" w:hAnsi="宋体" w:cs="Arial"/>
                <w:color w:val="auto"/>
                <w:kern w:val="0"/>
              </w:rPr>
              <w:t>次。</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3</w:t>
            </w:r>
            <w:r>
              <w:rPr>
                <w:rFonts w:ascii="宋体" w:hAnsi="宋体" w:cs="Arial"/>
                <w:color w:val="auto"/>
                <w:kern w:val="0"/>
              </w:rPr>
              <w:t>）氢气瓶与盛有易燃、易爆、可燃物质及氧化性气体的容器或气瓶的间距不应小于</w:t>
            </w:r>
            <w:r>
              <w:rPr>
                <w:rFonts w:ascii="Arial" w:hAnsi="Arial" w:cs="Arial"/>
                <w:color w:val="auto"/>
                <w:kern w:val="0"/>
              </w:rPr>
              <w:t>8m</w:t>
            </w:r>
            <w:r>
              <w:rPr>
                <w:rFonts w:ascii="宋体" w:hAnsi="宋体" w:cs="Arial"/>
                <w:color w:val="auto"/>
                <w:kern w:val="0"/>
              </w:rPr>
              <w:t>；与空调装置、空气压缩机或通风设备等吸风口的间距不应小于</w:t>
            </w:r>
            <w:r>
              <w:rPr>
                <w:rFonts w:ascii="Arial" w:hAnsi="Arial" w:cs="Arial"/>
                <w:color w:val="auto"/>
                <w:kern w:val="0"/>
              </w:rPr>
              <w:t>20m</w:t>
            </w:r>
            <w:r>
              <w:rPr>
                <w:rFonts w:ascii="宋体" w:hAnsi="宋体" w:cs="Arial"/>
                <w:color w:val="auto"/>
                <w:kern w:val="0"/>
              </w:rPr>
              <w:t>；与明火或普通电气设备的间距不应小于</w:t>
            </w:r>
            <w:r>
              <w:rPr>
                <w:rFonts w:ascii="Arial" w:hAnsi="Arial" w:cs="Arial"/>
                <w:color w:val="auto"/>
                <w:kern w:val="0"/>
              </w:rPr>
              <w:t>10m</w:t>
            </w:r>
            <w:r>
              <w:rPr>
                <w:rFonts w:ascii="宋体" w:hAnsi="宋体" w:cs="Arial"/>
                <w:color w:val="auto"/>
                <w:kern w:val="0"/>
              </w:rPr>
              <w:t>。</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【运输安全】</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1</w:t>
            </w:r>
            <w:r>
              <w:rPr>
                <w:rFonts w:ascii="宋体" w:hAnsi="宋体" w:cs="Arial"/>
                <w:color w:val="auto"/>
                <w:kern w:val="0"/>
              </w:rPr>
              <w:t>）运输车辆应有危险货物运输标志、安装具有行驶记录功能的卫星定位装置。未经公安机关批准，运输车辆不得进入危险化学品运输车辆限制通行的区域。</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2</w:t>
            </w:r>
            <w:r>
              <w:rPr>
                <w:rFonts w:ascii="宋体" w:hAnsi="宋体" w:cs="Arial"/>
                <w:color w:val="auto"/>
                <w:kern w:val="0"/>
              </w:rPr>
              <w:t>）槽车运输时要用专用槽车。槽车安装的阻火器（火星熄灭器）必须完好。槽车和运输卡车要有导静电拖线；槽车上要备有</w:t>
            </w:r>
            <w:r>
              <w:rPr>
                <w:rFonts w:ascii="Arial" w:hAnsi="Arial" w:cs="Arial"/>
                <w:color w:val="auto"/>
                <w:kern w:val="0"/>
              </w:rPr>
              <w:t>2</w:t>
            </w:r>
            <w:r>
              <w:rPr>
                <w:rFonts w:ascii="宋体" w:hAnsi="宋体" w:cs="Arial"/>
                <w:color w:val="auto"/>
                <w:kern w:val="0"/>
              </w:rPr>
              <w:t>只以上干粉或二氧化碳灭火器和防爆工具；要有遮阳措施，防止阳光直射。</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3</w:t>
            </w:r>
            <w:r>
              <w:rPr>
                <w:rFonts w:ascii="宋体" w:hAnsi="宋体" w:cs="Arial"/>
                <w:color w:val="auto"/>
                <w:kern w:val="0"/>
              </w:rPr>
              <w:t>）在使用汽车、手推车运输氢气瓶时，应轻装轻卸。严禁抛、滑、滚、碰。严禁用电磁起重机和链绳吊装搬运。装运时，应妥善固定。汽车装运时，氢气瓶头部应朝向同一方向，装车高度不得超过车厢高度，直立排放时，车厢高度不得低于瓶高的</w:t>
            </w:r>
            <w:r>
              <w:rPr>
                <w:rFonts w:ascii="Arial" w:hAnsi="Arial" w:cs="Arial"/>
                <w:color w:val="auto"/>
                <w:kern w:val="0"/>
              </w:rPr>
              <w:t>2/3</w:t>
            </w:r>
            <w:r>
              <w:rPr>
                <w:rFonts w:ascii="宋体" w:hAnsi="宋体" w:cs="Arial"/>
                <w:color w:val="auto"/>
                <w:kern w:val="0"/>
              </w:rPr>
              <w:t>。不能和氧化剂、卤素等同车混运。夏季应早晚运输，防止日光曝晒。中途停留时应远离火种、热源。</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w:t>
            </w:r>
            <w:r>
              <w:rPr>
                <w:rFonts w:ascii="Arial" w:hAnsi="Arial" w:cs="Arial"/>
                <w:color w:val="auto"/>
                <w:kern w:val="0"/>
              </w:rPr>
              <w:t>4</w:t>
            </w:r>
            <w:r>
              <w:rPr>
                <w:rFonts w:ascii="宋体" w:hAnsi="宋体" w:cs="Arial"/>
                <w:color w:val="auto"/>
                <w:kern w:val="0"/>
              </w:rPr>
              <w:t>）氢气管道输送时，管道敷设应符合下列要求：</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氢气管道宜采用架空敷设，其支架应为非燃烧体。架空管道不应与电缆、导电线敷设在同一支架上；</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氢气管道与燃气管道、氧气管道平行敷设时，中间宜有不燃物料管道隔开，或净距不小于</w:t>
            </w:r>
            <w:r>
              <w:rPr>
                <w:rFonts w:ascii="Arial" w:hAnsi="Arial" w:cs="Arial"/>
                <w:color w:val="auto"/>
                <w:kern w:val="0"/>
              </w:rPr>
              <w:t>250mm</w:t>
            </w:r>
            <w:r>
              <w:rPr>
                <w:rFonts w:ascii="宋体" w:hAnsi="宋体" w:cs="Arial"/>
                <w:color w:val="auto"/>
                <w:kern w:val="0"/>
              </w:rPr>
              <w:t>。分层敷设时，氢气管道应位于上方。氢气管道与建筑物、构筑物或其他管线的最小净距可参照有关规定执行；</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室内管道不应敷设在地沟中或直接埋地，室外地沟敷设的管道，应有防止氢气泄漏、积聚或窜入其他沟道的措施。埋地敷设的管道埋深不宜小于</w:t>
            </w:r>
            <w:r>
              <w:rPr>
                <w:rFonts w:ascii="Arial" w:hAnsi="Arial" w:cs="Arial"/>
                <w:color w:val="auto"/>
                <w:kern w:val="0"/>
              </w:rPr>
              <w:t>0.7m</w:t>
            </w:r>
            <w:r>
              <w:rPr>
                <w:rFonts w:ascii="宋体" w:hAnsi="宋体" w:cs="Arial"/>
                <w:color w:val="auto"/>
                <w:kern w:val="0"/>
              </w:rPr>
              <w:t>。含湿氢气的管道应敷设在冰冻层以下；</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Arial" w:hAnsi="Arial" w:cs="Arial"/>
                <w:color w:val="auto"/>
                <w:kern w:val="0"/>
              </w:rPr>
              <w:t>——</w:t>
            </w:r>
            <w:r>
              <w:rPr>
                <w:rFonts w:ascii="宋体" w:hAnsi="宋体" w:cs="Arial"/>
                <w:color w:val="auto"/>
                <w:kern w:val="0"/>
              </w:rPr>
              <w:t>管道应避免穿过地沟、下水道及铁路汽车道路等，必须穿过时应设套管保护；</w:t>
            </w:r>
            <w:r>
              <w:rPr>
                <w:rFonts w:ascii="Arial" w:hAnsi="Arial" w:cs="Arial"/>
                <w:color w:val="auto"/>
                <w:kern w:val="0"/>
              </w:rPr>
              <w:t xml:space="preserve"> ——</w:t>
            </w:r>
            <w:r>
              <w:rPr>
                <w:rFonts w:ascii="宋体" w:hAnsi="宋体" w:cs="Arial"/>
                <w:color w:val="auto"/>
                <w:kern w:val="0"/>
              </w:rPr>
              <w:t>氢管道外壁颜色、标志应执行《工业管道的基本识别色、识别符号和安全标识》（</w:t>
            </w:r>
            <w:r>
              <w:rPr>
                <w:rFonts w:ascii="Arial" w:hAnsi="Arial" w:cs="Arial"/>
                <w:color w:val="auto"/>
                <w:kern w:val="0"/>
              </w:rPr>
              <w:t>GB 7231</w:t>
            </w:r>
            <w:r>
              <w:rPr>
                <w:rFonts w:ascii="宋体" w:hAnsi="宋体" w:cs="Arial"/>
                <w:color w:val="auto"/>
                <w:kern w:val="0"/>
              </w:rPr>
              <w:t>）的规定。</w:t>
            </w:r>
            <w:r>
              <w:rPr>
                <w:rFonts w:ascii="Arial" w:hAnsi="Arial" w:cs="Arial"/>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00" w:lineRule="exact"/>
              <w:jc w:val="center"/>
              <w:rPr>
                <w:rFonts w:ascii="Arial" w:hAnsi="Arial" w:cs="Arial"/>
                <w:color w:val="auto"/>
                <w:kern w:val="0"/>
              </w:rPr>
            </w:pPr>
            <w:r>
              <w:rPr>
                <w:rFonts w:ascii="宋体" w:hAnsi="宋体" w:cs="Arial"/>
                <w:color w:val="auto"/>
                <w:kern w:val="0"/>
              </w:rPr>
              <w:t>应急处置原则</w:t>
            </w:r>
          </w:p>
        </w:tc>
        <w:tc>
          <w:tcPr>
            <w:tcW w:w="7815" w:type="dxa"/>
            <w:tcBorders>
              <w:top w:val="single" w:color="auto" w:sz="4" w:space="0"/>
              <w:left w:val="single" w:color="auto" w:sz="4" w:space="0"/>
              <w:bottom w:val="single" w:color="auto" w:sz="4" w:space="0"/>
              <w:right w:val="single" w:color="auto" w:sz="4" w:space="0"/>
            </w:tcBorders>
          </w:tcPr>
          <w:p>
            <w:pPr>
              <w:autoSpaceDE w:val="0"/>
              <w:autoSpaceDN w:val="0"/>
              <w:spacing w:line="300" w:lineRule="exact"/>
              <w:jc w:val="left"/>
              <w:rPr>
                <w:rFonts w:ascii="Arial" w:hAnsi="宋体" w:cs="Arial"/>
                <w:color w:val="auto"/>
                <w:kern w:val="0"/>
              </w:rPr>
            </w:pPr>
            <w:r>
              <w:rPr>
                <w:rFonts w:ascii="宋体" w:hAnsi="宋体" w:cs="Arial"/>
                <w:color w:val="auto"/>
                <w:kern w:val="0"/>
              </w:rPr>
              <w:t>【急救措施】</w:t>
            </w:r>
            <w:r>
              <w:rPr>
                <w:rFonts w:ascii="Arial" w:hAnsi="Arial" w:cs="Arial"/>
                <w:color w:val="auto"/>
                <w:kern w:val="0"/>
              </w:rPr>
              <w:t xml:space="preserve"> </w:t>
            </w:r>
            <w:r>
              <w:rPr>
                <w:rFonts w:ascii="宋体" w:hAnsi="宋体" w:cs="Arial"/>
                <w:color w:val="auto"/>
                <w:kern w:val="0"/>
              </w:rPr>
              <w:t>吸入：迅速脱离现场至空气新鲜处。保持呼吸道通畅。如呼吸困难，给氧。如呼吸停止，立即进行人工呼吸。就医。</w:t>
            </w:r>
          </w:p>
          <w:p>
            <w:pPr>
              <w:autoSpaceDE w:val="0"/>
              <w:autoSpaceDN w:val="0"/>
              <w:spacing w:line="300" w:lineRule="exact"/>
              <w:jc w:val="left"/>
              <w:rPr>
                <w:rFonts w:ascii="Arial" w:hAnsi="Arial" w:cs="Arial"/>
                <w:color w:val="auto"/>
                <w:kern w:val="0"/>
              </w:rPr>
            </w:pPr>
            <w:r>
              <w:rPr>
                <w:rFonts w:ascii="Arial" w:hAnsi="Arial" w:cs="Arial"/>
                <w:color w:val="auto"/>
                <w:kern w:val="0"/>
              </w:rPr>
              <w:t xml:space="preserve"> </w:t>
            </w:r>
            <w:r>
              <w:rPr>
                <w:rFonts w:ascii="宋体" w:hAnsi="宋体" w:cs="Arial"/>
                <w:color w:val="auto"/>
                <w:kern w:val="0"/>
              </w:rPr>
              <w:t>【灭火方法】</w:t>
            </w:r>
            <w:r>
              <w:rPr>
                <w:rFonts w:ascii="Arial" w:hAnsi="Arial" w:cs="Arial"/>
                <w:color w:val="auto"/>
                <w:kern w:val="0"/>
              </w:rPr>
              <w:t xml:space="preserve"> </w:t>
            </w:r>
            <w:r>
              <w:rPr>
                <w:rFonts w:ascii="宋体" w:hAnsi="宋体" w:cs="Arial"/>
                <w:color w:val="auto"/>
                <w:kern w:val="0"/>
              </w:rPr>
              <w:t>切断气源。若不能切断气源，则不允许熄灭泄漏处的火焰。喷水冷却容器，尽可能将容器从火场移至空旷处。</w:t>
            </w:r>
            <w:r>
              <w:rPr>
                <w:rFonts w:ascii="Arial" w:hAnsi="Arial" w:cs="Arial"/>
                <w:color w:val="auto"/>
                <w:kern w:val="0"/>
              </w:rPr>
              <w:t xml:space="preserve"> </w:t>
            </w:r>
            <w:r>
              <w:rPr>
                <w:rFonts w:ascii="宋体" w:hAnsi="宋体" w:cs="Arial"/>
                <w:color w:val="auto"/>
                <w:kern w:val="0"/>
              </w:rPr>
              <w:t>氢火焰肉眼不易察觉，消防人员应佩戴自给式呼吸器，穿防静电服进入现场，注意防止外露皮肤烧伤。</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灭火剂：雾状水、泡沫、二氧化碳、干粉。</w:t>
            </w:r>
            <w:r>
              <w:rPr>
                <w:rFonts w:ascii="Arial" w:hAnsi="Arial" w:cs="Arial"/>
                <w:color w:val="auto"/>
                <w:kern w:val="0"/>
              </w:rPr>
              <w:t xml:space="preserve"> </w:t>
            </w:r>
          </w:p>
          <w:p>
            <w:pPr>
              <w:autoSpaceDE w:val="0"/>
              <w:autoSpaceDN w:val="0"/>
              <w:spacing w:line="300" w:lineRule="exact"/>
              <w:jc w:val="left"/>
              <w:rPr>
                <w:rFonts w:ascii="Arial" w:hAnsi="Arial" w:cs="Arial"/>
                <w:color w:val="auto"/>
                <w:kern w:val="0"/>
              </w:rPr>
            </w:pPr>
            <w:r>
              <w:rPr>
                <w:rFonts w:ascii="宋体" w:hAnsi="宋体" w:cs="Arial"/>
                <w:color w:val="auto"/>
                <w:kern w:val="0"/>
              </w:rPr>
              <w:t>【泄漏应急处置】</w:t>
            </w:r>
            <w:r>
              <w:rPr>
                <w:rFonts w:ascii="Arial" w:hAnsi="Arial" w:cs="Arial"/>
                <w:color w:val="auto"/>
                <w:kern w:val="0"/>
              </w:rPr>
              <w:t xml:space="preserve"> </w:t>
            </w:r>
            <w:r>
              <w:rPr>
                <w:rFonts w:ascii="宋体" w:hAnsi="宋体" w:cs="Arial"/>
                <w:color w:val="auto"/>
                <w:kern w:val="0"/>
              </w:rPr>
              <w:t>消除所有点火源。根据气体的影响区域划定警戒区，无关人员从侧风、上风向撤离至安全区。建议应急处理人员戴正压自给式空气呼吸器，穿防静电服。作业时使用的所有设备应接地。尽可能切断泄漏源。喷雾状水抑制蒸气或改变蒸气云流向。防止气体通过下水道、通风系统和密闭性空间扩散。若泄漏发生在室内，宜采用吸风系统或将泄漏的钢瓶移至室外，以避免氢气四处扩散。隔离泄漏区直至气体散尽。</w:t>
            </w:r>
            <w:r>
              <w:rPr>
                <w:rFonts w:ascii="Arial" w:hAnsi="Arial" w:cs="Arial"/>
                <w:color w:val="auto"/>
                <w:kern w:val="0"/>
              </w:rPr>
              <w:t xml:space="preserve"> </w:t>
            </w:r>
            <w:r>
              <w:rPr>
                <w:rFonts w:ascii="宋体" w:hAnsi="宋体" w:cs="Arial"/>
                <w:color w:val="auto"/>
                <w:kern w:val="0"/>
              </w:rPr>
              <w:t>作为一项紧急预防措施，泄漏隔离距离至少为</w:t>
            </w:r>
            <w:r>
              <w:rPr>
                <w:rFonts w:ascii="Arial" w:hAnsi="Arial" w:cs="Arial"/>
                <w:color w:val="auto"/>
                <w:kern w:val="0"/>
              </w:rPr>
              <w:t>100m</w:t>
            </w:r>
            <w:r>
              <w:rPr>
                <w:rFonts w:ascii="宋体" w:hAnsi="宋体" w:cs="Arial"/>
                <w:color w:val="auto"/>
                <w:kern w:val="0"/>
              </w:rPr>
              <w:t>。如果为大量泄漏，下风向的初始疏散距离应至少为</w:t>
            </w:r>
            <w:r>
              <w:rPr>
                <w:rFonts w:ascii="Arial" w:hAnsi="Arial" w:cs="Arial"/>
                <w:color w:val="auto"/>
                <w:kern w:val="0"/>
              </w:rPr>
              <w:t>800m</w:t>
            </w:r>
            <w:r>
              <w:rPr>
                <w:rFonts w:ascii="宋体" w:hAnsi="宋体" w:cs="Arial"/>
                <w:color w:val="auto"/>
                <w:kern w:val="0"/>
              </w:rPr>
              <w:t>。</w:t>
            </w:r>
            <w:r>
              <w:rPr>
                <w:rFonts w:ascii="Arial" w:hAnsi="Arial" w:cs="Arial"/>
                <w:color w:val="auto"/>
                <w:kern w:val="0"/>
              </w:rPr>
              <w:t xml:space="preserve"> </w:t>
            </w:r>
          </w:p>
        </w:tc>
      </w:tr>
    </w:tbl>
    <w:p>
      <w:pPr>
        <w:pStyle w:val="2"/>
        <w:rPr>
          <w:color w:val="auto"/>
        </w:rPr>
      </w:pPr>
    </w:p>
    <w:p>
      <w:pPr>
        <w:keepNext/>
        <w:keepLines/>
        <w:spacing w:line="360" w:lineRule="auto"/>
        <w:jc w:val="left"/>
        <w:outlineLvl w:val="1"/>
        <w:rPr>
          <w:rFonts w:ascii="Cambria" w:hAnsi="Cambria"/>
          <w:b/>
          <w:color w:val="auto"/>
          <w:sz w:val="30"/>
          <w:szCs w:val="32"/>
        </w:rPr>
      </w:pPr>
      <w:r>
        <w:rPr>
          <w:rFonts w:ascii="Cambria" w:hAnsi="Cambria"/>
          <w:b/>
          <w:color w:val="auto"/>
          <w:sz w:val="30"/>
          <w:szCs w:val="32"/>
        </w:rPr>
        <w:t>3.4</w:t>
      </w:r>
      <w:r>
        <w:rPr>
          <w:rFonts w:hint="eastAsia" w:ascii="Cambria" w:hAnsi="Cambria"/>
          <w:b/>
          <w:color w:val="auto"/>
          <w:sz w:val="30"/>
          <w:szCs w:val="32"/>
        </w:rPr>
        <w:t xml:space="preserve"> 特殊化学品分析结果</w:t>
      </w:r>
      <w:bookmarkEnd w:id="71"/>
    </w:p>
    <w:p>
      <w:pPr>
        <w:spacing w:line="600" w:lineRule="exact"/>
        <w:ind w:firstLine="560" w:firstLineChars="200"/>
        <w:rPr>
          <w:rFonts w:ascii="Calibri" w:hAnsi="Calibri"/>
          <w:color w:val="auto"/>
          <w:sz w:val="28"/>
          <w:szCs w:val="22"/>
        </w:rPr>
      </w:pPr>
      <w:r>
        <w:rPr>
          <w:rFonts w:hint="eastAsia"/>
          <w:color w:val="auto"/>
          <w:sz w:val="28"/>
          <w:szCs w:val="28"/>
        </w:rPr>
        <w:t>根据《易制毒化学品管理条例》（国务院令第445号）的规定，</w:t>
      </w:r>
      <w:r>
        <w:rPr>
          <w:rFonts w:hint="eastAsia" w:ascii="Calibri" w:hAnsi="Calibri"/>
          <w:color w:val="auto"/>
          <w:sz w:val="28"/>
          <w:szCs w:val="22"/>
        </w:rPr>
        <w:t>本项目甲苯、丙酮、硫酸属于第三类易制毒化学品。</w:t>
      </w:r>
    </w:p>
    <w:p>
      <w:pPr>
        <w:spacing w:line="600" w:lineRule="exact"/>
        <w:ind w:firstLine="560" w:firstLineChars="200"/>
        <w:rPr>
          <w:rFonts w:ascii="Calibri" w:hAnsi="Calibri"/>
          <w:color w:val="auto"/>
          <w:sz w:val="28"/>
          <w:szCs w:val="22"/>
        </w:rPr>
      </w:pPr>
      <w:r>
        <w:rPr>
          <w:rFonts w:hint="eastAsia" w:ascii="Calibri" w:hAnsi="Calibri"/>
          <w:color w:val="auto"/>
          <w:sz w:val="28"/>
          <w:szCs w:val="22"/>
        </w:rPr>
        <w:t>根据</w:t>
      </w:r>
      <w:r>
        <w:rPr>
          <w:rFonts w:cs="Segoe UI"/>
          <w:color w:val="auto"/>
          <w:sz w:val="27"/>
          <w:szCs w:val="27"/>
          <w:shd w:val="clear" w:color="auto" w:fill="FFFFFF"/>
        </w:rPr>
        <w:t>《各类监控化学品名录》</w:t>
      </w:r>
      <w:r>
        <w:rPr>
          <w:rFonts w:hint="eastAsia"/>
          <w:color w:val="auto"/>
          <w:sz w:val="28"/>
          <w:szCs w:val="28"/>
        </w:rPr>
        <w:t>（工业和信息化部令第52号）</w:t>
      </w:r>
      <w:r>
        <w:rPr>
          <w:rFonts w:hint="eastAsia" w:ascii="Calibri" w:hAnsi="Calibri"/>
          <w:color w:val="auto"/>
          <w:sz w:val="28"/>
          <w:szCs w:val="22"/>
        </w:rPr>
        <w:t>，本项目不涉及监控化学品。</w:t>
      </w:r>
    </w:p>
    <w:p>
      <w:pPr>
        <w:spacing w:line="600" w:lineRule="exact"/>
        <w:ind w:firstLine="560" w:firstLineChars="200"/>
        <w:rPr>
          <w:rFonts w:ascii="Calibri" w:hAnsi="Calibri"/>
          <w:color w:val="auto"/>
          <w:sz w:val="28"/>
          <w:szCs w:val="22"/>
        </w:rPr>
      </w:pPr>
      <w:r>
        <w:rPr>
          <w:rFonts w:hint="eastAsia" w:ascii="Calibri" w:hAnsi="Calibri"/>
          <w:color w:val="auto"/>
          <w:sz w:val="28"/>
          <w:szCs w:val="22"/>
        </w:rPr>
        <w:t>根据《危险化学品名录》（20</w:t>
      </w:r>
      <w:r>
        <w:rPr>
          <w:rFonts w:ascii="Calibri" w:hAnsi="Calibri"/>
          <w:color w:val="auto"/>
          <w:sz w:val="28"/>
          <w:szCs w:val="22"/>
        </w:rPr>
        <w:t>22</w:t>
      </w:r>
      <w:r>
        <w:rPr>
          <w:rFonts w:hint="eastAsia" w:ascii="Calibri" w:hAnsi="Calibri"/>
          <w:color w:val="auto"/>
          <w:sz w:val="28"/>
          <w:szCs w:val="22"/>
        </w:rPr>
        <w:t>版）的规定，本项目甲基磺酰氯属于剧毒化学品。</w:t>
      </w:r>
    </w:p>
    <w:p>
      <w:pPr>
        <w:spacing w:line="600" w:lineRule="exact"/>
        <w:ind w:firstLine="560" w:firstLineChars="200"/>
        <w:rPr>
          <w:rFonts w:ascii="Calibri" w:hAnsi="Calibri"/>
          <w:color w:val="auto"/>
          <w:sz w:val="28"/>
          <w:szCs w:val="22"/>
        </w:rPr>
      </w:pPr>
      <w:r>
        <w:rPr>
          <w:rFonts w:hint="eastAsia" w:ascii="Calibri" w:hAnsi="Calibri"/>
          <w:color w:val="auto"/>
          <w:sz w:val="28"/>
          <w:szCs w:val="22"/>
        </w:rPr>
        <w:t>根据《易制爆危险化学品名录》（2017年版），本项目双氧水、金属锂属于易制爆危险化学品。</w:t>
      </w:r>
    </w:p>
    <w:p>
      <w:pPr>
        <w:pStyle w:val="49"/>
        <w:spacing w:line="360" w:lineRule="auto"/>
        <w:ind w:firstLine="560" w:firstLineChars="200"/>
        <w:rPr>
          <w:color w:val="auto"/>
          <w:sz w:val="28"/>
          <w:szCs w:val="28"/>
        </w:rPr>
      </w:pPr>
      <w:r>
        <w:rPr>
          <w:rFonts w:hint="eastAsia"/>
          <w:color w:val="auto"/>
          <w:sz w:val="28"/>
          <w:szCs w:val="28"/>
        </w:rPr>
        <w:t>依据《高毒物品目录》（2</w:t>
      </w:r>
      <w:r>
        <w:rPr>
          <w:color w:val="auto"/>
          <w:sz w:val="28"/>
          <w:szCs w:val="28"/>
        </w:rPr>
        <w:t>003</w:t>
      </w:r>
      <w:r>
        <w:rPr>
          <w:rFonts w:hint="eastAsia"/>
          <w:color w:val="auto"/>
          <w:sz w:val="28"/>
          <w:szCs w:val="28"/>
        </w:rPr>
        <w:t>年版），该项目液氨属于高毒物品。</w:t>
      </w:r>
    </w:p>
    <w:p>
      <w:pPr>
        <w:ind w:firstLine="560" w:firstLineChars="200"/>
        <w:rPr>
          <w:rFonts w:ascii="Calibri" w:hAnsi="Calibri"/>
          <w:color w:val="auto"/>
        </w:rPr>
      </w:pPr>
      <w:r>
        <w:rPr>
          <w:rFonts w:hint="eastAsia"/>
          <w:color w:val="auto"/>
          <w:sz w:val="28"/>
          <w:szCs w:val="28"/>
        </w:rPr>
        <w:t xml:space="preserve">根据《特别管控危险化学品目录》辨识，本项目液氨、甲醇、乙醇属于特别管控危险化学品。 </w:t>
      </w:r>
    </w:p>
    <w:p>
      <w:pPr>
        <w:keepNext/>
        <w:keepLines/>
        <w:spacing w:line="360" w:lineRule="auto"/>
        <w:jc w:val="left"/>
        <w:outlineLvl w:val="1"/>
        <w:rPr>
          <w:rFonts w:ascii="Cambria" w:hAnsi="Cambria"/>
          <w:b/>
          <w:color w:val="auto"/>
          <w:sz w:val="30"/>
          <w:szCs w:val="32"/>
        </w:rPr>
      </w:pPr>
      <w:bookmarkStart w:id="72" w:name="_Toc144109175"/>
      <w:bookmarkStart w:id="73" w:name="_Toc20403"/>
      <w:bookmarkStart w:id="74" w:name="_Toc35435388"/>
      <w:r>
        <w:rPr>
          <w:rFonts w:ascii="Cambria" w:hAnsi="Cambria"/>
          <w:b/>
          <w:color w:val="auto"/>
          <w:sz w:val="30"/>
          <w:szCs w:val="32"/>
        </w:rPr>
        <w:t>3.5</w:t>
      </w:r>
      <w:r>
        <w:rPr>
          <w:rFonts w:hint="eastAsia" w:ascii="Cambria" w:hAnsi="Cambria"/>
          <w:b/>
          <w:color w:val="auto"/>
          <w:sz w:val="30"/>
          <w:szCs w:val="32"/>
        </w:rPr>
        <w:t xml:space="preserve"> 危险、有害因素的辨识结果</w:t>
      </w:r>
      <w:bookmarkEnd w:id="72"/>
    </w:p>
    <w:bookmarkEnd w:id="73"/>
    <w:bookmarkEnd w:id="74"/>
    <w:p>
      <w:pPr>
        <w:pStyle w:val="2"/>
        <w:spacing w:line="360" w:lineRule="auto"/>
        <w:ind w:firstLine="560" w:firstLineChars="200"/>
        <w:rPr>
          <w:color w:val="auto"/>
          <w:sz w:val="28"/>
          <w:szCs w:val="28"/>
        </w:rPr>
      </w:pPr>
      <w:r>
        <w:rPr>
          <w:rFonts w:hint="eastAsia"/>
          <w:color w:val="auto"/>
          <w:sz w:val="28"/>
          <w:szCs w:val="28"/>
        </w:rPr>
        <w:t>1、辨识依据</w:t>
      </w:r>
    </w:p>
    <w:p>
      <w:pPr>
        <w:spacing w:line="360" w:lineRule="auto"/>
        <w:ind w:firstLine="560" w:firstLineChars="200"/>
        <w:jc w:val="left"/>
        <w:rPr>
          <w:color w:val="auto"/>
          <w:sz w:val="28"/>
          <w:szCs w:val="28"/>
        </w:rPr>
      </w:pPr>
      <w:r>
        <w:rPr>
          <w:rFonts w:hint="eastAsia"/>
          <w:color w:val="auto"/>
          <w:sz w:val="28"/>
          <w:szCs w:val="28"/>
        </w:rPr>
        <w:t>危险因素是指能对人造成伤亡或对物造成突发性损坏的因素，有害因素是指能影响人的身体健康，导致疾病，或对物造成慢性损坏的因素。危险、有害因素分析是安全评价的重要环节，也是安全评价的基础。</w:t>
      </w:r>
    </w:p>
    <w:p>
      <w:pPr>
        <w:spacing w:line="360" w:lineRule="auto"/>
        <w:ind w:firstLine="560" w:firstLineChars="200"/>
        <w:jc w:val="left"/>
        <w:rPr>
          <w:color w:val="auto"/>
          <w:sz w:val="28"/>
          <w:szCs w:val="28"/>
        </w:rPr>
      </w:pPr>
      <w:r>
        <w:rPr>
          <w:rFonts w:hint="eastAsia"/>
          <w:color w:val="auto"/>
          <w:sz w:val="28"/>
          <w:szCs w:val="28"/>
        </w:rPr>
        <w:t>对该项目的危险、有害因素进行辨识，依据《生产过程危险和有害因素分类与代码》GB13681-20</w:t>
      </w:r>
      <w:r>
        <w:rPr>
          <w:color w:val="auto"/>
          <w:sz w:val="28"/>
          <w:szCs w:val="28"/>
        </w:rPr>
        <w:t>22</w:t>
      </w:r>
      <w:r>
        <w:rPr>
          <w:rFonts w:hint="eastAsia"/>
          <w:color w:val="auto"/>
          <w:sz w:val="28"/>
          <w:szCs w:val="28"/>
        </w:rPr>
        <w:t>和《企业职工伤亡事故分类》GB6441-1986的同时，通过对该项目的厂址、平面布局、建（构）筑物、物质、生产工艺及设备、辅助生产设施（含公用工程）及职业卫生等方面进行分析而得出。</w:t>
      </w:r>
    </w:p>
    <w:p>
      <w:pPr>
        <w:pStyle w:val="2"/>
        <w:ind w:firstLine="560" w:firstLineChars="200"/>
        <w:rPr>
          <w:color w:val="auto"/>
          <w:sz w:val="28"/>
          <w:szCs w:val="28"/>
        </w:rPr>
      </w:pPr>
      <w:r>
        <w:rPr>
          <w:rFonts w:hint="eastAsia"/>
          <w:color w:val="auto"/>
          <w:sz w:val="28"/>
          <w:szCs w:val="28"/>
        </w:rPr>
        <w:t>2、辨识结果</w:t>
      </w:r>
    </w:p>
    <w:p>
      <w:pPr>
        <w:ind w:firstLine="560" w:firstLineChars="200"/>
        <w:rPr>
          <w:color w:val="auto"/>
        </w:rPr>
      </w:pPr>
      <w:r>
        <w:rPr>
          <w:rFonts w:hint="eastAsia" w:ascii="宋体" w:hAnsi="宋体"/>
          <w:color w:val="auto"/>
          <w:sz w:val="28"/>
          <w:szCs w:val="28"/>
        </w:rPr>
        <w:t>该项目生产工艺、装置存在多种危险可能性。生产过程中涉及大量易燃、易爆及有毒物质；四氢呋喃、三乙胺、丙酮、甲苯、液氨、丁酮、DMF、乙酸乙酯、叔丁醇、石油醚、甲醇、乙醇、丙酸酐、异丙醇、金属锂、柴油等属于易燃物质，遇热源、明火、氧化剂有燃烧爆炸的危险。甲基磺酰氯、二氧化硫属于有毒物质，甲基磺酰氯危害程度属于Ⅰ级（极度危害），液氨、DMF、硫酸危害程度属于Ⅱ级（高度危害），二氯甲烷、二氧化硫、甲苯、甲醇、氢溴酸危害程度属于Ⅲ级（中度危害）。物料的危险特性决定了该项目最主要的危险是火灾、爆炸、中毒和窒息、灼烫事故。特别是易燃易爆物质因泄漏或空气进入工艺系统形成爆炸性混合气体而引起火灾爆炸。</w:t>
      </w:r>
    </w:p>
    <w:p>
      <w:pPr>
        <w:autoSpaceDE w:val="0"/>
        <w:autoSpaceDN w:val="0"/>
        <w:adjustRightInd w:val="0"/>
        <w:spacing w:line="360" w:lineRule="auto"/>
        <w:ind w:firstLine="560" w:firstLineChars="200"/>
        <w:rPr>
          <w:color w:val="auto"/>
          <w:sz w:val="28"/>
          <w:szCs w:val="28"/>
        </w:rPr>
      </w:pPr>
      <w:r>
        <w:rPr>
          <w:rFonts w:hint="eastAsia" w:ascii="宋体" w:hAnsi="宋体"/>
          <w:color w:val="auto"/>
          <w:sz w:val="28"/>
          <w:szCs w:val="28"/>
        </w:rPr>
        <w:t>有毒物料的泄漏，将会发生中毒事故。</w:t>
      </w:r>
    </w:p>
    <w:p>
      <w:pPr>
        <w:autoSpaceDE w:val="0"/>
        <w:autoSpaceDN w:val="0"/>
        <w:adjustRightInd w:val="0"/>
        <w:spacing w:line="360" w:lineRule="auto"/>
        <w:ind w:firstLine="560" w:firstLineChars="200"/>
        <w:rPr>
          <w:color w:val="auto"/>
          <w:sz w:val="28"/>
          <w:szCs w:val="28"/>
        </w:rPr>
      </w:pPr>
      <w:r>
        <w:rPr>
          <w:rFonts w:hint="eastAsia" w:ascii="宋体" w:hAnsi="宋体"/>
          <w:color w:val="auto"/>
          <w:sz w:val="28"/>
          <w:szCs w:val="28"/>
        </w:rPr>
        <w:t>腐蚀物质对金属腐蚀作用。因此，当设备、管道选材不当，都会腐蚀造成设备损坏发生泄漏事故，可能导致火灾、爆炸事故或致使人员中毒和化学性灼伤。</w:t>
      </w:r>
    </w:p>
    <w:p>
      <w:pPr>
        <w:autoSpaceDE w:val="0"/>
        <w:autoSpaceDN w:val="0"/>
        <w:adjustRightInd w:val="0"/>
        <w:spacing w:line="360" w:lineRule="auto"/>
        <w:ind w:firstLine="560" w:firstLineChars="200"/>
        <w:rPr>
          <w:color w:val="auto"/>
          <w:sz w:val="28"/>
          <w:szCs w:val="28"/>
        </w:rPr>
      </w:pPr>
      <w:r>
        <w:rPr>
          <w:rFonts w:hint="eastAsia" w:ascii="宋体" w:hAnsi="宋体"/>
          <w:color w:val="auto"/>
          <w:sz w:val="28"/>
          <w:szCs w:val="28"/>
        </w:rPr>
        <w:t>该项目在安装、运行、检查、维修过程和危险有害物质的储存、装卸、输送过程中也极易因为设备的不安全状态和人的不安全行为而引发火灾、腐蚀、灼烫、爆炸、中毒、物体打击、机械伤害等各种事故。</w:t>
      </w:r>
    </w:p>
    <w:p>
      <w:pPr>
        <w:spacing w:line="360" w:lineRule="auto"/>
        <w:ind w:firstLine="560" w:firstLineChars="200"/>
        <w:rPr>
          <w:color w:val="auto"/>
          <w:sz w:val="28"/>
          <w:szCs w:val="28"/>
        </w:rPr>
      </w:pPr>
      <w:r>
        <w:rPr>
          <w:rFonts w:hint="eastAsia" w:ascii="宋体" w:hAnsi="宋体"/>
          <w:color w:val="auto"/>
          <w:sz w:val="28"/>
          <w:szCs w:val="28"/>
        </w:rPr>
        <w:t>根据《生产过程危险和有害因素分类与代码》（</w:t>
      </w:r>
      <w:r>
        <w:rPr>
          <w:rFonts w:hint="eastAsia"/>
          <w:color w:val="auto"/>
          <w:sz w:val="28"/>
          <w:szCs w:val="28"/>
        </w:rPr>
        <w:t>GB/T13861</w:t>
      </w:r>
      <w:r>
        <w:rPr>
          <w:rFonts w:hint="eastAsia" w:ascii="宋体" w:hAnsi="宋体"/>
          <w:color w:val="auto"/>
          <w:sz w:val="28"/>
          <w:szCs w:val="28"/>
        </w:rPr>
        <w:t>—</w:t>
      </w:r>
      <w:r>
        <w:rPr>
          <w:rFonts w:hint="eastAsia"/>
          <w:color w:val="auto"/>
          <w:sz w:val="28"/>
          <w:szCs w:val="28"/>
        </w:rPr>
        <w:t>20</w:t>
      </w:r>
      <w:r>
        <w:rPr>
          <w:color w:val="auto"/>
          <w:sz w:val="28"/>
          <w:szCs w:val="28"/>
        </w:rPr>
        <w:t>22</w:t>
      </w:r>
      <w:r>
        <w:rPr>
          <w:rFonts w:hint="eastAsia" w:ascii="宋体" w:hAnsi="宋体"/>
          <w:color w:val="auto"/>
          <w:sz w:val="28"/>
          <w:szCs w:val="28"/>
        </w:rPr>
        <w:t>）的规定和《企业职工伤亡事故分类》（</w:t>
      </w:r>
      <w:r>
        <w:rPr>
          <w:rFonts w:hint="eastAsia"/>
          <w:color w:val="auto"/>
          <w:sz w:val="28"/>
          <w:szCs w:val="28"/>
        </w:rPr>
        <w:t>GB6441-1986</w:t>
      </w:r>
      <w:r>
        <w:rPr>
          <w:rFonts w:hint="eastAsia" w:ascii="宋体" w:hAnsi="宋体"/>
          <w:color w:val="auto"/>
          <w:sz w:val="28"/>
          <w:szCs w:val="28"/>
        </w:rPr>
        <w:t>）的规定，该项目在生产作业过程中存在的主要危险因素为：火灾、（容器及其它）爆炸、中毒和窒息、灼烫；一般危险因素为：触电、高处坠落、机械伤害、物体打击、起重伤害、车辆伤害和淹溺、坍塌。</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参照《职业卫生名词术语》、《职业病危害因素分类目录》、《职业性接触毒物》</w:t>
      </w:r>
      <w:r>
        <w:rPr>
          <w:rFonts w:hint="eastAsia" w:ascii="宋体" w:hAnsi="宋体"/>
          <w:color w:val="auto"/>
          <w:kern w:val="0"/>
          <w:sz w:val="28"/>
          <w:szCs w:val="28"/>
        </w:rPr>
        <w:t>及《工作场所有害因素接触限值</w:t>
      </w:r>
      <w:r>
        <w:rPr>
          <w:rFonts w:hint="eastAsia"/>
          <w:color w:val="auto"/>
          <w:kern w:val="0"/>
          <w:sz w:val="28"/>
          <w:szCs w:val="28"/>
        </w:rPr>
        <w:t xml:space="preserve"> 第1</w:t>
      </w:r>
      <w:r>
        <w:rPr>
          <w:rFonts w:hint="eastAsia" w:ascii="宋体" w:hAnsi="宋体"/>
          <w:color w:val="auto"/>
          <w:kern w:val="0"/>
          <w:sz w:val="28"/>
          <w:szCs w:val="28"/>
        </w:rPr>
        <w:t>部分 第</w:t>
      </w:r>
      <w:r>
        <w:rPr>
          <w:rFonts w:hint="eastAsia"/>
          <w:color w:val="auto"/>
          <w:kern w:val="0"/>
          <w:sz w:val="28"/>
          <w:szCs w:val="28"/>
        </w:rPr>
        <w:t>2</w:t>
      </w:r>
      <w:r>
        <w:rPr>
          <w:rFonts w:hint="eastAsia" w:ascii="宋体" w:hAnsi="宋体"/>
          <w:color w:val="auto"/>
          <w:kern w:val="0"/>
          <w:sz w:val="28"/>
          <w:szCs w:val="28"/>
        </w:rPr>
        <w:t>部分》</w:t>
      </w:r>
      <w:r>
        <w:rPr>
          <w:rFonts w:hint="eastAsia" w:ascii="宋体" w:hAnsi="宋体"/>
          <w:color w:val="auto"/>
          <w:sz w:val="28"/>
          <w:szCs w:val="28"/>
        </w:rPr>
        <w:t>，该项目在生产作业过程中存在的主要有害因素为：毒物；一般有害因素为：噪声与振动、高温、低温及粉尘。</w:t>
      </w:r>
    </w:p>
    <w:p>
      <w:pPr>
        <w:keepNext/>
        <w:keepLines/>
        <w:spacing w:line="360" w:lineRule="auto"/>
        <w:jc w:val="left"/>
        <w:outlineLvl w:val="1"/>
        <w:rPr>
          <w:rFonts w:ascii="Cambria" w:hAnsi="Cambria"/>
          <w:b/>
          <w:color w:val="auto"/>
          <w:sz w:val="30"/>
          <w:szCs w:val="32"/>
        </w:rPr>
      </w:pPr>
      <w:bookmarkStart w:id="75" w:name="_Toc144109176"/>
      <w:r>
        <w:rPr>
          <w:rFonts w:ascii="Cambria" w:hAnsi="Cambria"/>
          <w:b/>
          <w:color w:val="auto"/>
          <w:sz w:val="30"/>
          <w:szCs w:val="32"/>
        </w:rPr>
        <w:t>3.6可能造成爆炸、火灾、中毒、灼烫</w:t>
      </w:r>
      <w:r>
        <w:rPr>
          <w:rFonts w:hint="eastAsia" w:ascii="Cambria" w:hAnsi="Cambria"/>
          <w:b/>
          <w:color w:val="auto"/>
          <w:sz w:val="30"/>
          <w:szCs w:val="32"/>
        </w:rPr>
        <w:t>等</w:t>
      </w:r>
      <w:r>
        <w:rPr>
          <w:rFonts w:ascii="Cambria" w:hAnsi="Cambria"/>
          <w:b/>
          <w:color w:val="auto"/>
          <w:sz w:val="30"/>
          <w:szCs w:val="32"/>
        </w:rPr>
        <w:t>事故的危险、有害因素的分布</w:t>
      </w:r>
      <w:bookmarkEnd w:id="75"/>
    </w:p>
    <w:p>
      <w:pPr>
        <w:spacing w:line="360" w:lineRule="auto"/>
        <w:ind w:firstLine="560" w:firstLineChars="200"/>
        <w:jc w:val="left"/>
        <w:rPr>
          <w:rFonts w:ascii="宋体" w:hAnsi="宋体"/>
          <w:color w:val="auto"/>
        </w:rPr>
      </w:pPr>
      <w:r>
        <w:rPr>
          <w:rFonts w:hint="eastAsia" w:ascii="宋体" w:hAnsi="宋体"/>
          <w:color w:val="auto"/>
          <w:sz w:val="28"/>
          <w:szCs w:val="28"/>
        </w:rPr>
        <w:t>该项目可能造成爆炸、火灾、中毒和窒息、灼烫等事故的危险、有害因素的分布见表。</w:t>
      </w:r>
    </w:p>
    <w:p>
      <w:pPr>
        <w:spacing w:line="360" w:lineRule="auto"/>
        <w:jc w:val="center"/>
        <w:rPr>
          <w:color w:val="auto"/>
        </w:rPr>
      </w:pPr>
      <w:r>
        <w:rPr>
          <w:rFonts w:hint="eastAsia" w:ascii="宋体" w:hAnsi="宋体"/>
          <w:color w:val="auto"/>
        </w:rPr>
        <w:t>表</w:t>
      </w:r>
      <w:r>
        <w:rPr>
          <w:rFonts w:hint="eastAsia"/>
          <w:color w:val="auto"/>
        </w:rPr>
        <w:t>3</w:t>
      </w:r>
      <w:r>
        <w:rPr>
          <w:color w:val="auto"/>
        </w:rPr>
        <w:t xml:space="preserve">-1 </w:t>
      </w:r>
      <w:r>
        <w:rPr>
          <w:rFonts w:hint="eastAsia" w:ascii="宋体" w:hAnsi="宋体"/>
          <w:color w:val="auto"/>
        </w:rPr>
        <w:t>可能造成事故的危险、有害因素分布一览表</w:t>
      </w:r>
    </w:p>
    <w:tbl>
      <w:tblPr>
        <w:tblStyle w:val="31"/>
        <w:tblW w:w="89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7"/>
        <w:gridCol w:w="1550"/>
        <w:gridCol w:w="68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12"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序号</w:t>
            </w:r>
          </w:p>
        </w:tc>
        <w:tc>
          <w:tcPr>
            <w:tcW w:w="1550" w:type="dxa"/>
            <w:tcBorders>
              <w:top w:val="single" w:color="auto" w:sz="12" w:space="0"/>
              <w:left w:val="nil"/>
              <w:bottom w:val="single" w:color="auto" w:sz="6" w:space="0"/>
              <w:right w:val="single" w:color="auto" w:sz="6" w:space="0"/>
            </w:tcBorders>
            <w:vAlign w:val="center"/>
          </w:tcPr>
          <w:p>
            <w:pPr>
              <w:spacing w:line="340" w:lineRule="exact"/>
              <w:jc w:val="center"/>
              <w:rPr>
                <w:color w:val="auto"/>
              </w:rPr>
            </w:pPr>
            <w:r>
              <w:rPr>
                <w:rFonts w:hint="eastAsia" w:ascii="宋体" w:hAnsi="宋体"/>
                <w:color w:val="auto"/>
              </w:rPr>
              <w:t>危险有害因素</w:t>
            </w:r>
          </w:p>
        </w:tc>
        <w:tc>
          <w:tcPr>
            <w:tcW w:w="6847" w:type="dxa"/>
            <w:tcBorders>
              <w:top w:val="single" w:color="auto" w:sz="12" w:space="0"/>
              <w:left w:val="nil"/>
              <w:bottom w:val="single" w:color="auto" w:sz="6" w:space="0"/>
              <w:right w:val="single" w:color="auto" w:sz="12" w:space="0"/>
            </w:tcBorders>
            <w:vAlign w:val="center"/>
          </w:tcPr>
          <w:p>
            <w:pPr>
              <w:spacing w:line="340" w:lineRule="exact"/>
              <w:jc w:val="center"/>
              <w:rPr>
                <w:color w:val="auto"/>
              </w:rPr>
            </w:pPr>
            <w:r>
              <w:rPr>
                <w:rFonts w:hint="eastAsia" w:ascii="宋体" w:hAnsi="宋体"/>
                <w:color w:val="auto"/>
              </w:rPr>
              <w:t>存在工段（序）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1</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火灾、爆炸</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各产品生产车间、公用工程车间、控制室、各原料仓库、成品仓库、发配电间等场所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2</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中毒窒息</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各产品生产车间、各原料仓库等场所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3</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灼烫</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各产品生产车间、原料仓库等存在腐蚀性物料场所和存在高温（低）物料及换热介质的装置附近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4</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触电</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作业现场的电机、变配电设备、照明灯具、电缆及变电所、配电室、控制室等有电气设备设施的场所。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color w:val="auto"/>
              </w:rPr>
              <w:t>5</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机械伤害</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使用电动机械设备和皮带运输机，存在有机械设备与电动机的传动联结等传动设备的转动部件位置。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6</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高处坠落</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在高于地面或操作平台</w:t>
            </w:r>
            <w:r>
              <w:rPr>
                <w:rFonts w:hint="eastAsia"/>
                <w:color w:val="auto"/>
              </w:rPr>
              <w:t>2m</w:t>
            </w:r>
            <w:r>
              <w:rPr>
                <w:rFonts w:hint="eastAsia" w:ascii="宋体" w:hAnsi="宋体"/>
                <w:color w:val="auto"/>
              </w:rPr>
              <w:t>以上的设备、平台、框架、房顶、罐顶、杆上等作业场所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7</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物体打击</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在有高处作业的设备、平台、框架、房顶、罐顶、杆上等场所的下方。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8</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车辆伤害</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有车辆行驶的道路及仓库停车场等相关场所。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9</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淹溺</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使用事故应急池、初期雨水池、消防水池、污水处理区域等储存液体的场所。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1</w:t>
            </w:r>
            <w:r>
              <w:rPr>
                <w:color w:val="auto"/>
              </w:rPr>
              <w:t>0</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坍塌</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各车间、各原料仓库、各产品仓库以及存在大量腐蚀性物质的建筑物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1</w:t>
            </w:r>
            <w:r>
              <w:rPr>
                <w:color w:val="auto"/>
              </w:rPr>
              <w:t>1</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毒物</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各产品生产车间、各原料仓库、各产品仓库等装置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1</w:t>
            </w:r>
            <w:r>
              <w:rPr>
                <w:color w:val="auto"/>
              </w:rPr>
              <w:t>2</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粉尘</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车间和涉及烘干、包装、回收工序的生产场所；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6" w:space="0"/>
              <w:right w:val="single" w:color="auto" w:sz="6" w:space="0"/>
            </w:tcBorders>
            <w:vAlign w:val="center"/>
          </w:tcPr>
          <w:p>
            <w:pPr>
              <w:spacing w:line="340" w:lineRule="exact"/>
              <w:jc w:val="left"/>
              <w:rPr>
                <w:color w:val="auto"/>
              </w:rPr>
            </w:pPr>
            <w:r>
              <w:rPr>
                <w:rFonts w:hint="eastAsia"/>
                <w:color w:val="auto"/>
              </w:rPr>
              <w:t>1</w:t>
            </w:r>
            <w:r>
              <w:rPr>
                <w:color w:val="auto"/>
              </w:rPr>
              <w:t>3</w:t>
            </w:r>
          </w:p>
        </w:tc>
        <w:tc>
          <w:tcPr>
            <w:tcW w:w="1550" w:type="dxa"/>
            <w:tcBorders>
              <w:top w:val="single" w:color="auto" w:sz="6" w:space="0"/>
              <w:left w:val="nil"/>
              <w:bottom w:val="single" w:color="auto" w:sz="6" w:space="0"/>
              <w:right w:val="single" w:color="auto" w:sz="6" w:space="0"/>
            </w:tcBorders>
            <w:vAlign w:val="center"/>
          </w:tcPr>
          <w:p>
            <w:pPr>
              <w:spacing w:line="340" w:lineRule="exact"/>
              <w:jc w:val="left"/>
              <w:rPr>
                <w:color w:val="auto"/>
              </w:rPr>
            </w:pPr>
            <w:r>
              <w:rPr>
                <w:rFonts w:hint="eastAsia" w:ascii="宋体" w:hAnsi="宋体"/>
                <w:color w:val="auto"/>
              </w:rPr>
              <w:t>噪声与振动</w:t>
            </w:r>
          </w:p>
        </w:tc>
        <w:tc>
          <w:tcPr>
            <w:tcW w:w="6847" w:type="dxa"/>
            <w:tcBorders>
              <w:top w:val="single" w:color="auto" w:sz="6" w:space="0"/>
              <w:left w:val="nil"/>
              <w:bottom w:val="single" w:color="auto" w:sz="6" w:space="0"/>
              <w:right w:val="single" w:color="auto" w:sz="12" w:space="0"/>
            </w:tcBorders>
            <w:vAlign w:val="center"/>
          </w:tcPr>
          <w:p>
            <w:pPr>
              <w:spacing w:line="340" w:lineRule="exact"/>
              <w:jc w:val="left"/>
              <w:rPr>
                <w:color w:val="auto"/>
              </w:rPr>
            </w:pPr>
            <w:r>
              <w:rPr>
                <w:rFonts w:hint="eastAsia" w:ascii="宋体" w:hAnsi="宋体"/>
                <w:color w:val="auto"/>
              </w:rPr>
              <w:t>有电动机械设备，如各种泵类、各种车辆等。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77" w:type="dxa"/>
            <w:tcBorders>
              <w:top w:val="single" w:color="auto" w:sz="6" w:space="0"/>
              <w:left w:val="single" w:color="auto" w:sz="12" w:space="0"/>
              <w:bottom w:val="single" w:color="auto" w:sz="12" w:space="0"/>
              <w:right w:val="single" w:color="auto" w:sz="6" w:space="0"/>
            </w:tcBorders>
            <w:vAlign w:val="center"/>
          </w:tcPr>
          <w:p>
            <w:pPr>
              <w:spacing w:line="340" w:lineRule="exact"/>
              <w:jc w:val="left"/>
              <w:rPr>
                <w:color w:val="auto"/>
              </w:rPr>
            </w:pPr>
            <w:r>
              <w:rPr>
                <w:rFonts w:hint="eastAsia"/>
                <w:color w:val="auto"/>
              </w:rPr>
              <w:t>1</w:t>
            </w:r>
            <w:r>
              <w:rPr>
                <w:color w:val="auto"/>
              </w:rPr>
              <w:t>4</w:t>
            </w:r>
          </w:p>
        </w:tc>
        <w:tc>
          <w:tcPr>
            <w:tcW w:w="1550" w:type="dxa"/>
            <w:tcBorders>
              <w:top w:val="single" w:color="auto" w:sz="6" w:space="0"/>
              <w:left w:val="nil"/>
              <w:bottom w:val="single" w:color="auto" w:sz="12" w:space="0"/>
              <w:right w:val="single" w:color="auto" w:sz="6" w:space="0"/>
            </w:tcBorders>
            <w:vAlign w:val="center"/>
          </w:tcPr>
          <w:p>
            <w:pPr>
              <w:spacing w:line="340" w:lineRule="exact"/>
              <w:jc w:val="left"/>
              <w:rPr>
                <w:color w:val="auto"/>
              </w:rPr>
            </w:pPr>
            <w:r>
              <w:rPr>
                <w:rFonts w:hint="eastAsia" w:ascii="宋体" w:hAnsi="宋体"/>
                <w:color w:val="auto"/>
              </w:rPr>
              <w:t>高（低）温</w:t>
            </w:r>
          </w:p>
        </w:tc>
        <w:tc>
          <w:tcPr>
            <w:tcW w:w="6847" w:type="dxa"/>
            <w:tcBorders>
              <w:top w:val="single" w:color="auto" w:sz="6" w:space="0"/>
              <w:left w:val="nil"/>
              <w:bottom w:val="single" w:color="auto" w:sz="12" w:space="0"/>
              <w:right w:val="single" w:color="auto" w:sz="12" w:space="0"/>
            </w:tcBorders>
            <w:vAlign w:val="center"/>
          </w:tcPr>
          <w:p>
            <w:pPr>
              <w:spacing w:line="340" w:lineRule="exact"/>
              <w:jc w:val="left"/>
              <w:rPr>
                <w:color w:val="auto"/>
              </w:rPr>
            </w:pPr>
            <w:r>
              <w:rPr>
                <w:rFonts w:hint="eastAsia" w:ascii="宋体" w:hAnsi="宋体"/>
                <w:color w:val="auto"/>
              </w:rPr>
              <w:t>存在高温（低）物料及换热介质的装置附近作业或夏（冬）季长时间的室外作业。</w:t>
            </w:r>
          </w:p>
        </w:tc>
      </w:tr>
    </w:tbl>
    <w:p>
      <w:pPr>
        <w:pStyle w:val="2"/>
        <w:rPr>
          <w:color w:val="auto"/>
          <w:sz w:val="28"/>
          <w:szCs w:val="28"/>
        </w:rPr>
      </w:pPr>
    </w:p>
    <w:p>
      <w:pPr>
        <w:keepNext/>
        <w:keepLines/>
        <w:spacing w:line="600" w:lineRule="exact"/>
        <w:jc w:val="left"/>
        <w:outlineLvl w:val="1"/>
        <w:rPr>
          <w:rFonts w:ascii="Cambria" w:hAnsi="Cambria"/>
          <w:b/>
          <w:color w:val="auto"/>
          <w:sz w:val="30"/>
          <w:szCs w:val="32"/>
        </w:rPr>
      </w:pPr>
      <w:bookmarkStart w:id="76" w:name="_Toc35435409"/>
      <w:bookmarkStart w:id="77" w:name="_Toc144109177"/>
      <w:r>
        <w:rPr>
          <w:rFonts w:hint="eastAsia" w:ascii="Cambria" w:hAnsi="Cambria"/>
          <w:b/>
          <w:color w:val="auto"/>
          <w:sz w:val="30"/>
          <w:szCs w:val="32"/>
        </w:rPr>
        <w:t>3.</w:t>
      </w:r>
      <w:r>
        <w:rPr>
          <w:rFonts w:ascii="Cambria" w:hAnsi="Cambria"/>
          <w:b/>
          <w:color w:val="auto"/>
          <w:sz w:val="30"/>
          <w:szCs w:val="32"/>
        </w:rPr>
        <w:t>7</w:t>
      </w:r>
      <w:r>
        <w:rPr>
          <w:rFonts w:hint="eastAsia" w:ascii="Cambria" w:hAnsi="Cambria"/>
          <w:b/>
          <w:color w:val="auto"/>
          <w:sz w:val="30"/>
          <w:szCs w:val="32"/>
        </w:rPr>
        <w:t xml:space="preserve"> 重大危险源辨识</w:t>
      </w:r>
      <w:bookmarkEnd w:id="76"/>
      <w:r>
        <w:rPr>
          <w:rFonts w:hint="eastAsia" w:ascii="Cambria" w:hAnsi="Cambria"/>
          <w:b/>
          <w:color w:val="auto"/>
          <w:sz w:val="30"/>
          <w:szCs w:val="32"/>
        </w:rPr>
        <w:t>结果</w:t>
      </w:r>
      <w:bookmarkEnd w:id="77"/>
    </w:p>
    <w:p>
      <w:pPr>
        <w:ind w:firstLine="560" w:firstLineChars="200"/>
        <w:rPr>
          <w:rFonts w:ascii="宋体" w:hAnsi="宋体"/>
          <w:color w:val="auto"/>
          <w:sz w:val="28"/>
          <w:szCs w:val="28"/>
        </w:rPr>
      </w:pPr>
      <w:r>
        <w:rPr>
          <w:rFonts w:hint="eastAsia" w:ascii="宋体" w:hAnsi="宋体"/>
          <w:color w:val="auto"/>
          <w:sz w:val="28"/>
          <w:szCs w:val="28"/>
        </w:rPr>
        <w:t>通过附件B.</w:t>
      </w:r>
      <w:r>
        <w:rPr>
          <w:rFonts w:ascii="宋体" w:hAnsi="宋体"/>
          <w:color w:val="auto"/>
          <w:sz w:val="28"/>
          <w:szCs w:val="28"/>
        </w:rPr>
        <w:t>3</w:t>
      </w:r>
      <w:r>
        <w:rPr>
          <w:rFonts w:hint="eastAsia" w:ascii="宋体" w:hAnsi="宋体"/>
          <w:color w:val="auto"/>
          <w:sz w:val="28"/>
          <w:szCs w:val="28"/>
        </w:rPr>
        <w:t>节重大危险源辨识及分级过程，根据《危险化学品重大危险源辨识》（GB18218-20</w:t>
      </w:r>
      <w:r>
        <w:rPr>
          <w:rFonts w:ascii="宋体" w:hAnsi="宋体"/>
          <w:color w:val="auto"/>
          <w:sz w:val="28"/>
          <w:szCs w:val="28"/>
        </w:rPr>
        <w:t>18</w:t>
      </w:r>
      <w:r>
        <w:rPr>
          <w:rFonts w:hint="eastAsia" w:ascii="宋体" w:hAnsi="宋体"/>
          <w:color w:val="auto"/>
          <w:sz w:val="28"/>
          <w:szCs w:val="28"/>
        </w:rPr>
        <w:t>）的定义和《危险化学品重大危险源监督管理暂行规定》(2011)(40号令)得出结论如下：该项目生产单元中1</w:t>
      </w:r>
      <w:r>
        <w:rPr>
          <w:rFonts w:ascii="宋体" w:hAnsi="宋体"/>
          <w:color w:val="auto"/>
          <w:sz w:val="28"/>
          <w:szCs w:val="28"/>
        </w:rPr>
        <w:t>01</w:t>
      </w:r>
      <w:r>
        <w:rPr>
          <w:rFonts w:hint="eastAsia" w:ascii="宋体" w:hAnsi="宋体"/>
          <w:color w:val="auto"/>
          <w:sz w:val="28"/>
          <w:szCs w:val="28"/>
        </w:rPr>
        <w:t>甲类车间一单元、</w:t>
      </w:r>
      <w:r>
        <w:rPr>
          <w:rFonts w:ascii="宋体" w:hAnsi="宋体"/>
          <w:color w:val="auto"/>
          <w:sz w:val="28"/>
          <w:szCs w:val="28"/>
        </w:rPr>
        <w:t>103</w:t>
      </w:r>
      <w:r>
        <w:rPr>
          <w:rFonts w:hint="eastAsia" w:ascii="宋体" w:hAnsi="宋体"/>
          <w:color w:val="auto"/>
          <w:sz w:val="28"/>
          <w:szCs w:val="28"/>
        </w:rPr>
        <w:t>液体制剂车间单元、</w:t>
      </w:r>
      <w:r>
        <w:rPr>
          <w:rFonts w:hint="eastAsia" w:ascii="宋体" w:hAnsi="宋体"/>
          <w:color w:val="auto"/>
          <w:kern w:val="0"/>
          <w:sz w:val="28"/>
          <w:szCs w:val="28"/>
        </w:rPr>
        <w:t>1</w:t>
      </w:r>
      <w:r>
        <w:rPr>
          <w:rFonts w:ascii="宋体" w:hAnsi="宋体"/>
          <w:color w:val="auto"/>
          <w:kern w:val="0"/>
          <w:sz w:val="28"/>
          <w:szCs w:val="28"/>
        </w:rPr>
        <w:t>04</w:t>
      </w:r>
      <w:r>
        <w:rPr>
          <w:rFonts w:hint="eastAsia" w:ascii="宋体" w:hAnsi="宋体"/>
          <w:color w:val="auto"/>
          <w:kern w:val="0"/>
          <w:sz w:val="28"/>
          <w:szCs w:val="28"/>
        </w:rPr>
        <w:t>颗粒剂车间单元均不构成</w:t>
      </w:r>
      <w:r>
        <w:rPr>
          <w:rFonts w:hint="eastAsia" w:ascii="宋体" w:hAnsi="宋体"/>
          <w:color w:val="auto"/>
          <w:sz w:val="28"/>
          <w:szCs w:val="28"/>
        </w:rPr>
        <w:t>重大危险源；储存单元中</w:t>
      </w:r>
      <w:r>
        <w:rPr>
          <w:color w:val="auto"/>
          <w:kern w:val="0"/>
          <w:sz w:val="28"/>
          <w:szCs w:val="28"/>
        </w:rPr>
        <w:t>201</w:t>
      </w:r>
      <w:r>
        <w:rPr>
          <w:rFonts w:hint="eastAsia"/>
          <w:color w:val="auto"/>
          <w:kern w:val="0"/>
          <w:sz w:val="28"/>
          <w:szCs w:val="28"/>
        </w:rPr>
        <w:t>甲类仓库一</w:t>
      </w:r>
      <w:r>
        <w:rPr>
          <w:rFonts w:hint="eastAsia" w:ascii="宋体" w:hAnsi="宋体"/>
          <w:color w:val="auto"/>
          <w:kern w:val="0"/>
          <w:sz w:val="28"/>
          <w:szCs w:val="28"/>
        </w:rPr>
        <w:t>储存单元、</w:t>
      </w:r>
      <w:r>
        <w:rPr>
          <w:color w:val="auto"/>
          <w:kern w:val="0"/>
          <w:sz w:val="28"/>
          <w:szCs w:val="28"/>
        </w:rPr>
        <w:t>202</w:t>
      </w:r>
      <w:r>
        <w:rPr>
          <w:rFonts w:hint="eastAsia"/>
          <w:color w:val="auto"/>
          <w:kern w:val="0"/>
          <w:sz w:val="28"/>
          <w:szCs w:val="28"/>
        </w:rPr>
        <w:t>甲类仓库二</w:t>
      </w:r>
      <w:r>
        <w:rPr>
          <w:rFonts w:hint="eastAsia" w:ascii="宋体" w:hAnsi="宋体"/>
          <w:color w:val="auto"/>
          <w:kern w:val="0"/>
          <w:sz w:val="28"/>
          <w:szCs w:val="28"/>
        </w:rPr>
        <w:t>储存单元、</w:t>
      </w:r>
      <w:r>
        <w:rPr>
          <w:color w:val="auto"/>
          <w:kern w:val="0"/>
          <w:sz w:val="28"/>
          <w:szCs w:val="28"/>
        </w:rPr>
        <w:t>205</w:t>
      </w:r>
      <w:r>
        <w:rPr>
          <w:rFonts w:hint="eastAsia"/>
          <w:color w:val="auto"/>
          <w:kern w:val="0"/>
          <w:sz w:val="28"/>
          <w:szCs w:val="28"/>
        </w:rPr>
        <w:t>甲类仓库三</w:t>
      </w:r>
      <w:r>
        <w:rPr>
          <w:rFonts w:hint="eastAsia" w:ascii="宋体" w:hAnsi="宋体"/>
          <w:color w:val="auto"/>
          <w:kern w:val="0"/>
          <w:sz w:val="28"/>
          <w:szCs w:val="28"/>
        </w:rPr>
        <w:t>储存单元均不</w:t>
      </w:r>
      <w:r>
        <w:rPr>
          <w:rFonts w:hint="eastAsia" w:ascii="宋体" w:hAnsi="宋体"/>
          <w:color w:val="auto"/>
          <w:sz w:val="28"/>
          <w:szCs w:val="28"/>
        </w:rPr>
        <w:t>构成重大危险源。</w:t>
      </w:r>
    </w:p>
    <w:p>
      <w:pPr>
        <w:keepNext/>
        <w:keepLines/>
        <w:spacing w:line="600" w:lineRule="exact"/>
        <w:jc w:val="left"/>
        <w:outlineLvl w:val="1"/>
        <w:rPr>
          <w:rFonts w:ascii="Cambria" w:hAnsi="Cambria"/>
          <w:b/>
          <w:color w:val="auto"/>
          <w:sz w:val="30"/>
          <w:szCs w:val="32"/>
        </w:rPr>
      </w:pPr>
      <w:bookmarkStart w:id="78" w:name="_Toc53083852"/>
      <w:bookmarkEnd w:id="78"/>
      <w:bookmarkStart w:id="79" w:name="_Toc91765272"/>
      <w:bookmarkStart w:id="80" w:name="_Toc144109178"/>
      <w:r>
        <w:rPr>
          <w:rFonts w:ascii="Cambria" w:hAnsi="Cambria"/>
          <w:b/>
          <w:color w:val="auto"/>
          <w:sz w:val="30"/>
          <w:szCs w:val="32"/>
        </w:rPr>
        <w:t>3.8个人风险和社会风险值</w:t>
      </w:r>
      <w:bookmarkEnd w:id="79"/>
      <w:bookmarkEnd w:id="80"/>
    </w:p>
    <w:p>
      <w:pPr>
        <w:keepNext/>
        <w:keepLines/>
        <w:spacing w:line="600" w:lineRule="exact"/>
        <w:jc w:val="left"/>
        <w:outlineLvl w:val="2"/>
        <w:rPr>
          <w:rFonts w:ascii="Calibri" w:hAnsi="Calibri"/>
          <w:b/>
          <w:color w:val="auto"/>
          <w:sz w:val="28"/>
          <w:szCs w:val="32"/>
        </w:rPr>
      </w:pPr>
      <w:bookmarkStart w:id="81" w:name="_Toc53083853"/>
      <w:bookmarkEnd w:id="81"/>
      <w:bookmarkStart w:id="82" w:name="_Toc91765273"/>
      <w:bookmarkStart w:id="83" w:name="_Toc144109179"/>
      <w:r>
        <w:rPr>
          <w:rFonts w:ascii="Calibri" w:hAnsi="Calibri"/>
          <w:b/>
          <w:color w:val="auto"/>
          <w:sz w:val="28"/>
          <w:szCs w:val="32"/>
        </w:rPr>
        <w:t>3.8.1</w:t>
      </w:r>
      <w:bookmarkEnd w:id="82"/>
      <w:r>
        <w:rPr>
          <w:rFonts w:ascii="Calibri" w:hAnsi="Calibri"/>
          <w:b/>
          <w:color w:val="auto"/>
          <w:sz w:val="28"/>
          <w:szCs w:val="32"/>
        </w:rPr>
        <w:t>个人风险和社会风险值标准</w:t>
      </w:r>
      <w:bookmarkEnd w:id="83"/>
    </w:p>
    <w:p>
      <w:pPr>
        <w:widowControl/>
        <w:snapToGrid w:val="0"/>
        <w:spacing w:line="360" w:lineRule="auto"/>
        <w:ind w:firstLine="560"/>
        <w:jc w:val="left"/>
        <w:rPr>
          <w:rFonts w:ascii="宋体" w:hAnsi="宋体"/>
          <w:color w:val="auto"/>
          <w:kern w:val="0"/>
          <w:sz w:val="28"/>
          <w:szCs w:val="28"/>
        </w:rPr>
      </w:pPr>
      <w:r>
        <w:rPr>
          <w:rFonts w:hint="eastAsia" w:ascii="宋体" w:hAnsi="宋体"/>
          <w:color w:val="auto"/>
          <w:kern w:val="0"/>
          <w:sz w:val="28"/>
          <w:szCs w:val="28"/>
        </w:rPr>
        <w:t>1.个人和社会可接受风险辨识的标准</w:t>
      </w:r>
    </w:p>
    <w:p>
      <w:pPr>
        <w:spacing w:line="360" w:lineRule="auto"/>
        <w:ind w:firstLine="560" w:firstLineChars="200"/>
        <w:rPr>
          <w:rFonts w:ascii="宋体" w:hAnsi="宋体"/>
          <w:color w:val="auto"/>
          <w:sz w:val="28"/>
          <w:szCs w:val="28"/>
        </w:rPr>
      </w:pPr>
      <w:r>
        <w:rPr>
          <w:rFonts w:hint="eastAsia" w:ascii="宋体" w:hAnsi="宋体"/>
          <w:color w:val="auto"/>
          <w:kern w:val="0"/>
          <w:sz w:val="28"/>
          <w:szCs w:val="28"/>
        </w:rPr>
        <w:t>1）</w:t>
      </w:r>
      <w:r>
        <w:rPr>
          <w:rFonts w:hint="eastAsia" w:ascii="宋体" w:hAnsi="宋体"/>
          <w:color w:val="auto"/>
          <w:sz w:val="28"/>
          <w:szCs w:val="28"/>
        </w:rPr>
        <w:t>《危险化学品生产装置和储存设施风险基准》（GB36894-2018）</w:t>
      </w:r>
    </w:p>
    <w:p>
      <w:pPr>
        <w:spacing w:line="360" w:lineRule="auto"/>
        <w:ind w:firstLine="560" w:firstLineChars="200"/>
        <w:rPr>
          <w:rFonts w:ascii="宋体" w:hAnsi="宋体"/>
          <w:color w:val="auto"/>
          <w:kern w:val="0"/>
          <w:sz w:val="28"/>
          <w:szCs w:val="28"/>
        </w:rPr>
      </w:pPr>
      <w:r>
        <w:rPr>
          <w:rFonts w:hint="eastAsia" w:ascii="宋体" w:hAnsi="宋体"/>
          <w:color w:val="auto"/>
          <w:sz w:val="28"/>
          <w:szCs w:val="28"/>
        </w:rPr>
        <w:t>2）</w:t>
      </w:r>
      <w:r>
        <w:rPr>
          <w:rFonts w:hint="eastAsia" w:ascii="宋体" w:hAnsi="宋体" w:cs="仿宋_GB2312"/>
          <w:color w:val="auto"/>
          <w:sz w:val="28"/>
          <w:szCs w:val="28"/>
        </w:rPr>
        <w:t>《危险化学品生产装置和储存设施外部安全防护距离确定方法》（GB</w:t>
      </w:r>
      <w:r>
        <w:rPr>
          <w:rFonts w:ascii="宋体" w:hAnsi="宋体" w:cs="仿宋_GB2312"/>
          <w:color w:val="auto"/>
          <w:sz w:val="28"/>
          <w:szCs w:val="28"/>
        </w:rPr>
        <w:t>/</w:t>
      </w:r>
      <w:r>
        <w:rPr>
          <w:rFonts w:hint="eastAsia" w:ascii="宋体" w:hAnsi="宋体" w:cs="仿宋_GB2312"/>
          <w:color w:val="auto"/>
          <w:sz w:val="28"/>
          <w:szCs w:val="28"/>
        </w:rPr>
        <w:t>T</w:t>
      </w:r>
      <w:r>
        <w:rPr>
          <w:rFonts w:ascii="宋体" w:hAnsi="宋体" w:cs="仿宋_GB2312"/>
          <w:color w:val="auto"/>
          <w:sz w:val="28"/>
          <w:szCs w:val="28"/>
        </w:rPr>
        <w:t>37243-2019</w:t>
      </w:r>
      <w:r>
        <w:rPr>
          <w:rFonts w:hint="eastAsia" w:ascii="宋体" w:hAnsi="宋体" w:cs="仿宋_GB2312"/>
          <w:color w:val="auto"/>
          <w:sz w:val="28"/>
          <w:szCs w:val="28"/>
        </w:rPr>
        <w:t>）</w:t>
      </w:r>
    </w:p>
    <w:p>
      <w:pPr>
        <w:spacing w:line="360" w:lineRule="auto"/>
        <w:ind w:firstLine="560" w:firstLineChars="200"/>
        <w:rPr>
          <w:rFonts w:ascii="宋体" w:hAnsi="宋体"/>
          <w:color w:val="auto"/>
          <w:kern w:val="0"/>
          <w:sz w:val="28"/>
          <w:szCs w:val="28"/>
        </w:rPr>
      </w:pPr>
      <w:r>
        <w:rPr>
          <w:rFonts w:hint="eastAsia" w:ascii="宋体" w:hAnsi="宋体"/>
          <w:color w:val="auto"/>
          <w:sz w:val="28"/>
          <w:szCs w:val="28"/>
        </w:rPr>
        <w:t>2.</w:t>
      </w:r>
      <w:r>
        <w:rPr>
          <w:rFonts w:hint="eastAsia" w:ascii="宋体" w:hAnsi="宋体"/>
          <w:color w:val="auto"/>
          <w:kern w:val="0"/>
          <w:sz w:val="28"/>
          <w:szCs w:val="28"/>
        </w:rPr>
        <w:t>个人风险是指假设人员长期处于某一场所且无保护，由于发生危险化学品事故而导致的死亡频率，单位为次每年。</w:t>
      </w:r>
    </w:p>
    <w:p>
      <w:pPr>
        <w:spacing w:line="360" w:lineRule="auto"/>
        <w:ind w:firstLine="560" w:firstLineChars="200"/>
        <w:rPr>
          <w:rFonts w:ascii="宋体" w:hAnsi="宋体"/>
          <w:color w:val="auto"/>
          <w:kern w:val="0"/>
          <w:sz w:val="28"/>
          <w:szCs w:val="28"/>
        </w:rPr>
      </w:pPr>
      <w:r>
        <w:rPr>
          <w:rFonts w:hint="eastAsia" w:ascii="宋体" w:hAnsi="宋体"/>
          <w:color w:val="auto"/>
          <w:kern w:val="0"/>
          <w:sz w:val="28"/>
          <w:szCs w:val="28"/>
        </w:rPr>
        <w:t>3.社会风险是指群体（包括周边企业员工和公众）在危险区域承受某种程度伤害的频发程度，通常表示为大于或等于N人死亡的事故累计频率（F），以累计频率和死亡人数之间关系的曲线图（F-N曲线）来表示。</w:t>
      </w:r>
    </w:p>
    <w:p>
      <w:pPr>
        <w:spacing w:line="360" w:lineRule="auto"/>
        <w:ind w:firstLine="560" w:firstLineChars="200"/>
        <w:rPr>
          <w:rFonts w:ascii="宋体" w:hAnsi="宋体"/>
          <w:color w:val="auto"/>
          <w:kern w:val="0"/>
          <w:sz w:val="28"/>
          <w:szCs w:val="28"/>
        </w:rPr>
      </w:pPr>
      <w:r>
        <w:rPr>
          <w:rFonts w:hint="eastAsia" w:ascii="宋体" w:hAnsi="宋体"/>
          <w:color w:val="auto"/>
          <w:kern w:val="0"/>
          <w:sz w:val="28"/>
          <w:szCs w:val="28"/>
        </w:rPr>
        <w:t>4.防护目标：受危险化学品生产和储存设施事故影响，场外可能发生人员伤亡的设施或场所；</w:t>
      </w:r>
    </w:p>
    <w:p>
      <w:pPr>
        <w:spacing w:line="360" w:lineRule="auto"/>
        <w:ind w:firstLine="560" w:firstLineChars="200"/>
        <w:rPr>
          <w:rFonts w:ascii="宋体" w:hAnsi="宋体"/>
          <w:color w:val="auto"/>
          <w:kern w:val="0"/>
          <w:sz w:val="28"/>
          <w:szCs w:val="28"/>
        </w:rPr>
      </w:pPr>
      <w:r>
        <w:rPr>
          <w:rFonts w:hint="eastAsia" w:ascii="宋体" w:hAnsi="宋体"/>
          <w:color w:val="auto"/>
          <w:kern w:val="0"/>
          <w:sz w:val="28"/>
          <w:szCs w:val="28"/>
        </w:rPr>
        <w:t>5.防护目标分类：</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1）高敏感防护目标包括下列设施或场所：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a文化设施。包括：综合文化活动中心、文化馆、青少年宫、儿童活动中心、老年活动中心等设施。</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b教育设施。包括：高等院校、中等专业学校、体育训练基地、中学、小学、幼儿园、业余学校、民营培训机构及其附属设施，包括为学校配建的独立地段的学生生活场所；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c医疗卫生场所。包括：医疗、保健、卫生、翻译、康复和急救场所；不包括：居住小区及小区级以下的卫生服务设施；</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d社会福利设施。包括：福利院、养老院、孤儿院等为社会提供福利和慈善服务的设施及其附属设施</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e其他在事故场景下自我保护能力相对较低群体聚集的场所。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2）重要防护目标包括下列设施或场所：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a公共图书展览设施。包括：公共图书馆、博物馆、科技馆、纪念馆、美术馆、展览馆、会展中心等设施。</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b文物保护单位。</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c宗教场所。包括：专门用于宗教活动的庙宇、寺院、道馆、教堂等场所。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d城市轨道交通设施。包括独立地段的城市轨道交通地面以上部分的线路、站点。</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e军事、安保设施。包括：专门用于军事目的的设施，监狱、拘留所设施。</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f外事场所。包括：外国政府及国际组织驻华使领馆、办事处等。</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g其他具有保护价值的或事故情景下不便撤离的场所。</w:t>
      </w:r>
    </w:p>
    <w:p>
      <w:pPr>
        <w:spacing w:line="540" w:lineRule="exact"/>
        <w:ind w:firstLine="560"/>
        <w:rPr>
          <w:rFonts w:ascii="宋体" w:hAnsi="宋体"/>
          <w:color w:val="auto"/>
          <w:kern w:val="0"/>
          <w:sz w:val="28"/>
          <w:szCs w:val="28"/>
        </w:rPr>
      </w:pPr>
      <w:r>
        <w:rPr>
          <w:rFonts w:hint="eastAsia" w:ascii="宋体" w:hAnsi="宋体"/>
          <w:color w:val="auto"/>
          <w:kern w:val="0"/>
          <w:sz w:val="28"/>
          <w:szCs w:val="28"/>
        </w:rPr>
        <w:t>3）一般防护目标根据其规模分为一类防护目标、二类防护目标和三类防护目标。一般防护目标的分类规定参见表1</w:t>
      </w:r>
    </w:p>
    <w:p>
      <w:pPr>
        <w:jc w:val="center"/>
        <w:rPr>
          <w:rFonts w:ascii="宋体" w:hAnsi="宋体"/>
          <w:color w:val="auto"/>
          <w:kern w:val="0"/>
        </w:rPr>
      </w:pPr>
    </w:p>
    <w:p>
      <w:pPr>
        <w:jc w:val="center"/>
        <w:rPr>
          <w:rFonts w:ascii="宋体" w:hAnsi="宋体"/>
          <w:color w:val="auto"/>
          <w:kern w:val="0"/>
        </w:rPr>
      </w:pPr>
    </w:p>
    <w:p>
      <w:pPr>
        <w:jc w:val="center"/>
        <w:rPr>
          <w:rFonts w:ascii="宋体" w:hAnsi="宋体"/>
          <w:color w:val="auto"/>
          <w:kern w:val="0"/>
        </w:rPr>
      </w:pPr>
    </w:p>
    <w:p>
      <w:pPr>
        <w:jc w:val="center"/>
        <w:rPr>
          <w:rFonts w:ascii="宋体" w:hAnsi="宋体"/>
          <w:color w:val="auto"/>
          <w:kern w:val="0"/>
        </w:rPr>
      </w:pPr>
      <w:r>
        <w:rPr>
          <w:rFonts w:hint="eastAsia" w:ascii="宋体" w:hAnsi="宋体"/>
          <w:color w:val="auto"/>
          <w:kern w:val="0"/>
        </w:rPr>
        <w:t>表3.7-1 一般防护目标的分类</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9"/>
        <w:gridCol w:w="1843"/>
        <w:gridCol w:w="1741"/>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Calibri" w:hAnsi="宋体"/>
                <w:color w:val="auto"/>
                <w:kern w:val="0"/>
              </w:rPr>
            </w:pPr>
            <w:r>
              <w:rPr>
                <w:rFonts w:hint="eastAsia" w:ascii="宋体" w:hAnsi="宋体"/>
                <w:color w:val="auto"/>
                <w:kern w:val="0"/>
              </w:rPr>
              <w:t>防护目标类型</w:t>
            </w:r>
          </w:p>
        </w:tc>
        <w:tc>
          <w:tcPr>
            <w:tcW w:w="1843" w:type="dxa"/>
            <w:tcBorders>
              <w:top w:val="single" w:color="auto" w:sz="4" w:space="0"/>
              <w:left w:val="nil"/>
              <w:bottom w:val="single" w:color="auto" w:sz="4" w:space="0"/>
              <w:right w:val="single" w:color="auto" w:sz="4" w:space="0"/>
            </w:tcBorders>
          </w:tcPr>
          <w:p>
            <w:pPr>
              <w:spacing w:line="280" w:lineRule="exact"/>
              <w:rPr>
                <w:rFonts w:hAnsi="宋体"/>
                <w:color w:val="auto"/>
                <w:kern w:val="0"/>
              </w:rPr>
            </w:pPr>
            <w:r>
              <w:rPr>
                <w:rFonts w:hint="eastAsia" w:ascii="宋体" w:hAnsi="宋体"/>
                <w:color w:val="auto"/>
                <w:kern w:val="0"/>
              </w:rPr>
              <w:t>一类防护目标</w:t>
            </w:r>
          </w:p>
        </w:tc>
        <w:tc>
          <w:tcPr>
            <w:tcW w:w="1741" w:type="dxa"/>
            <w:tcBorders>
              <w:top w:val="single" w:color="auto" w:sz="4" w:space="0"/>
              <w:left w:val="nil"/>
              <w:bottom w:val="single" w:color="auto" w:sz="4" w:space="0"/>
              <w:right w:val="single" w:color="auto" w:sz="4" w:space="0"/>
            </w:tcBorders>
          </w:tcPr>
          <w:p>
            <w:pPr>
              <w:spacing w:line="280" w:lineRule="exact"/>
              <w:rPr>
                <w:rFonts w:hAnsi="Calibri"/>
                <w:color w:val="auto"/>
              </w:rPr>
            </w:pPr>
            <w:r>
              <w:rPr>
                <w:rFonts w:hint="eastAsia" w:ascii="宋体" w:hAnsi="宋体"/>
                <w:color w:val="auto"/>
                <w:kern w:val="0"/>
              </w:rPr>
              <w:t>二类防护目标</w:t>
            </w:r>
          </w:p>
        </w:tc>
        <w:tc>
          <w:tcPr>
            <w:tcW w:w="1483" w:type="dxa"/>
            <w:tcBorders>
              <w:top w:val="single" w:color="auto" w:sz="4" w:space="0"/>
              <w:left w:val="nil"/>
              <w:bottom w:val="single" w:color="auto" w:sz="4" w:space="0"/>
              <w:right w:val="single" w:color="auto" w:sz="4" w:space="0"/>
            </w:tcBorders>
          </w:tcPr>
          <w:p>
            <w:pPr>
              <w:spacing w:line="280" w:lineRule="exact"/>
              <w:rPr>
                <w:color w:val="auto"/>
              </w:rPr>
            </w:pPr>
            <w:r>
              <w:rPr>
                <w:rFonts w:hint="eastAsia" w:ascii="宋体" w:hAnsi="宋体"/>
                <w:color w:val="auto"/>
                <w:kern w:val="0"/>
              </w:rPr>
              <w:t>三类防护目标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住宅及相应服务设施</w:t>
            </w:r>
          </w:p>
          <w:p>
            <w:pPr>
              <w:spacing w:line="280" w:lineRule="exact"/>
              <w:rPr>
                <w:rFonts w:ascii="宋体" w:hAnsi="宋体"/>
                <w:color w:val="auto"/>
                <w:kern w:val="0"/>
              </w:rPr>
            </w:pPr>
            <w:r>
              <w:rPr>
                <w:rFonts w:hint="eastAsia" w:ascii="宋体" w:hAnsi="宋体"/>
                <w:color w:val="auto"/>
                <w:kern w:val="0"/>
              </w:rPr>
              <w:t>住宅包括：农村居民点、底层住区、中层和高层住宅建筑等；</w:t>
            </w:r>
          </w:p>
          <w:p>
            <w:pPr>
              <w:spacing w:line="280" w:lineRule="exact"/>
              <w:rPr>
                <w:rFonts w:ascii="宋体" w:hAnsi="宋体"/>
                <w:color w:val="auto"/>
                <w:kern w:val="0"/>
              </w:rPr>
            </w:pPr>
            <w:r>
              <w:rPr>
                <w:rFonts w:hint="eastAsia" w:ascii="宋体" w:hAnsi="宋体"/>
                <w:color w:val="auto"/>
                <w:kern w:val="0"/>
              </w:rPr>
              <w:t>相应服务设施包括：居住小区及小区级以下的由头、文化、体育、商业、卫生服务、养老助残设施，不包括中小学</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居住户数30户以上或者居住人数100人以上</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rPr>
            </w:pPr>
            <w:r>
              <w:rPr>
                <w:rFonts w:hint="eastAsia" w:ascii="宋体" w:hAnsi="宋体"/>
                <w:color w:val="auto"/>
                <w:kern w:val="0"/>
              </w:rPr>
              <w:t>居住户数10户以上30户以下或者居住人数30人以上100人以下</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rPr>
            </w:pPr>
            <w:r>
              <w:rPr>
                <w:rFonts w:hint="eastAsia" w:ascii="宋体" w:hAnsi="宋体"/>
                <w:color w:val="auto"/>
                <w:kern w:val="0"/>
              </w:rPr>
              <w:t>居住户数10户以下或者居住人数30人以下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Calibri" w:hAnsi="宋体"/>
                <w:color w:val="auto"/>
                <w:kern w:val="0"/>
              </w:rPr>
            </w:pPr>
            <w:r>
              <w:rPr>
                <w:rFonts w:hint="eastAsia" w:ascii="宋体" w:hAnsi="宋体"/>
                <w:color w:val="auto"/>
                <w:kern w:val="0"/>
              </w:rPr>
              <w:t>行政办公设施</w:t>
            </w:r>
          </w:p>
          <w:p>
            <w:pPr>
              <w:spacing w:line="280" w:lineRule="exact"/>
              <w:rPr>
                <w:rFonts w:hAnsi="宋体"/>
                <w:color w:val="auto"/>
                <w:kern w:val="0"/>
              </w:rPr>
            </w:pPr>
            <w:r>
              <w:rPr>
                <w:rFonts w:hint="eastAsia" w:ascii="宋体" w:hAnsi="宋体"/>
                <w:color w:val="auto"/>
                <w:kern w:val="0"/>
              </w:rPr>
              <w:t>包括：党政机关、社会团体、科研、事业单位等办公楼及其相关设施</w:t>
            </w:r>
          </w:p>
        </w:tc>
        <w:tc>
          <w:tcPr>
            <w:tcW w:w="1843" w:type="dxa"/>
            <w:tcBorders>
              <w:top w:val="single" w:color="auto" w:sz="4" w:space="0"/>
              <w:left w:val="nil"/>
              <w:bottom w:val="single" w:color="auto" w:sz="4" w:space="0"/>
              <w:right w:val="single" w:color="auto" w:sz="4" w:space="0"/>
            </w:tcBorders>
          </w:tcPr>
          <w:p>
            <w:pPr>
              <w:spacing w:line="280" w:lineRule="exact"/>
              <w:rPr>
                <w:rFonts w:hAnsi="宋体"/>
                <w:color w:val="auto"/>
                <w:kern w:val="0"/>
              </w:rPr>
            </w:pPr>
            <w:r>
              <w:rPr>
                <w:rFonts w:hint="eastAsia" w:ascii="宋体" w:hAnsi="宋体"/>
                <w:color w:val="auto"/>
                <w:kern w:val="0"/>
              </w:rPr>
              <w:t>县级以上党政机关以及其他办公人数</w:t>
            </w:r>
            <w:r>
              <w:rPr>
                <w:rFonts w:hAnsi="宋体"/>
                <w:color w:val="auto"/>
                <w:kern w:val="0"/>
              </w:rPr>
              <w:t>100</w:t>
            </w:r>
            <w:r>
              <w:rPr>
                <w:rFonts w:hint="eastAsia" w:ascii="宋体" w:hAnsi="宋体"/>
                <w:color w:val="auto"/>
                <w:kern w:val="0"/>
              </w:rPr>
              <w:t>人以上的行政办公建筑</w:t>
            </w:r>
          </w:p>
        </w:tc>
        <w:tc>
          <w:tcPr>
            <w:tcW w:w="1741" w:type="dxa"/>
            <w:tcBorders>
              <w:top w:val="single" w:color="auto" w:sz="4" w:space="0"/>
              <w:left w:val="nil"/>
              <w:bottom w:val="single" w:color="auto" w:sz="4" w:space="0"/>
              <w:right w:val="single" w:color="auto" w:sz="4" w:space="0"/>
            </w:tcBorders>
          </w:tcPr>
          <w:p>
            <w:pPr>
              <w:spacing w:line="280" w:lineRule="exact"/>
              <w:rPr>
                <w:rFonts w:hAnsi="宋体"/>
                <w:color w:val="auto"/>
                <w:kern w:val="0"/>
              </w:rPr>
            </w:pPr>
            <w:r>
              <w:rPr>
                <w:rFonts w:hint="eastAsia" w:ascii="宋体" w:hAnsi="宋体"/>
                <w:color w:val="auto"/>
                <w:kern w:val="0"/>
              </w:rPr>
              <w:t>办公人数</w:t>
            </w:r>
            <w:r>
              <w:rPr>
                <w:rFonts w:hAnsi="宋体"/>
                <w:color w:val="auto"/>
                <w:kern w:val="0"/>
              </w:rPr>
              <w:t>100</w:t>
            </w:r>
            <w:r>
              <w:rPr>
                <w:rFonts w:hint="eastAsia" w:ascii="宋体" w:hAnsi="宋体"/>
                <w:color w:val="auto"/>
                <w:kern w:val="0"/>
              </w:rPr>
              <w:t>人以下的行政办公建筑</w:t>
            </w:r>
          </w:p>
        </w:tc>
        <w:tc>
          <w:tcPr>
            <w:tcW w:w="1483" w:type="dxa"/>
            <w:tcBorders>
              <w:top w:val="single" w:color="auto" w:sz="4" w:space="0"/>
              <w:left w:val="nil"/>
              <w:bottom w:val="single" w:color="auto" w:sz="4" w:space="0"/>
              <w:right w:val="single" w:color="auto" w:sz="4" w:space="0"/>
            </w:tcBorders>
          </w:tcPr>
          <w:p>
            <w:pPr>
              <w:spacing w:line="280" w:lineRule="exact"/>
              <w:rPr>
                <w:rFonts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体育场馆</w:t>
            </w:r>
          </w:p>
          <w:p>
            <w:pPr>
              <w:spacing w:line="280" w:lineRule="exact"/>
              <w:rPr>
                <w:rFonts w:ascii="宋体" w:hAnsi="宋体"/>
                <w:color w:val="auto"/>
                <w:kern w:val="0"/>
              </w:rPr>
            </w:pPr>
            <w:r>
              <w:rPr>
                <w:rFonts w:hint="eastAsia" w:ascii="宋体" w:hAnsi="宋体"/>
                <w:color w:val="auto"/>
                <w:kern w:val="0"/>
              </w:rPr>
              <w:t>不包括：学校等机构专用的体育设施</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总建筑面积5000m</w:t>
            </w:r>
            <w:r>
              <w:rPr>
                <w:rFonts w:hint="eastAsia" w:ascii="宋体" w:hAnsi="宋体"/>
                <w:color w:val="auto"/>
                <w:kern w:val="0"/>
                <w:vertAlign w:val="superscript"/>
              </w:rPr>
              <w:t>2</w:t>
            </w:r>
            <w:r>
              <w:rPr>
                <w:rFonts w:hint="eastAsia" w:ascii="宋体" w:hAnsi="宋体"/>
                <w:color w:val="auto"/>
                <w:kern w:val="0"/>
              </w:rPr>
              <w:t>以上的</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总建筑面积5000m</w:t>
            </w:r>
            <w:r>
              <w:rPr>
                <w:rFonts w:hint="eastAsia" w:ascii="宋体" w:hAnsi="宋体"/>
                <w:color w:val="auto"/>
                <w:kern w:val="0"/>
                <w:vertAlign w:val="superscript"/>
              </w:rPr>
              <w:t>2</w:t>
            </w:r>
            <w:r>
              <w:rPr>
                <w:rFonts w:hint="eastAsia" w:ascii="宋体" w:hAnsi="宋体"/>
                <w:color w:val="auto"/>
                <w:kern w:val="0"/>
              </w:rPr>
              <w:t>以下的</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商业、餐饮等综合性商业服务建筑</w:t>
            </w:r>
          </w:p>
          <w:p>
            <w:pPr>
              <w:spacing w:line="280" w:lineRule="exact"/>
              <w:rPr>
                <w:rFonts w:ascii="宋体" w:hAnsi="宋体"/>
                <w:color w:val="auto"/>
                <w:kern w:val="0"/>
              </w:rPr>
            </w:pPr>
            <w:r>
              <w:rPr>
                <w:rFonts w:hint="eastAsia" w:ascii="宋体" w:hAnsi="宋体"/>
                <w:color w:val="auto"/>
                <w:kern w:val="0"/>
              </w:rPr>
              <w:t>包括：以零售功能为主的商铺、商场、超市、市场类商业建筑或场所；以批发功能为主的农贸市场；饭店、餐馆、酒吧等餐饮业场所或建筑</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总建筑面积5000m</w:t>
            </w:r>
            <w:r>
              <w:rPr>
                <w:rFonts w:hint="eastAsia" w:ascii="宋体" w:hAnsi="宋体"/>
                <w:color w:val="auto"/>
                <w:kern w:val="0"/>
                <w:vertAlign w:val="superscript"/>
              </w:rPr>
              <w:t>2</w:t>
            </w:r>
            <w:r>
              <w:rPr>
                <w:rFonts w:hint="eastAsia" w:ascii="宋体" w:hAnsi="宋体"/>
                <w:color w:val="auto"/>
                <w:kern w:val="0"/>
              </w:rPr>
              <w:t>以上的，或高峰时300人以上的露天场所</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总建筑面积1500m</w:t>
            </w:r>
            <w:r>
              <w:rPr>
                <w:rFonts w:hint="eastAsia" w:ascii="宋体" w:hAnsi="宋体"/>
                <w:color w:val="auto"/>
                <w:kern w:val="0"/>
                <w:vertAlign w:val="superscript"/>
              </w:rPr>
              <w:t>2</w:t>
            </w:r>
            <w:r>
              <w:rPr>
                <w:rFonts w:hint="eastAsia" w:ascii="宋体" w:hAnsi="宋体"/>
                <w:color w:val="auto"/>
                <w:kern w:val="0"/>
              </w:rPr>
              <w:t>以上的5000m</w:t>
            </w:r>
            <w:r>
              <w:rPr>
                <w:rFonts w:hint="eastAsia" w:ascii="宋体" w:hAnsi="宋体"/>
                <w:color w:val="auto"/>
                <w:kern w:val="0"/>
                <w:vertAlign w:val="superscript"/>
              </w:rPr>
              <w:t>2</w:t>
            </w:r>
            <w:r>
              <w:rPr>
                <w:rFonts w:hint="eastAsia" w:ascii="宋体" w:hAnsi="宋体"/>
                <w:color w:val="auto"/>
                <w:kern w:val="0"/>
              </w:rPr>
              <w:t>以下的建筑，或高峰时100人以上300人以下的露天场所</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总建筑面积1500m</w:t>
            </w:r>
            <w:r>
              <w:rPr>
                <w:rFonts w:hint="eastAsia" w:ascii="宋体" w:hAnsi="宋体"/>
                <w:color w:val="auto"/>
                <w:kern w:val="0"/>
                <w:vertAlign w:val="superscript"/>
              </w:rPr>
              <w:t>2</w:t>
            </w:r>
            <w:r>
              <w:rPr>
                <w:rFonts w:hint="eastAsia" w:ascii="宋体" w:hAnsi="宋体"/>
                <w:color w:val="auto"/>
                <w:kern w:val="0"/>
              </w:rPr>
              <w:t>以下的建筑，或高峰时100以下的露天场所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旅馆住宿业建筑</w:t>
            </w:r>
          </w:p>
          <w:p>
            <w:pPr>
              <w:spacing w:line="280" w:lineRule="exact"/>
              <w:rPr>
                <w:rFonts w:ascii="宋体" w:hAnsi="宋体"/>
                <w:color w:val="auto"/>
                <w:kern w:val="0"/>
              </w:rPr>
            </w:pPr>
            <w:r>
              <w:rPr>
                <w:rFonts w:hint="eastAsia" w:ascii="宋体" w:hAnsi="宋体"/>
                <w:color w:val="auto"/>
                <w:kern w:val="0"/>
              </w:rPr>
              <w:t>包括：宾馆、旅馆、招待所、防务新公寓、度假村等建筑</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床位数100张以上</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床位数100张以下</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金融保险、艺术传媒、技术服务等综合性商务办公建筑</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总建筑面积5000m</w:t>
            </w:r>
            <w:r>
              <w:rPr>
                <w:rFonts w:hint="eastAsia" w:ascii="宋体" w:hAnsi="宋体"/>
                <w:color w:val="auto"/>
                <w:kern w:val="0"/>
                <w:vertAlign w:val="superscript"/>
              </w:rPr>
              <w:t>2</w:t>
            </w:r>
            <w:r>
              <w:rPr>
                <w:rFonts w:hint="eastAsia" w:ascii="宋体" w:hAnsi="宋体"/>
                <w:color w:val="auto"/>
                <w:kern w:val="0"/>
              </w:rPr>
              <w:t>以上的</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总建筑面积1500m</w:t>
            </w:r>
            <w:r>
              <w:rPr>
                <w:rFonts w:hint="eastAsia" w:ascii="宋体" w:hAnsi="宋体"/>
                <w:color w:val="auto"/>
                <w:kern w:val="0"/>
                <w:vertAlign w:val="superscript"/>
              </w:rPr>
              <w:t>2</w:t>
            </w:r>
            <w:r>
              <w:rPr>
                <w:rFonts w:hint="eastAsia" w:ascii="宋体" w:hAnsi="宋体"/>
                <w:color w:val="auto"/>
                <w:kern w:val="0"/>
              </w:rPr>
              <w:t>以上5000m</w:t>
            </w:r>
            <w:r>
              <w:rPr>
                <w:rFonts w:hint="eastAsia" w:ascii="宋体" w:hAnsi="宋体"/>
                <w:color w:val="auto"/>
                <w:kern w:val="0"/>
                <w:vertAlign w:val="superscript"/>
              </w:rPr>
              <w:t>2</w:t>
            </w:r>
            <w:r>
              <w:rPr>
                <w:rFonts w:hint="eastAsia" w:ascii="宋体" w:hAnsi="宋体"/>
                <w:color w:val="auto"/>
                <w:kern w:val="0"/>
              </w:rPr>
              <w:t>以下的</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总建筑面积1500m</w:t>
            </w:r>
            <w:r>
              <w:rPr>
                <w:rFonts w:hint="eastAsia" w:ascii="宋体" w:hAnsi="宋体"/>
                <w:color w:val="auto"/>
                <w:kern w:val="0"/>
                <w:vertAlign w:val="superscript"/>
              </w:rPr>
              <w:t>2</w:t>
            </w:r>
            <w:r>
              <w:rPr>
                <w:rFonts w:hint="eastAsia" w:ascii="宋体" w:hAnsi="宋体"/>
                <w:color w:val="auto"/>
                <w:kern w:val="0"/>
              </w:rPr>
              <w:t>以下的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娱乐、康体类建筑或场所</w:t>
            </w:r>
          </w:p>
          <w:p>
            <w:pPr>
              <w:spacing w:line="280" w:lineRule="exact"/>
              <w:rPr>
                <w:rFonts w:ascii="宋体" w:hAnsi="宋体"/>
                <w:color w:val="auto"/>
                <w:kern w:val="0"/>
              </w:rPr>
            </w:pPr>
            <w:r>
              <w:rPr>
                <w:rFonts w:hint="eastAsia" w:ascii="宋体" w:hAnsi="宋体"/>
                <w:color w:val="auto"/>
                <w:kern w:val="0"/>
              </w:rPr>
              <w:t>包括：剧院、音乐厅、歌舞厅、网吧以及大型游乐等娱乐场所建筑；</w:t>
            </w:r>
          </w:p>
          <w:p>
            <w:pPr>
              <w:spacing w:line="280" w:lineRule="exact"/>
              <w:rPr>
                <w:rFonts w:ascii="宋体" w:hAnsi="宋体"/>
                <w:color w:val="auto"/>
                <w:kern w:val="0"/>
              </w:rPr>
            </w:pPr>
            <w:r>
              <w:rPr>
                <w:rFonts w:hint="eastAsia" w:ascii="宋体" w:hAnsi="宋体"/>
                <w:color w:val="auto"/>
                <w:kern w:val="0"/>
              </w:rPr>
              <w:t>赛马场、高尔夫、溜冰场、跳伞场、摩托车场、射击场等康体场所</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总建筑面积3000m</w:t>
            </w:r>
            <w:r>
              <w:rPr>
                <w:rFonts w:hint="eastAsia" w:ascii="宋体" w:hAnsi="宋体"/>
                <w:color w:val="auto"/>
                <w:kern w:val="0"/>
                <w:vertAlign w:val="superscript"/>
              </w:rPr>
              <w:t>2</w:t>
            </w:r>
            <w:r>
              <w:rPr>
                <w:rFonts w:hint="eastAsia" w:ascii="宋体" w:hAnsi="宋体"/>
                <w:color w:val="auto"/>
                <w:kern w:val="0"/>
              </w:rPr>
              <w:t>以上的，或高峰时100人以上的露天场所</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总建筑面积3000m</w:t>
            </w:r>
            <w:r>
              <w:rPr>
                <w:rFonts w:hint="eastAsia" w:ascii="宋体" w:hAnsi="宋体"/>
                <w:color w:val="auto"/>
                <w:kern w:val="0"/>
                <w:vertAlign w:val="superscript"/>
              </w:rPr>
              <w:t>2</w:t>
            </w:r>
            <w:r>
              <w:rPr>
                <w:rFonts w:hint="eastAsia" w:ascii="宋体" w:hAnsi="宋体"/>
                <w:color w:val="auto"/>
                <w:kern w:val="0"/>
              </w:rPr>
              <w:t>以下的建筑，或高峰时100人以下的露天场所</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公共设施营业网点</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其他公用设施营业网点。包括电信、邮政、供水、燃气、供电、供热等其他公用设施营业网点</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加油加气站营业网点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其他非危险化学品工业企业</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企业当班人数100人以上的建筑</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企业当班人数100人以下的建筑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交通枢纽设施</w:t>
            </w:r>
          </w:p>
          <w:p>
            <w:pPr>
              <w:spacing w:line="280" w:lineRule="exact"/>
              <w:rPr>
                <w:rFonts w:ascii="宋体" w:hAnsi="宋体"/>
                <w:color w:val="auto"/>
                <w:kern w:val="0"/>
              </w:rPr>
            </w:pPr>
            <w:r>
              <w:rPr>
                <w:rFonts w:hint="eastAsia" w:ascii="宋体" w:hAnsi="宋体"/>
                <w:color w:val="auto"/>
                <w:kern w:val="0"/>
              </w:rPr>
              <w:t>包括：铁路客运站、公路长途客运站、港口客运码头、机场、交通服务设施（不包括交通指挥中心、交通队）等</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旅客最高聚集人数100人以上</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旅客最高聚集人数100人以下</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9" w:type="dxa"/>
            <w:tcBorders>
              <w:top w:val="single" w:color="auto" w:sz="4" w:space="0"/>
              <w:left w:val="single" w:color="auto" w:sz="4" w:space="0"/>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城镇公园广场</w:t>
            </w:r>
          </w:p>
        </w:tc>
        <w:tc>
          <w:tcPr>
            <w:tcW w:w="184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总占地面积5000m</w:t>
            </w:r>
            <w:r>
              <w:rPr>
                <w:rFonts w:hint="eastAsia" w:ascii="宋体" w:hAnsi="宋体"/>
                <w:color w:val="auto"/>
                <w:kern w:val="0"/>
                <w:vertAlign w:val="superscript"/>
              </w:rPr>
              <w:t>2</w:t>
            </w:r>
            <w:r>
              <w:rPr>
                <w:rFonts w:hint="eastAsia" w:ascii="宋体" w:hAnsi="宋体"/>
                <w:color w:val="auto"/>
                <w:kern w:val="0"/>
              </w:rPr>
              <w:t>以上</w:t>
            </w:r>
          </w:p>
        </w:tc>
        <w:tc>
          <w:tcPr>
            <w:tcW w:w="1741"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总占地面积1500m</w:t>
            </w:r>
            <w:r>
              <w:rPr>
                <w:rFonts w:hint="eastAsia" w:ascii="宋体" w:hAnsi="宋体"/>
                <w:color w:val="auto"/>
                <w:kern w:val="0"/>
                <w:vertAlign w:val="superscript"/>
              </w:rPr>
              <w:t>2</w:t>
            </w:r>
            <w:r>
              <w:rPr>
                <w:rFonts w:hint="eastAsia" w:ascii="宋体" w:hAnsi="宋体"/>
                <w:color w:val="auto"/>
                <w:kern w:val="0"/>
              </w:rPr>
              <w:t>以上5000m</w:t>
            </w:r>
            <w:r>
              <w:rPr>
                <w:rFonts w:hint="eastAsia" w:ascii="宋体" w:hAnsi="宋体"/>
                <w:color w:val="auto"/>
                <w:kern w:val="0"/>
                <w:vertAlign w:val="superscript"/>
              </w:rPr>
              <w:t>2</w:t>
            </w:r>
            <w:r>
              <w:rPr>
                <w:rFonts w:hint="eastAsia" w:ascii="宋体" w:hAnsi="宋体"/>
                <w:color w:val="auto"/>
                <w:kern w:val="0"/>
              </w:rPr>
              <w:t>以下的</w:t>
            </w:r>
          </w:p>
        </w:tc>
        <w:tc>
          <w:tcPr>
            <w:tcW w:w="1483" w:type="dxa"/>
            <w:tcBorders>
              <w:top w:val="single" w:color="auto" w:sz="4" w:space="0"/>
              <w:left w:val="nil"/>
              <w:bottom w:val="single" w:color="auto" w:sz="4" w:space="0"/>
              <w:right w:val="single" w:color="auto" w:sz="4" w:space="0"/>
            </w:tcBorders>
          </w:tcPr>
          <w:p>
            <w:pPr>
              <w:spacing w:line="280" w:lineRule="exact"/>
              <w:rPr>
                <w:rFonts w:ascii="宋体" w:hAnsi="宋体"/>
                <w:color w:val="auto"/>
                <w:kern w:val="0"/>
              </w:rPr>
            </w:pPr>
            <w:r>
              <w:rPr>
                <w:rFonts w:hint="eastAsia" w:ascii="宋体" w:hAnsi="宋体"/>
                <w:color w:val="auto"/>
                <w:kern w:val="0"/>
              </w:rPr>
              <w:t>总占地面积1500m</w:t>
            </w:r>
            <w:r>
              <w:rPr>
                <w:rFonts w:hint="eastAsia" w:ascii="宋体" w:hAnsi="宋体"/>
                <w:color w:val="auto"/>
                <w:kern w:val="0"/>
                <w:vertAlign w:val="superscript"/>
              </w:rPr>
              <w:t>2</w:t>
            </w:r>
            <w:r>
              <w:rPr>
                <w:rFonts w:hint="eastAsia" w:ascii="宋体" w:hAnsi="宋体"/>
                <w:color w:val="auto"/>
                <w:kern w:val="0"/>
              </w:rPr>
              <w:t>以下的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6" w:type="dxa"/>
            <w:gridSpan w:val="4"/>
            <w:tcBorders>
              <w:top w:val="single" w:color="auto" w:sz="4" w:space="0"/>
              <w:left w:val="single" w:color="auto" w:sz="4" w:space="0"/>
              <w:bottom w:val="single" w:color="auto" w:sz="4" w:space="0"/>
              <w:right w:val="single" w:color="auto" w:sz="4" w:space="0"/>
            </w:tcBorders>
          </w:tcPr>
          <w:p>
            <w:pPr>
              <w:rPr>
                <w:rFonts w:ascii="宋体" w:hAnsi="宋体"/>
                <w:color w:val="auto"/>
                <w:kern w:val="0"/>
              </w:rPr>
            </w:pPr>
            <w:r>
              <w:rPr>
                <w:rFonts w:hint="eastAsia" w:ascii="宋体" w:hAnsi="宋体"/>
                <w:color w:val="auto"/>
                <w:kern w:val="0"/>
              </w:rPr>
              <w:t>注1：底层建筑（一层至三层住宅）为主的农村居民点、低层住区以整体为单元进行规模核算，中层（四层至六层住宅）及以上建筑以单栋建筑为单元进行规模核算。其他防护目标未单独说明的，以独立建筑为目标进行分类；</w:t>
            </w:r>
          </w:p>
          <w:p>
            <w:pPr>
              <w:rPr>
                <w:rFonts w:ascii="宋体" w:hAnsi="宋体"/>
                <w:color w:val="auto"/>
                <w:kern w:val="0"/>
              </w:rPr>
            </w:pPr>
            <w:r>
              <w:rPr>
                <w:rFonts w:hint="eastAsia" w:ascii="宋体" w:hAnsi="宋体"/>
                <w:color w:val="auto"/>
                <w:kern w:val="0"/>
              </w:rPr>
              <w:t>注2：人员核算时，居住户和居住人数按常住人口核算，企业人员数量按最大当班人数核算。</w:t>
            </w:r>
          </w:p>
          <w:p>
            <w:pPr>
              <w:rPr>
                <w:rFonts w:ascii="宋体" w:hAnsi="宋体"/>
                <w:color w:val="auto"/>
                <w:kern w:val="0"/>
              </w:rPr>
            </w:pPr>
            <w:r>
              <w:rPr>
                <w:rFonts w:hint="eastAsia" w:ascii="宋体" w:hAnsi="宋体"/>
                <w:color w:val="auto"/>
                <w:kern w:val="0"/>
              </w:rPr>
              <w:t>注3：具有兼容性的综合建筑按主要类型进行分类，若综合楼使用的主要性质难以确定是，按低层使用的主要性质进行归类。</w:t>
            </w:r>
          </w:p>
          <w:p>
            <w:pPr>
              <w:rPr>
                <w:rFonts w:ascii="宋体" w:hAnsi="宋体"/>
                <w:color w:val="auto"/>
                <w:kern w:val="0"/>
              </w:rPr>
            </w:pPr>
            <w:r>
              <w:rPr>
                <w:rFonts w:hint="eastAsia" w:ascii="宋体" w:hAnsi="宋体"/>
                <w:color w:val="auto"/>
                <w:kern w:val="0"/>
              </w:rPr>
              <w:t>注4：表中“以上”包括本数，“以下”不包括本数。</w:t>
            </w:r>
          </w:p>
        </w:tc>
      </w:tr>
    </w:tbl>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6.防护目标个人风险基准</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危险化学品生产装置和储存设施周边防护目标所承受的个人风险应不超过表6中个人风险基准的要求。</w:t>
      </w:r>
    </w:p>
    <w:p>
      <w:pPr>
        <w:ind w:firstLine="420" w:firstLineChars="200"/>
        <w:jc w:val="center"/>
        <w:rPr>
          <w:rFonts w:ascii="宋体" w:hAnsi="宋体"/>
          <w:color w:val="auto"/>
          <w:kern w:val="0"/>
        </w:rPr>
      </w:pPr>
      <w:r>
        <w:rPr>
          <w:rFonts w:hint="eastAsia" w:ascii="宋体" w:hAnsi="宋体"/>
          <w:color w:val="auto"/>
          <w:kern w:val="0"/>
        </w:rPr>
        <w:t>表3.7-2 个人风险基准</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2"/>
        <w:gridCol w:w="3083"/>
        <w:gridCol w:w="2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2" w:type="dxa"/>
            <w:vMerge w:val="restart"/>
            <w:tcBorders>
              <w:top w:val="single" w:color="auto" w:sz="4" w:space="0"/>
              <w:left w:val="single" w:color="auto" w:sz="4" w:space="0"/>
              <w:bottom w:val="single" w:color="auto" w:sz="4" w:space="0"/>
              <w:right w:val="single" w:color="auto" w:sz="4" w:space="0"/>
            </w:tcBorders>
          </w:tcPr>
          <w:p>
            <w:pPr>
              <w:rPr>
                <w:rFonts w:ascii="Calibri" w:hAnsi="宋体"/>
                <w:color w:val="auto"/>
                <w:kern w:val="0"/>
              </w:rPr>
            </w:pPr>
            <w:r>
              <w:rPr>
                <w:rFonts w:hint="eastAsia" w:ascii="宋体" w:hAnsi="宋体"/>
                <w:color w:val="auto"/>
                <w:kern w:val="0"/>
              </w:rPr>
              <w:t>防护目标</w:t>
            </w:r>
          </w:p>
        </w:tc>
        <w:tc>
          <w:tcPr>
            <w:tcW w:w="5748" w:type="dxa"/>
            <w:gridSpan w:val="2"/>
            <w:tcBorders>
              <w:top w:val="single" w:color="auto" w:sz="4" w:space="0"/>
              <w:left w:val="nil"/>
              <w:bottom w:val="single" w:color="auto" w:sz="4" w:space="0"/>
              <w:right w:val="single" w:color="auto" w:sz="4" w:space="0"/>
            </w:tcBorders>
          </w:tcPr>
          <w:p>
            <w:pPr>
              <w:rPr>
                <w:rFonts w:hAnsi="宋体"/>
                <w:color w:val="auto"/>
                <w:kern w:val="0"/>
              </w:rPr>
            </w:pPr>
            <w:r>
              <w:rPr>
                <w:rFonts w:hint="eastAsia" w:ascii="宋体" w:hAnsi="宋体"/>
                <w:color w:val="auto"/>
                <w:kern w:val="0"/>
              </w:rPr>
              <w:t>个人风险基准（次</w:t>
            </w:r>
            <w:r>
              <w:rPr>
                <w:rFonts w:hAnsi="宋体"/>
                <w:color w:val="auto"/>
                <w:kern w:val="0"/>
              </w:rPr>
              <w:t>/</w:t>
            </w:r>
            <w:r>
              <w:rPr>
                <w:rFonts w:hint="eastAsia" w:ascii="宋体" w:hAnsi="宋体"/>
                <w:color w:val="auto"/>
                <w:kern w:val="0"/>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Calibri" w:hAnsi="宋体"/>
                <w:color w:val="auto"/>
                <w:kern w:val="0"/>
              </w:rPr>
            </w:pPr>
          </w:p>
        </w:tc>
        <w:tc>
          <w:tcPr>
            <w:tcW w:w="3119" w:type="dxa"/>
            <w:tcBorders>
              <w:top w:val="single" w:color="auto" w:sz="4" w:space="0"/>
              <w:left w:val="nil"/>
              <w:bottom w:val="single" w:color="auto" w:sz="4" w:space="0"/>
              <w:right w:val="single" w:color="auto" w:sz="4" w:space="0"/>
            </w:tcBorders>
          </w:tcPr>
          <w:p>
            <w:pPr>
              <w:rPr>
                <w:rFonts w:hAnsi="宋体"/>
                <w:color w:val="auto"/>
                <w:kern w:val="0"/>
              </w:rPr>
            </w:pPr>
            <w:r>
              <w:rPr>
                <w:rFonts w:hint="eastAsia" w:ascii="宋体" w:hAnsi="宋体"/>
                <w:color w:val="auto"/>
                <w:kern w:val="0"/>
              </w:rPr>
              <w:t>危险化学品新建</w:t>
            </w:r>
            <w:r>
              <w:rPr>
                <w:rFonts w:hint="eastAsia" w:cs="Calibri"/>
                <w:color w:val="auto"/>
                <w:kern w:val="0"/>
              </w:rPr>
              <w:t>.</w:t>
            </w:r>
            <w:r>
              <w:rPr>
                <w:rFonts w:hint="eastAsia" w:ascii="宋体" w:hAnsi="宋体"/>
                <w:color w:val="auto"/>
                <w:kern w:val="0"/>
              </w:rPr>
              <w:t>改建、扩建生产装置和储存设施</w:t>
            </w:r>
          </w:p>
        </w:tc>
        <w:tc>
          <w:tcPr>
            <w:tcW w:w="2629" w:type="dxa"/>
            <w:tcBorders>
              <w:top w:val="single" w:color="auto" w:sz="4" w:space="0"/>
              <w:left w:val="nil"/>
              <w:bottom w:val="single" w:color="auto" w:sz="4" w:space="0"/>
              <w:right w:val="single" w:color="auto" w:sz="4" w:space="0"/>
            </w:tcBorders>
          </w:tcPr>
          <w:p>
            <w:pPr>
              <w:rPr>
                <w:rFonts w:hAnsi="宋体"/>
                <w:color w:val="auto"/>
                <w:kern w:val="0"/>
              </w:rPr>
            </w:pPr>
            <w:r>
              <w:rPr>
                <w:rFonts w:hint="eastAsia" w:ascii="宋体" w:hAnsi="宋体"/>
                <w:color w:val="auto"/>
                <w:kern w:val="0"/>
              </w:rPr>
              <w:t>危险化学品在役生产装置和储存设施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2" w:type="dxa"/>
            <w:tcBorders>
              <w:top w:val="single" w:color="auto" w:sz="4" w:space="0"/>
              <w:left w:val="single" w:color="auto" w:sz="4" w:space="0"/>
              <w:bottom w:val="single" w:color="auto" w:sz="4" w:space="0"/>
              <w:right w:val="single" w:color="auto" w:sz="4" w:space="0"/>
            </w:tcBorders>
          </w:tcPr>
          <w:p>
            <w:pPr>
              <w:rPr>
                <w:rFonts w:hAnsi="宋体"/>
                <w:color w:val="auto"/>
                <w:kern w:val="0"/>
              </w:rPr>
            </w:pPr>
            <w:r>
              <w:rPr>
                <w:rFonts w:hint="eastAsia" w:ascii="宋体" w:hAnsi="宋体"/>
                <w:color w:val="auto"/>
                <w:kern w:val="0"/>
              </w:rPr>
              <w:t>高敏感防护目标</w:t>
            </w:r>
          </w:p>
          <w:p>
            <w:pPr>
              <w:rPr>
                <w:rFonts w:hAnsi="宋体"/>
                <w:color w:val="auto"/>
                <w:kern w:val="0"/>
              </w:rPr>
            </w:pPr>
            <w:r>
              <w:rPr>
                <w:rFonts w:hint="eastAsia" w:ascii="宋体" w:hAnsi="宋体"/>
                <w:color w:val="auto"/>
                <w:kern w:val="0"/>
              </w:rPr>
              <w:t>重要防护目标</w:t>
            </w:r>
          </w:p>
          <w:p>
            <w:pPr>
              <w:rPr>
                <w:rFonts w:hAnsi="宋体"/>
                <w:color w:val="auto"/>
                <w:kern w:val="0"/>
              </w:rPr>
            </w:pPr>
            <w:r>
              <w:rPr>
                <w:rFonts w:hint="eastAsia" w:ascii="宋体" w:hAnsi="宋体"/>
                <w:color w:val="auto"/>
                <w:kern w:val="0"/>
              </w:rPr>
              <w:t>一般防护目标中的一类防护目标</w:t>
            </w:r>
          </w:p>
        </w:tc>
        <w:tc>
          <w:tcPr>
            <w:tcW w:w="311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3</w:t>
            </w:r>
            <w:r>
              <w:rPr>
                <w:rFonts w:hint="eastAsia" w:ascii="宋体" w:hAnsi="宋体"/>
                <w:color w:val="auto"/>
                <w:kern w:val="0"/>
              </w:rPr>
              <w:t>×</w:t>
            </w:r>
            <w:r>
              <w:rPr>
                <w:rFonts w:hAnsi="宋体"/>
                <w:color w:val="auto"/>
                <w:kern w:val="0"/>
              </w:rPr>
              <w:t>10</w:t>
            </w:r>
            <w:r>
              <w:rPr>
                <w:rFonts w:hAnsi="宋体"/>
                <w:color w:val="auto"/>
                <w:kern w:val="0"/>
                <w:vertAlign w:val="superscript"/>
              </w:rPr>
              <w:t>-7</w:t>
            </w:r>
          </w:p>
        </w:tc>
        <w:tc>
          <w:tcPr>
            <w:tcW w:w="262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3</w:t>
            </w:r>
            <w:r>
              <w:rPr>
                <w:rFonts w:hint="eastAsia" w:ascii="宋体" w:hAnsi="宋体"/>
                <w:color w:val="auto"/>
                <w:kern w:val="0"/>
              </w:rPr>
              <w:t>×</w:t>
            </w:r>
            <w:r>
              <w:rPr>
                <w:rFonts w:hAnsi="宋体"/>
                <w:color w:val="auto"/>
                <w:kern w:val="0"/>
              </w:rPr>
              <w:t>10</w:t>
            </w:r>
            <w:r>
              <w:rPr>
                <w:rFonts w:hAnsi="宋体"/>
                <w:color w:val="auto"/>
                <w:kern w:val="0"/>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2" w:type="dxa"/>
            <w:tcBorders>
              <w:top w:val="single" w:color="auto" w:sz="4" w:space="0"/>
              <w:left w:val="single" w:color="auto" w:sz="4" w:space="0"/>
              <w:bottom w:val="single" w:color="auto" w:sz="4" w:space="0"/>
              <w:right w:val="single" w:color="auto" w:sz="4" w:space="0"/>
            </w:tcBorders>
          </w:tcPr>
          <w:p>
            <w:pPr>
              <w:rPr>
                <w:rFonts w:hAnsi="宋体"/>
                <w:color w:val="auto"/>
                <w:kern w:val="0"/>
              </w:rPr>
            </w:pPr>
            <w:r>
              <w:rPr>
                <w:rFonts w:hint="eastAsia" w:ascii="宋体" w:hAnsi="宋体"/>
                <w:color w:val="auto"/>
                <w:kern w:val="0"/>
              </w:rPr>
              <w:t>一般防护目标中的二类防护目标</w:t>
            </w:r>
          </w:p>
        </w:tc>
        <w:tc>
          <w:tcPr>
            <w:tcW w:w="311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3</w:t>
            </w:r>
            <w:r>
              <w:rPr>
                <w:rFonts w:hint="eastAsia" w:ascii="宋体" w:hAnsi="宋体"/>
                <w:color w:val="auto"/>
                <w:kern w:val="0"/>
              </w:rPr>
              <w:t>×</w:t>
            </w:r>
            <w:r>
              <w:rPr>
                <w:rFonts w:hAnsi="宋体"/>
                <w:color w:val="auto"/>
                <w:kern w:val="0"/>
              </w:rPr>
              <w:t>10</w:t>
            </w:r>
            <w:r>
              <w:rPr>
                <w:rFonts w:hAnsi="宋体"/>
                <w:color w:val="auto"/>
                <w:kern w:val="0"/>
                <w:vertAlign w:val="superscript"/>
              </w:rPr>
              <w:t>-6</w:t>
            </w:r>
          </w:p>
        </w:tc>
        <w:tc>
          <w:tcPr>
            <w:tcW w:w="262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1</w:t>
            </w:r>
            <w:r>
              <w:rPr>
                <w:rFonts w:hint="eastAsia" w:ascii="宋体" w:hAnsi="宋体"/>
                <w:color w:val="auto"/>
                <w:kern w:val="0"/>
              </w:rPr>
              <w:t>×</w:t>
            </w:r>
            <w:r>
              <w:rPr>
                <w:rFonts w:hAnsi="宋体"/>
                <w:color w:val="auto"/>
                <w:kern w:val="0"/>
              </w:rPr>
              <w:t>10</w:t>
            </w:r>
            <w:r>
              <w:rPr>
                <w:rFonts w:hAnsi="宋体"/>
                <w:color w:val="auto"/>
                <w:kern w:val="0"/>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2" w:type="dxa"/>
            <w:tcBorders>
              <w:top w:val="single" w:color="auto" w:sz="4" w:space="0"/>
              <w:left w:val="single" w:color="auto" w:sz="4" w:space="0"/>
              <w:bottom w:val="single" w:color="auto" w:sz="4" w:space="0"/>
              <w:right w:val="single" w:color="auto" w:sz="4" w:space="0"/>
            </w:tcBorders>
          </w:tcPr>
          <w:p>
            <w:pPr>
              <w:rPr>
                <w:rFonts w:hAnsi="宋体"/>
                <w:color w:val="auto"/>
                <w:kern w:val="0"/>
              </w:rPr>
            </w:pPr>
            <w:r>
              <w:rPr>
                <w:rFonts w:hint="eastAsia" w:ascii="宋体" w:hAnsi="宋体"/>
                <w:color w:val="auto"/>
                <w:kern w:val="0"/>
              </w:rPr>
              <w:t>一般防护目标中的三类防护目标</w:t>
            </w:r>
          </w:p>
        </w:tc>
        <w:tc>
          <w:tcPr>
            <w:tcW w:w="311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1</w:t>
            </w:r>
            <w:r>
              <w:rPr>
                <w:rFonts w:hint="eastAsia" w:ascii="宋体" w:hAnsi="宋体"/>
                <w:color w:val="auto"/>
                <w:kern w:val="0"/>
              </w:rPr>
              <w:t>×</w:t>
            </w:r>
            <w:r>
              <w:rPr>
                <w:rFonts w:hAnsi="宋体"/>
                <w:color w:val="auto"/>
                <w:kern w:val="0"/>
              </w:rPr>
              <w:t>10</w:t>
            </w:r>
            <w:r>
              <w:rPr>
                <w:rFonts w:hAnsi="宋体"/>
                <w:color w:val="auto"/>
                <w:kern w:val="0"/>
                <w:vertAlign w:val="superscript"/>
              </w:rPr>
              <w:t>-5</w:t>
            </w:r>
          </w:p>
        </w:tc>
        <w:tc>
          <w:tcPr>
            <w:tcW w:w="2629" w:type="dxa"/>
            <w:tcBorders>
              <w:top w:val="single" w:color="auto" w:sz="4" w:space="0"/>
              <w:left w:val="nil"/>
              <w:bottom w:val="single" w:color="auto" w:sz="4" w:space="0"/>
              <w:right w:val="single" w:color="auto" w:sz="4" w:space="0"/>
            </w:tcBorders>
          </w:tcPr>
          <w:p>
            <w:pPr>
              <w:rPr>
                <w:rFonts w:hAnsi="宋体"/>
                <w:color w:val="auto"/>
                <w:kern w:val="0"/>
              </w:rPr>
            </w:pPr>
            <w:r>
              <w:rPr>
                <w:rFonts w:hAnsi="宋体"/>
                <w:color w:val="auto"/>
                <w:kern w:val="0"/>
              </w:rPr>
              <w:t>3</w:t>
            </w:r>
            <w:r>
              <w:rPr>
                <w:rFonts w:hint="eastAsia" w:ascii="宋体" w:hAnsi="宋体"/>
                <w:color w:val="auto"/>
                <w:kern w:val="0"/>
              </w:rPr>
              <w:t>×</w:t>
            </w:r>
            <w:r>
              <w:rPr>
                <w:rFonts w:hAnsi="宋体"/>
                <w:color w:val="auto"/>
                <w:kern w:val="0"/>
              </w:rPr>
              <w:t>10</w:t>
            </w:r>
            <w:r>
              <w:rPr>
                <w:rFonts w:hAnsi="宋体"/>
                <w:color w:val="auto"/>
                <w:kern w:val="0"/>
                <w:vertAlign w:val="superscript"/>
              </w:rPr>
              <w:t>-5</w:t>
            </w:r>
          </w:p>
        </w:tc>
      </w:tr>
    </w:tbl>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7.社会风险基准</w:t>
      </w:r>
    </w:p>
    <w:p>
      <w:pPr>
        <w:spacing w:line="360" w:lineRule="auto"/>
        <w:ind w:firstLine="560" w:firstLineChars="200"/>
        <w:jc w:val="left"/>
        <w:rPr>
          <w:rFonts w:ascii="宋体" w:hAnsi="宋体"/>
          <w:color w:val="auto"/>
          <w:sz w:val="28"/>
          <w:szCs w:val="28"/>
        </w:rPr>
      </w:pPr>
      <w:r>
        <w:rPr>
          <w:rFonts w:hint="eastAsia" w:ascii="宋体" w:hAnsi="宋体"/>
          <w:color w:val="auto"/>
          <w:kern w:val="0"/>
          <w:sz w:val="28"/>
          <w:szCs w:val="28"/>
        </w:rPr>
        <w:t>同归两条风险分界线将社会风险划分为</w:t>
      </w:r>
      <w:r>
        <w:rPr>
          <w:rFonts w:hint="eastAsia" w:ascii="宋体" w:hAnsi="宋体"/>
          <w:color w:val="auto"/>
          <w:sz w:val="28"/>
          <w:szCs w:val="28"/>
        </w:rPr>
        <w:t>3个区域，即：不可容许区、尽可能降低区和可容许区。具体分界线位置如图1所示。</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1）若社会风险曲线进入不可接受区，则应立即采取安全改进措施降低社会风险；</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2）若社会风险曲线进入尽可能降低区，则应在可实现的范围内，尽可能采取安全改进措施降低社会风险；</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3）若社会风险曲线全部落在可接受区，则该风险可接受；</w:t>
      </w:r>
    </w:p>
    <w:p>
      <w:pPr>
        <w:widowControl/>
        <w:jc w:val="left"/>
        <w:rPr>
          <w:rFonts w:ascii="宋体" w:hAnsi="宋体"/>
          <w:color w:val="auto"/>
          <w:kern w:val="0"/>
          <w:sz w:val="24"/>
          <w:szCs w:val="24"/>
        </w:rPr>
      </w:pPr>
      <w:r>
        <w:rPr>
          <w:color w:val="auto"/>
        </w:rPr>
        <w:drawing>
          <wp:inline distT="0" distB="0" distL="0" distR="0">
            <wp:extent cx="5474335" cy="299275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474335" cy="2992755"/>
                    </a:xfrm>
                    <a:prstGeom prst="rect">
                      <a:avLst/>
                    </a:prstGeom>
                    <a:noFill/>
                    <a:ln>
                      <a:noFill/>
                    </a:ln>
                  </pic:spPr>
                </pic:pic>
              </a:graphicData>
            </a:graphic>
          </wp:inline>
        </w:drawing>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8.定量风险评价法</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是对危险化学品生产、储存装置发生事故频率和后果进行定量分析和计算，以可接受风险标准确定外部安全防护距离的方法。</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9.计算步骤。</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定量风险评价法确定外部安全防护距离的计算步骤如下：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1）定量风险评价。</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个人风险计算中的危害辨识和评价单元选择、失效场景分析、失效后果分析、个人风险计算和社会风险计算可参照《化工企业定量风险评价导则》（AQ/T 3046-2013）中有关规定执行。其中设备设施的失效场景频率及修正可参照《基于风险检验的基础方法》（SY/T 6714-20</w:t>
      </w:r>
      <w:r>
        <w:rPr>
          <w:rFonts w:ascii="宋体" w:hAnsi="宋体"/>
          <w:color w:val="auto"/>
          <w:sz w:val="28"/>
          <w:szCs w:val="28"/>
        </w:rPr>
        <w:t>20</w:t>
      </w:r>
      <w:r>
        <w:rPr>
          <w:rFonts w:hint="eastAsia" w:ascii="宋体" w:hAnsi="宋体"/>
          <w:color w:val="auto"/>
          <w:sz w:val="28"/>
          <w:szCs w:val="28"/>
        </w:rPr>
        <w:t>）中有关规定执行。</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2）确定外部安全防护距离。</w:t>
      </w:r>
    </w:p>
    <w:p>
      <w:pPr>
        <w:spacing w:line="360" w:lineRule="auto"/>
        <w:ind w:firstLine="560" w:firstLineChars="200"/>
        <w:jc w:val="left"/>
        <w:rPr>
          <w:rFonts w:ascii="宋体" w:hAnsi="宋体"/>
          <w:color w:val="auto"/>
        </w:rPr>
      </w:pPr>
      <w:r>
        <w:rPr>
          <w:rFonts w:hint="eastAsia" w:ascii="宋体" w:hAnsi="宋体"/>
          <w:color w:val="auto"/>
          <w:sz w:val="28"/>
          <w:szCs w:val="28"/>
        </w:rPr>
        <w:t>根据本公告公布的可接受风险标准，通过定量风险评价法得到生产、储存装置的个人可接受风险等值线及社会可接受风险图，以此确定该装置与防护目标的外部安全防护距离。</w:t>
      </w:r>
    </w:p>
    <w:p>
      <w:pPr>
        <w:keepNext/>
        <w:keepLines/>
        <w:spacing w:line="600" w:lineRule="exact"/>
        <w:jc w:val="left"/>
        <w:outlineLvl w:val="2"/>
        <w:rPr>
          <w:rFonts w:ascii="Calibri" w:hAnsi="Calibri"/>
          <w:b/>
          <w:color w:val="auto"/>
          <w:sz w:val="28"/>
          <w:szCs w:val="32"/>
        </w:rPr>
      </w:pPr>
      <w:bookmarkStart w:id="84" w:name="_Toc53083854"/>
      <w:bookmarkEnd w:id="84"/>
      <w:bookmarkStart w:id="85" w:name="_Toc26312120"/>
      <w:bookmarkEnd w:id="85"/>
      <w:bookmarkStart w:id="86" w:name="_Toc15925828"/>
      <w:bookmarkEnd w:id="86"/>
      <w:bookmarkStart w:id="87" w:name="_Toc12548480"/>
      <w:bookmarkEnd w:id="87"/>
      <w:bookmarkStart w:id="88" w:name="_Toc91765274"/>
      <w:bookmarkEnd w:id="88"/>
      <w:bookmarkStart w:id="89" w:name="_Toc23926313"/>
      <w:bookmarkEnd w:id="89"/>
      <w:bookmarkStart w:id="90" w:name="_Toc19136772"/>
      <w:bookmarkStart w:id="91" w:name="_Toc144109180"/>
      <w:r>
        <w:rPr>
          <w:rFonts w:ascii="Calibri" w:hAnsi="Calibri"/>
          <w:b/>
          <w:color w:val="auto"/>
          <w:sz w:val="28"/>
          <w:szCs w:val="32"/>
        </w:rPr>
        <w:t>3.8.2</w:t>
      </w:r>
      <w:bookmarkEnd w:id="90"/>
      <w:r>
        <w:rPr>
          <w:rFonts w:ascii="Calibri" w:hAnsi="Calibri"/>
          <w:b/>
          <w:color w:val="auto"/>
          <w:sz w:val="28"/>
          <w:szCs w:val="32"/>
        </w:rPr>
        <w:t>个人风险和社会风险值计算结果</w:t>
      </w:r>
      <w:bookmarkEnd w:id="91"/>
    </w:p>
    <w:p>
      <w:pPr>
        <w:spacing w:line="360" w:lineRule="auto"/>
        <w:ind w:firstLine="560" w:firstLineChars="200"/>
        <w:rPr>
          <w:rFonts w:ascii="宋体" w:hAnsi="宋体"/>
          <w:color w:val="auto"/>
          <w:sz w:val="28"/>
          <w:szCs w:val="28"/>
        </w:rPr>
      </w:pPr>
      <w:r>
        <w:rPr>
          <w:rFonts w:hint="eastAsia" w:ascii="宋体" w:hAnsi="宋体"/>
          <w:color w:val="auto"/>
          <w:sz w:val="28"/>
          <w:szCs w:val="28"/>
        </w:rPr>
        <w:t>本报告根据《危险化学品生产装置和储存设施风险基准》GB36894-2018、《危险化学品生产装置和储存设施外部安全防护距离确定方法》GB/T37243-2019的相关规定：4.3涉及有毒气体或易燃气体,且其设计最大量与GB 18218中规定的临界量比值之和大于或等于1的危险化学品生产装置和储存设施应采用定量风险评价方法确定外部安全防护距离。当企业存在上述装置和设施时,应将企业内所有的危险化学品生产装置和储存设施作为一个整体进行定量风险评估,确定外部安全防护距离。该项目将江西鑫立莱生化有限责任公司生产装置作为一个整体，采用定量风险分析评价法进行计算，确定该项目外部安全防护距离；采用中国安全生产科学研究院开发的重大危险源区域定量风险评价软件进行该项目个人风险和社会风险值计算，个人可接受标准和社会可接受风险结果如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1.个人风险</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基于危险源信息，利用中国安全生产科学院出版的《CASSTQRA重大危险源区域定量风险评价与管理》软件计算，得出危险化学品泄漏个人风险等值线图（见图</w:t>
      </w:r>
      <w:r>
        <w:rPr>
          <w:rFonts w:ascii="宋体" w:hAnsi="宋体"/>
          <w:color w:val="auto"/>
          <w:sz w:val="28"/>
          <w:szCs w:val="28"/>
        </w:rPr>
        <w:t>3.8</w:t>
      </w:r>
      <w:r>
        <w:rPr>
          <w:rFonts w:hint="eastAsia" w:ascii="宋体" w:hAnsi="宋体"/>
          <w:color w:val="auto"/>
          <w:sz w:val="28"/>
          <w:szCs w:val="28"/>
        </w:rPr>
        <w:t>-1）及厂内外社会风险分布图 （见图</w:t>
      </w:r>
      <w:r>
        <w:rPr>
          <w:rFonts w:ascii="宋体" w:hAnsi="宋体"/>
          <w:color w:val="auto"/>
          <w:sz w:val="28"/>
          <w:szCs w:val="28"/>
        </w:rPr>
        <w:t>3.8</w:t>
      </w:r>
      <w:r>
        <w:rPr>
          <w:rFonts w:hint="eastAsia" w:ascii="宋体" w:hAnsi="宋体"/>
          <w:color w:val="auto"/>
          <w:sz w:val="28"/>
          <w:szCs w:val="28"/>
        </w:rPr>
        <w:t>-2）。</w:t>
      </w:r>
    </w:p>
    <w:p>
      <w:pPr>
        <w:spacing w:line="360" w:lineRule="auto"/>
        <w:ind w:firstLine="560" w:firstLineChars="200"/>
        <w:jc w:val="left"/>
        <w:rPr>
          <w:rFonts w:ascii="宋体" w:hAnsi="宋体"/>
          <w:color w:val="auto"/>
          <w:kern w:val="0"/>
          <w:sz w:val="28"/>
          <w:szCs w:val="28"/>
        </w:rPr>
      </w:pPr>
      <w:r>
        <w:rPr>
          <w:rFonts w:hint="eastAsia" w:ascii="宋体" w:hAnsi="宋体"/>
          <w:color w:val="auto"/>
          <w:sz w:val="28"/>
          <w:szCs w:val="28"/>
        </w:rPr>
        <w:t>（1）个人风险等值线图</w:t>
      </w:r>
      <w:r>
        <w:rPr>
          <w:rFonts w:hint="eastAsia" w:ascii="宋体" w:hAnsi="宋体"/>
          <w:color w:val="auto"/>
          <w:kern w:val="0"/>
          <w:sz w:val="28"/>
          <w:szCs w:val="28"/>
        </w:rPr>
        <w:t>：</w:t>
      </w:r>
    </w:p>
    <w:p>
      <w:pPr>
        <w:spacing w:line="360" w:lineRule="auto"/>
        <w:ind w:left="-315" w:leftChars="-150"/>
        <w:jc w:val="left"/>
        <w:rPr>
          <w:rFonts w:ascii="宋体" w:hAnsi="宋体"/>
          <w:color w:val="auto"/>
          <w:sz w:val="28"/>
          <w:szCs w:val="28"/>
        </w:rPr>
      </w:pPr>
      <w:r>
        <w:rPr>
          <w:color w:val="auto"/>
        </w:rPr>
        <w:drawing>
          <wp:inline distT="0" distB="0" distL="114300" distR="114300">
            <wp:extent cx="5758815" cy="3428365"/>
            <wp:effectExtent l="0" t="0" r="1333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0"/>
                    <a:stretch>
                      <a:fillRect/>
                    </a:stretch>
                  </pic:blipFill>
                  <pic:spPr>
                    <a:xfrm>
                      <a:off x="0" y="0"/>
                      <a:ext cx="5758815" cy="3428365"/>
                    </a:xfrm>
                    <a:prstGeom prst="rect">
                      <a:avLst/>
                    </a:prstGeom>
                    <a:noFill/>
                    <a:ln>
                      <a:noFill/>
                    </a:ln>
                  </pic:spPr>
                </pic:pic>
              </a:graphicData>
            </a:graphic>
          </wp:inline>
        </w:drawing>
      </w:r>
      <w:r>
        <w:rPr>
          <w:rFonts w:hint="eastAsia" w:ascii="宋体" w:hAnsi="宋体"/>
          <w:color w:val="auto"/>
          <w:sz w:val="28"/>
          <w:szCs w:val="28"/>
        </w:rPr>
        <w:t xml:space="preserve"> </w:t>
      </w:r>
    </w:p>
    <w:p>
      <w:pPr>
        <w:spacing w:line="360" w:lineRule="auto"/>
        <w:ind w:firstLine="480" w:firstLineChars="200"/>
        <w:jc w:val="left"/>
        <w:rPr>
          <w:rFonts w:ascii="宋体" w:hAnsi="宋体"/>
          <w:color w:val="auto"/>
          <w:sz w:val="24"/>
          <w:szCs w:val="24"/>
        </w:rPr>
      </w:pPr>
      <w:r>
        <w:rPr>
          <w:rFonts w:hint="eastAsia" w:ascii="宋体" w:hAnsi="宋体"/>
          <w:color w:val="auto"/>
          <w:sz w:val="24"/>
          <w:szCs w:val="24"/>
        </w:rPr>
        <w:t xml:space="preserve">说明： </w:t>
      </w:r>
    </w:p>
    <w:p>
      <w:pPr>
        <w:spacing w:line="360" w:lineRule="auto"/>
        <w:ind w:firstLine="1080" w:firstLineChars="450"/>
        <w:jc w:val="left"/>
        <w:rPr>
          <w:rFonts w:ascii="宋体" w:hAnsi="宋体"/>
          <w:color w:val="auto"/>
          <w:sz w:val="24"/>
          <w:szCs w:val="24"/>
        </w:rPr>
      </w:pPr>
      <w:r>
        <w:rPr>
          <w:rFonts w:hint="eastAsia" w:ascii="宋体" w:hAnsi="宋体"/>
          <w:color w:val="auto"/>
          <w:sz w:val="24"/>
          <w:szCs w:val="24"/>
        </w:rPr>
        <w:t>红色线为可容许个人风险1×10</w:t>
      </w:r>
      <w:r>
        <w:rPr>
          <w:rFonts w:hint="eastAsia" w:ascii="宋体" w:hAnsi="宋体"/>
          <w:color w:val="auto"/>
          <w:sz w:val="24"/>
          <w:szCs w:val="24"/>
          <w:vertAlign w:val="superscript"/>
        </w:rPr>
        <w:t>-5</w:t>
      </w:r>
      <w:r>
        <w:rPr>
          <w:rFonts w:hint="eastAsia" w:ascii="宋体" w:hAnsi="宋体"/>
          <w:color w:val="auto"/>
          <w:sz w:val="24"/>
          <w:szCs w:val="24"/>
        </w:rPr>
        <w:t>等值线</w:t>
      </w:r>
    </w:p>
    <w:p>
      <w:pPr>
        <w:spacing w:line="360" w:lineRule="auto"/>
        <w:ind w:firstLine="1080" w:firstLineChars="450"/>
        <w:jc w:val="left"/>
        <w:rPr>
          <w:rFonts w:ascii="宋体" w:hAnsi="宋体"/>
          <w:color w:val="auto"/>
          <w:sz w:val="24"/>
          <w:szCs w:val="24"/>
        </w:rPr>
      </w:pPr>
      <w:r>
        <w:rPr>
          <w:rFonts w:hint="eastAsia" w:ascii="宋体" w:hAnsi="宋体"/>
          <w:color w:val="auto"/>
          <w:sz w:val="24"/>
          <w:szCs w:val="24"/>
        </w:rPr>
        <w:t>粉色线为可容许个人风险3×10</w:t>
      </w:r>
      <w:r>
        <w:rPr>
          <w:rFonts w:hint="eastAsia" w:ascii="宋体" w:hAnsi="宋体"/>
          <w:color w:val="auto"/>
          <w:sz w:val="24"/>
          <w:szCs w:val="24"/>
          <w:vertAlign w:val="superscript"/>
        </w:rPr>
        <w:t>-6</w:t>
      </w:r>
      <w:r>
        <w:rPr>
          <w:rFonts w:hint="eastAsia" w:ascii="宋体" w:hAnsi="宋体"/>
          <w:color w:val="auto"/>
          <w:sz w:val="24"/>
          <w:szCs w:val="24"/>
        </w:rPr>
        <w:t>等值线</w:t>
      </w:r>
    </w:p>
    <w:p>
      <w:pPr>
        <w:spacing w:line="360" w:lineRule="auto"/>
        <w:ind w:firstLine="1080" w:firstLineChars="450"/>
        <w:jc w:val="left"/>
        <w:rPr>
          <w:rFonts w:ascii="宋体" w:hAnsi="宋体"/>
          <w:color w:val="auto"/>
          <w:sz w:val="24"/>
          <w:szCs w:val="24"/>
        </w:rPr>
      </w:pPr>
      <w:r>
        <w:rPr>
          <w:rFonts w:hint="eastAsia" w:ascii="宋体" w:hAnsi="宋体"/>
          <w:color w:val="auto"/>
          <w:sz w:val="24"/>
          <w:szCs w:val="24"/>
        </w:rPr>
        <w:t>橙色为为可容许个人风险3×10</w:t>
      </w:r>
      <w:r>
        <w:rPr>
          <w:rFonts w:hint="eastAsia" w:ascii="宋体" w:hAnsi="宋体"/>
          <w:color w:val="auto"/>
          <w:sz w:val="24"/>
          <w:szCs w:val="24"/>
          <w:vertAlign w:val="superscript"/>
        </w:rPr>
        <w:t>-7</w:t>
      </w:r>
      <w:r>
        <w:rPr>
          <w:rFonts w:hint="eastAsia" w:ascii="宋体" w:hAnsi="宋体"/>
          <w:color w:val="auto"/>
          <w:sz w:val="24"/>
          <w:szCs w:val="24"/>
        </w:rPr>
        <w:t>等值线</w:t>
      </w:r>
    </w:p>
    <w:p>
      <w:pPr>
        <w:pStyle w:val="65"/>
        <w:ind w:firstLine="560"/>
        <w:jc w:val="left"/>
        <w:rPr>
          <w:color w:val="auto"/>
          <w:kern w:val="0"/>
        </w:rPr>
      </w:pPr>
      <w:r>
        <w:rPr>
          <w:rFonts w:hint="eastAsia"/>
          <w:color w:val="auto"/>
          <w:kern w:val="0"/>
        </w:rPr>
        <w:t>从图中可以看出，</w:t>
      </w:r>
      <w:r>
        <w:rPr>
          <w:rFonts w:hint="eastAsia"/>
          <w:color w:val="auto"/>
        </w:rPr>
        <w:t>该项目个人风险等值线包括区域</w:t>
      </w:r>
      <w:r>
        <w:rPr>
          <w:rFonts w:hint="eastAsia"/>
          <w:bCs/>
          <w:color w:val="auto"/>
          <w:kern w:val="0"/>
        </w:rPr>
        <w:t>内无高敏感防护目标、重要防护目标、一般防护目标</w:t>
      </w:r>
      <w:r>
        <w:rPr>
          <w:rFonts w:hint="eastAsia"/>
          <w:color w:val="auto"/>
          <w:kern w:val="0"/>
        </w:rPr>
        <w:t>。</w:t>
      </w:r>
    </w:p>
    <w:p>
      <w:pPr>
        <w:widowControl/>
        <w:snapToGrid w:val="0"/>
        <w:spacing w:line="360" w:lineRule="auto"/>
        <w:ind w:firstLine="562" w:firstLineChars="200"/>
        <w:jc w:val="left"/>
        <w:rPr>
          <w:rFonts w:hAnsi="宋体"/>
          <w:b/>
          <w:color w:val="auto"/>
          <w:kern w:val="0"/>
          <w:sz w:val="28"/>
          <w:szCs w:val="28"/>
        </w:rPr>
      </w:pPr>
      <w:r>
        <w:rPr>
          <w:rFonts w:hint="eastAsia" w:ascii="宋体" w:hAnsi="宋体"/>
          <w:b/>
          <w:color w:val="auto"/>
          <w:sz w:val="28"/>
          <w:szCs w:val="28"/>
        </w:rPr>
        <w:t>2）</w:t>
      </w:r>
      <w:r>
        <w:rPr>
          <w:rFonts w:ascii="宋体" w:hAnsi="宋体"/>
          <w:b/>
          <w:color w:val="auto"/>
          <w:kern w:val="0"/>
          <w:sz w:val="28"/>
          <w:szCs w:val="28"/>
        </w:rPr>
        <w:t>社会风险曲线（</w:t>
      </w:r>
      <w:r>
        <w:rPr>
          <w:b/>
          <w:color w:val="auto"/>
          <w:kern w:val="0"/>
          <w:sz w:val="28"/>
          <w:szCs w:val="28"/>
        </w:rPr>
        <w:t>F-N</w:t>
      </w:r>
      <w:r>
        <w:rPr>
          <w:rFonts w:ascii="宋体" w:hAnsi="宋体"/>
          <w:b/>
          <w:color w:val="auto"/>
          <w:kern w:val="0"/>
          <w:sz w:val="28"/>
          <w:szCs w:val="28"/>
        </w:rPr>
        <w:t>曲线）</w:t>
      </w:r>
    </w:p>
    <w:p>
      <w:pPr>
        <w:widowControl/>
        <w:snapToGrid w:val="0"/>
        <w:spacing w:line="560" w:lineRule="exact"/>
        <w:ind w:firstLine="560" w:firstLineChars="200"/>
        <w:jc w:val="left"/>
        <w:rPr>
          <w:rFonts w:hAnsi="宋体"/>
          <w:color w:val="auto"/>
          <w:kern w:val="0"/>
          <w:sz w:val="28"/>
          <w:szCs w:val="28"/>
        </w:rPr>
      </w:pPr>
      <w:r>
        <w:rPr>
          <w:rFonts w:hint="eastAsia" w:ascii="宋体" w:hAnsi="宋体"/>
          <w:color w:val="auto"/>
          <w:kern w:val="0"/>
          <w:sz w:val="28"/>
          <w:szCs w:val="28"/>
        </w:rPr>
        <w:t>根据计算结果，</w:t>
      </w:r>
      <w:r>
        <w:rPr>
          <w:rFonts w:ascii="宋体" w:hAnsi="宋体"/>
          <w:color w:val="auto"/>
          <w:kern w:val="0"/>
          <w:sz w:val="28"/>
          <w:szCs w:val="28"/>
        </w:rPr>
        <w:t>社会风险曲线（</w:t>
      </w:r>
      <w:r>
        <w:rPr>
          <w:color w:val="auto"/>
          <w:kern w:val="0"/>
          <w:sz w:val="28"/>
          <w:szCs w:val="28"/>
        </w:rPr>
        <w:t>F-N</w:t>
      </w:r>
      <w:r>
        <w:rPr>
          <w:rFonts w:ascii="宋体" w:hAnsi="宋体"/>
          <w:color w:val="auto"/>
          <w:kern w:val="0"/>
          <w:sz w:val="28"/>
          <w:szCs w:val="28"/>
        </w:rPr>
        <w:t>曲线）</w:t>
      </w:r>
      <w:r>
        <w:rPr>
          <w:rFonts w:hint="eastAsia" w:ascii="宋体" w:hAnsi="宋体"/>
          <w:color w:val="auto"/>
          <w:kern w:val="0"/>
          <w:sz w:val="28"/>
          <w:szCs w:val="28"/>
        </w:rPr>
        <w:t>见下图</w:t>
      </w:r>
    </w:p>
    <w:p>
      <w:pPr>
        <w:spacing w:line="360" w:lineRule="auto"/>
        <w:jc w:val="left"/>
        <w:rPr>
          <w:rFonts w:ascii="宋体" w:hAnsi="宋体"/>
          <w:color w:val="auto"/>
          <w:sz w:val="28"/>
          <w:szCs w:val="28"/>
        </w:rPr>
      </w:pPr>
      <w:r>
        <w:rPr>
          <w:color w:val="auto"/>
        </w:rPr>
        <w:drawing>
          <wp:inline distT="0" distB="0" distL="0" distR="0">
            <wp:extent cx="5759450" cy="3042920"/>
            <wp:effectExtent l="0" t="0" r="0" b="5080"/>
            <wp:docPr id="891212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12724" name="图片 1"/>
                    <pic:cNvPicPr>
                      <a:picLocks noChangeAspect="1"/>
                    </pic:cNvPicPr>
                  </pic:nvPicPr>
                  <pic:blipFill>
                    <a:blip r:embed="rId61"/>
                    <a:stretch>
                      <a:fillRect/>
                    </a:stretch>
                  </pic:blipFill>
                  <pic:spPr>
                    <a:xfrm>
                      <a:off x="0" y="0"/>
                      <a:ext cx="5759450" cy="3042920"/>
                    </a:xfrm>
                    <a:prstGeom prst="rect">
                      <a:avLst/>
                    </a:prstGeom>
                  </pic:spPr>
                </pic:pic>
              </a:graphicData>
            </a:graphic>
          </wp:inline>
        </w:drawing>
      </w:r>
    </w:p>
    <w:p>
      <w:pPr>
        <w:widowControl/>
        <w:snapToGrid w:val="0"/>
        <w:spacing w:line="360" w:lineRule="auto"/>
        <w:ind w:firstLine="560" w:firstLineChars="200"/>
        <w:jc w:val="left"/>
        <w:rPr>
          <w:rFonts w:ascii="宋体" w:hAnsi="宋体"/>
          <w:color w:val="auto"/>
          <w:kern w:val="0"/>
          <w:sz w:val="28"/>
          <w:szCs w:val="28"/>
        </w:rPr>
      </w:pPr>
      <w:r>
        <w:rPr>
          <w:rFonts w:ascii="宋体" w:hAnsi="宋体"/>
          <w:color w:val="auto"/>
          <w:kern w:val="0"/>
          <w:sz w:val="28"/>
          <w:szCs w:val="28"/>
        </w:rPr>
        <w:t>从图中可以看出，</w:t>
      </w:r>
      <w:r>
        <w:rPr>
          <w:rFonts w:hint="eastAsia" w:ascii="宋体" w:hAnsi="宋体"/>
          <w:color w:val="auto"/>
          <w:kern w:val="0"/>
          <w:sz w:val="28"/>
          <w:szCs w:val="28"/>
        </w:rPr>
        <w:t>该项目未显现社会风险</w:t>
      </w:r>
      <w:r>
        <w:rPr>
          <w:rFonts w:hint="eastAsia" w:ascii="宋体" w:hAnsi="宋体"/>
          <w:iCs/>
          <w:color w:val="auto"/>
          <w:sz w:val="28"/>
          <w:szCs w:val="28"/>
        </w:rPr>
        <w:t>。</w:t>
      </w:r>
    </w:p>
    <w:p>
      <w:pPr>
        <w:snapToGrid w:val="0"/>
        <w:spacing w:line="360" w:lineRule="auto"/>
        <w:ind w:firstLine="562" w:firstLineChars="200"/>
        <w:jc w:val="left"/>
        <w:rPr>
          <w:rFonts w:ascii="Calibri" w:hAnsi="Calibri"/>
          <w:b/>
          <w:color w:val="auto"/>
          <w:sz w:val="28"/>
          <w:szCs w:val="28"/>
        </w:rPr>
      </w:pPr>
      <w:r>
        <w:rPr>
          <w:rFonts w:hint="eastAsia" w:ascii="宋体" w:hAnsi="宋体"/>
          <w:b/>
          <w:bCs/>
          <w:color w:val="auto"/>
          <w:kern w:val="0"/>
          <w:sz w:val="28"/>
          <w:szCs w:val="28"/>
        </w:rPr>
        <w:t>3.外部安全防护距离</w:t>
      </w:r>
    </w:p>
    <w:p>
      <w:pPr>
        <w:ind w:firstLine="560" w:firstLineChars="200"/>
        <w:rPr>
          <w:rFonts w:ascii="宋体" w:hAnsi="宋体"/>
          <w:color w:val="auto"/>
          <w:sz w:val="28"/>
          <w:szCs w:val="28"/>
        </w:rPr>
      </w:pPr>
      <w:bookmarkStart w:id="92" w:name="_Hlk141539599"/>
      <w:r>
        <w:rPr>
          <w:rFonts w:hint="eastAsia" w:ascii="宋体" w:hAnsi="宋体"/>
          <w:color w:val="auto"/>
          <w:sz w:val="28"/>
          <w:szCs w:val="28"/>
        </w:rPr>
        <w:t>根据《危险化学品生产装置和储存设施外部安全防护距离确定方法》（GB/T37243-2018）的要求，本报告将企业内所有的危险化学品生产装置和储存设施作为一个整体进行定量风险评估,确定外部安全防护距离；经计算该项目</w:t>
      </w:r>
      <w:r>
        <w:rPr>
          <w:rFonts w:hint="eastAsia" w:ascii="宋体" w:hAnsi="宋体"/>
          <w:color w:val="auto"/>
          <w:kern w:val="0"/>
          <w:sz w:val="28"/>
          <w:szCs w:val="28"/>
        </w:rPr>
        <w:t>高敏感防护目标、重要防护目标、一般防护目标的一类防护目标（</w:t>
      </w:r>
      <w:r>
        <w:rPr>
          <w:rFonts w:hAnsi="宋体"/>
          <w:color w:val="auto"/>
          <w:kern w:val="0"/>
          <w:sz w:val="28"/>
          <w:szCs w:val="28"/>
        </w:rPr>
        <w:t>3</w:t>
      </w:r>
      <w:r>
        <w:rPr>
          <w:rFonts w:hint="eastAsia" w:ascii="宋体" w:hAnsi="宋体"/>
          <w:color w:val="auto"/>
          <w:kern w:val="0"/>
          <w:sz w:val="28"/>
          <w:szCs w:val="28"/>
        </w:rPr>
        <w:t>×</w:t>
      </w:r>
      <w:r>
        <w:rPr>
          <w:rFonts w:hAnsi="宋体"/>
          <w:color w:val="auto"/>
          <w:kern w:val="0"/>
          <w:sz w:val="28"/>
          <w:szCs w:val="28"/>
        </w:rPr>
        <w:t>10</w:t>
      </w:r>
      <w:r>
        <w:rPr>
          <w:rFonts w:hAnsi="宋体"/>
          <w:color w:val="auto"/>
          <w:kern w:val="0"/>
          <w:sz w:val="28"/>
          <w:szCs w:val="28"/>
          <w:vertAlign w:val="superscript"/>
        </w:rPr>
        <w:t>-7</w:t>
      </w:r>
      <w:r>
        <w:rPr>
          <w:rFonts w:hint="eastAsia" w:ascii="宋体" w:hAnsi="宋体"/>
          <w:color w:val="auto"/>
          <w:kern w:val="0"/>
          <w:sz w:val="28"/>
          <w:szCs w:val="28"/>
        </w:rPr>
        <w:t>）</w:t>
      </w:r>
      <w:r>
        <w:rPr>
          <w:rFonts w:hint="eastAsia" w:ascii="宋体" w:hAnsi="宋体"/>
          <w:color w:val="auto"/>
          <w:sz w:val="28"/>
          <w:szCs w:val="28"/>
        </w:rPr>
        <w:t>外部安全防护距离约</w:t>
      </w:r>
      <w:r>
        <w:rPr>
          <w:rFonts w:hint="eastAsia" w:ascii="宋体" w:hAnsi="宋体"/>
          <w:color w:val="auto"/>
          <w:sz w:val="28"/>
          <w:szCs w:val="28"/>
          <w:lang w:val="en-US" w:eastAsia="zh-CN"/>
        </w:rPr>
        <w:t>103</w:t>
      </w:r>
      <w:r>
        <w:rPr>
          <w:rFonts w:hint="eastAsia" w:ascii="宋体" w:hAnsi="宋体"/>
          <w:color w:val="auto"/>
          <w:sz w:val="28"/>
          <w:szCs w:val="28"/>
        </w:rPr>
        <w:t>m；一般防护目标中的二类防护目标（</w:t>
      </w:r>
      <w:r>
        <w:rPr>
          <w:rFonts w:hAnsi="宋体"/>
          <w:color w:val="auto"/>
          <w:kern w:val="0"/>
          <w:sz w:val="28"/>
          <w:szCs w:val="28"/>
        </w:rPr>
        <w:t>3</w:t>
      </w:r>
      <w:r>
        <w:rPr>
          <w:rFonts w:hint="eastAsia" w:ascii="宋体" w:hAnsi="宋体"/>
          <w:color w:val="auto"/>
          <w:kern w:val="0"/>
          <w:sz w:val="28"/>
          <w:szCs w:val="28"/>
        </w:rPr>
        <w:t>×</w:t>
      </w:r>
      <w:r>
        <w:rPr>
          <w:rFonts w:hAnsi="宋体"/>
          <w:color w:val="auto"/>
          <w:kern w:val="0"/>
          <w:sz w:val="28"/>
          <w:szCs w:val="28"/>
        </w:rPr>
        <w:t>10</w:t>
      </w:r>
      <w:r>
        <w:rPr>
          <w:rFonts w:hAnsi="宋体"/>
          <w:color w:val="auto"/>
          <w:kern w:val="0"/>
          <w:sz w:val="28"/>
          <w:szCs w:val="28"/>
          <w:vertAlign w:val="superscript"/>
        </w:rPr>
        <w:t>-6</w:t>
      </w:r>
      <w:r>
        <w:rPr>
          <w:rFonts w:hint="eastAsia" w:ascii="宋体" w:hAnsi="宋体"/>
          <w:color w:val="auto"/>
          <w:sz w:val="28"/>
          <w:szCs w:val="28"/>
        </w:rPr>
        <w:t>）外部安全防护距离约</w:t>
      </w:r>
      <w:r>
        <w:rPr>
          <w:rFonts w:hint="eastAsia" w:ascii="宋体" w:hAnsi="宋体"/>
          <w:color w:val="auto"/>
          <w:sz w:val="28"/>
          <w:szCs w:val="28"/>
          <w:lang w:val="en-US" w:eastAsia="zh-CN"/>
        </w:rPr>
        <w:t>26.1</w:t>
      </w:r>
      <w:r>
        <w:rPr>
          <w:rFonts w:hint="eastAsia" w:ascii="宋体" w:hAnsi="宋体"/>
          <w:color w:val="auto"/>
          <w:sz w:val="28"/>
          <w:szCs w:val="28"/>
        </w:rPr>
        <w:t>m；一般防护目标中的三类防护目标（</w:t>
      </w:r>
      <w:r>
        <w:rPr>
          <w:rFonts w:hAnsi="宋体"/>
          <w:color w:val="auto"/>
          <w:kern w:val="0"/>
          <w:sz w:val="28"/>
          <w:szCs w:val="28"/>
        </w:rPr>
        <w:t>1</w:t>
      </w:r>
      <w:r>
        <w:rPr>
          <w:rFonts w:hint="eastAsia" w:ascii="宋体" w:hAnsi="宋体"/>
          <w:color w:val="auto"/>
          <w:kern w:val="0"/>
          <w:sz w:val="28"/>
          <w:szCs w:val="28"/>
        </w:rPr>
        <w:t>×</w:t>
      </w:r>
      <w:r>
        <w:rPr>
          <w:rFonts w:hAnsi="宋体"/>
          <w:color w:val="auto"/>
          <w:kern w:val="0"/>
          <w:sz w:val="28"/>
          <w:szCs w:val="28"/>
        </w:rPr>
        <w:t>10</w:t>
      </w:r>
      <w:r>
        <w:rPr>
          <w:rFonts w:hAnsi="宋体"/>
          <w:color w:val="auto"/>
          <w:kern w:val="0"/>
          <w:sz w:val="28"/>
          <w:szCs w:val="28"/>
          <w:vertAlign w:val="superscript"/>
        </w:rPr>
        <w:t>-5</w:t>
      </w:r>
      <w:r>
        <w:rPr>
          <w:rFonts w:hint="eastAsia" w:ascii="宋体" w:hAnsi="宋体"/>
          <w:color w:val="auto"/>
          <w:sz w:val="28"/>
          <w:szCs w:val="28"/>
        </w:rPr>
        <w:t>）外部安全防护距离约</w:t>
      </w:r>
      <w:r>
        <w:rPr>
          <w:rFonts w:hint="eastAsia" w:ascii="宋体" w:hAnsi="宋体"/>
          <w:color w:val="auto"/>
          <w:sz w:val="28"/>
          <w:szCs w:val="28"/>
          <w:lang w:val="en-US" w:eastAsia="zh-CN"/>
        </w:rPr>
        <w:t>24.3</w:t>
      </w:r>
      <w:r>
        <w:rPr>
          <w:rFonts w:hint="eastAsia" w:ascii="宋体" w:hAnsi="宋体"/>
          <w:color w:val="auto"/>
          <w:sz w:val="28"/>
          <w:szCs w:val="28"/>
        </w:rPr>
        <w:t>m。</w:t>
      </w:r>
    </w:p>
    <w:p>
      <w:pPr>
        <w:ind w:firstLine="560" w:firstLineChars="200"/>
        <w:rPr>
          <w:rFonts w:ascii="宋体" w:hAnsi="宋体"/>
          <w:color w:val="auto"/>
          <w:sz w:val="28"/>
          <w:szCs w:val="28"/>
        </w:rPr>
      </w:pPr>
      <w:r>
        <w:rPr>
          <w:rFonts w:hint="eastAsia" w:ascii="宋体" w:hAnsi="宋体"/>
          <w:color w:val="auto"/>
          <w:sz w:val="28"/>
          <w:szCs w:val="28"/>
        </w:rPr>
        <w:t>结合该公司总平面和周边情况可以看出，该项目外部安全防护距离无</w:t>
      </w:r>
      <w:r>
        <w:rPr>
          <w:rFonts w:ascii="宋体" w:hAnsi="宋体"/>
          <w:bCs/>
          <w:color w:val="auto"/>
          <w:kern w:val="0"/>
          <w:sz w:val="28"/>
          <w:szCs w:val="28"/>
        </w:rPr>
        <w:t>高敏感</w:t>
      </w:r>
      <w:r>
        <w:rPr>
          <w:rFonts w:hint="eastAsia" w:ascii="宋体" w:hAnsi="宋体"/>
          <w:bCs/>
          <w:color w:val="auto"/>
          <w:kern w:val="0"/>
          <w:sz w:val="28"/>
          <w:szCs w:val="28"/>
        </w:rPr>
        <w:t>防护</w:t>
      </w:r>
      <w:r>
        <w:rPr>
          <w:rFonts w:ascii="宋体" w:hAnsi="宋体"/>
          <w:bCs/>
          <w:color w:val="auto"/>
          <w:kern w:val="0"/>
          <w:sz w:val="28"/>
          <w:szCs w:val="28"/>
        </w:rPr>
        <w:t>目标、</w:t>
      </w:r>
      <w:r>
        <w:rPr>
          <w:rFonts w:hint="eastAsia" w:ascii="宋体" w:hAnsi="宋体"/>
          <w:bCs/>
          <w:color w:val="auto"/>
          <w:kern w:val="0"/>
          <w:sz w:val="28"/>
          <w:szCs w:val="28"/>
        </w:rPr>
        <w:t>重要防护目标及一般防护目标</w:t>
      </w:r>
      <w:r>
        <w:rPr>
          <w:rFonts w:ascii="宋体" w:hAnsi="宋体" w:cs="Symbol"/>
          <w:color w:val="auto"/>
          <w:sz w:val="28"/>
          <w:szCs w:val="28"/>
        </w:rPr>
        <w:t>。</w:t>
      </w:r>
    </w:p>
    <w:bookmarkEnd w:id="92"/>
    <w:p>
      <w:pPr>
        <w:pStyle w:val="4"/>
        <w:rPr>
          <w:rFonts w:cs="Times New Roman"/>
          <w:color w:val="auto"/>
          <w:szCs w:val="30"/>
        </w:rPr>
      </w:pPr>
      <w:bookmarkStart w:id="93" w:name="_Toc91765275"/>
      <w:bookmarkEnd w:id="93"/>
      <w:bookmarkStart w:id="94" w:name="_Toc49245468"/>
      <w:bookmarkEnd w:id="94"/>
      <w:bookmarkStart w:id="95" w:name="_Toc144109181"/>
      <w:bookmarkStart w:id="96" w:name="_Toc427250620"/>
      <w:r>
        <w:rPr>
          <w:rFonts w:hAnsi="楷体_GB2312"/>
          <w:color w:val="auto"/>
        </w:rPr>
        <w:t>3.9爆炸区域划分</w:t>
      </w:r>
      <w:bookmarkEnd w:id="95"/>
      <w:bookmarkEnd w:id="96"/>
    </w:p>
    <w:p>
      <w:pPr>
        <w:spacing w:line="580" w:lineRule="exact"/>
        <w:ind w:firstLine="560" w:firstLineChars="200"/>
        <w:jc w:val="left"/>
        <w:rPr>
          <w:rFonts w:ascii="宋体" w:hAnsi="宋体"/>
          <w:color w:val="auto"/>
          <w:sz w:val="28"/>
          <w:szCs w:val="28"/>
        </w:rPr>
      </w:pPr>
      <w:r>
        <w:rPr>
          <w:rFonts w:hint="eastAsia" w:ascii="宋体" w:hAnsi="宋体"/>
          <w:color w:val="auto"/>
          <w:sz w:val="28"/>
          <w:szCs w:val="28"/>
        </w:rPr>
        <w:t>根据《爆炸危险环境电力装置设计规范》(GB50058-2014)，该项目中涉及到易燃易爆物质主要为四氢呋喃、三乙胺、丙酮、甲苯、液氨、丁酮、DMF、乙酸乙酯、叔丁醇、二氯甲烷、石油醚、甲醇、乙醇、丙酸酐、异丙醇、环己酮、氢气、N</w:t>
      </w:r>
      <w:r>
        <w:rPr>
          <w:rFonts w:ascii="宋体" w:hAnsi="宋体"/>
          <w:color w:val="auto"/>
          <w:sz w:val="28"/>
          <w:szCs w:val="28"/>
        </w:rPr>
        <w:t>-</w:t>
      </w:r>
      <w:r>
        <w:rPr>
          <w:rFonts w:hint="eastAsia" w:ascii="宋体" w:hAnsi="宋体"/>
          <w:color w:val="auto"/>
          <w:sz w:val="28"/>
          <w:szCs w:val="28"/>
        </w:rPr>
        <w:t>甲基吗啉、柴油等；四氢呋喃、三乙胺、丙酮、甲苯、丁酮、DMF、乙酸乙酯、叔丁醇、石油醚、甲醇、乙醇、丙酸酐、异丙醇、环己酮、N</w:t>
      </w:r>
      <w:r>
        <w:rPr>
          <w:rFonts w:ascii="宋体" w:hAnsi="宋体"/>
          <w:color w:val="auto"/>
          <w:sz w:val="28"/>
          <w:szCs w:val="28"/>
        </w:rPr>
        <w:t>-</w:t>
      </w:r>
      <w:r>
        <w:rPr>
          <w:rFonts w:hint="eastAsia" w:ascii="宋体" w:hAnsi="宋体"/>
          <w:color w:val="auto"/>
          <w:sz w:val="28"/>
          <w:szCs w:val="28"/>
        </w:rPr>
        <w:t>甲基吗啉、柴油等蒸汽均重于空气，生产区设备内部及爆炸危险区域内地坪下的坑、沟划为1区；以设备释放源为中心，半径为15m，地坪上的高度为7.5m 及半径为7.5m、顶部与释放源的距离为7.5m的范围内划为2区。液氨、氢气轻于空气，以释放源为中心，半径为4</w:t>
      </w:r>
      <w:r>
        <w:rPr>
          <w:rFonts w:ascii="宋体" w:hAnsi="宋体"/>
          <w:color w:val="auto"/>
          <w:sz w:val="28"/>
          <w:szCs w:val="28"/>
        </w:rPr>
        <w:t>.5</w:t>
      </w:r>
      <w:r>
        <w:rPr>
          <w:rFonts w:hint="eastAsia" w:ascii="宋体" w:hAnsi="宋体"/>
          <w:color w:val="auto"/>
          <w:sz w:val="28"/>
          <w:szCs w:val="28"/>
        </w:rPr>
        <w:t>m，顶部与释放源的距离为4</w:t>
      </w:r>
      <w:r>
        <w:rPr>
          <w:rFonts w:ascii="宋体" w:hAnsi="宋体"/>
          <w:color w:val="auto"/>
          <w:sz w:val="28"/>
          <w:szCs w:val="28"/>
        </w:rPr>
        <w:t>.5</w:t>
      </w:r>
      <w:r>
        <w:rPr>
          <w:rFonts w:hint="eastAsia" w:ascii="宋体" w:hAnsi="宋体"/>
          <w:color w:val="auto"/>
          <w:sz w:val="28"/>
          <w:szCs w:val="28"/>
        </w:rPr>
        <w:t>m及释放源至地坪以上的范围内可划为2区；根据该项目的工艺特点及《爆炸危险环境电力装置设计规范》（GB50058）的要求，对该项目的防爆区域进行划分，企业应对防爆区域的所有电气，应按不同爆炸危险环境，配置不同的防爆电器。</w:t>
      </w:r>
    </w:p>
    <w:tbl>
      <w:tblPr>
        <w:tblStyle w:val="31"/>
        <w:tblW w:w="94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851"/>
        <w:gridCol w:w="3118"/>
        <w:gridCol w:w="46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tcBorders>
              <w:top w:val="single" w:color="000000" w:sz="4" w:space="0"/>
              <w:left w:val="single" w:color="000000" w:sz="4" w:space="0"/>
              <w:bottom w:val="single" w:color="000000" w:sz="4" w:space="0"/>
              <w:right w:val="single" w:color="000000" w:sz="4" w:space="0"/>
            </w:tcBorders>
          </w:tcPr>
          <w:p>
            <w:pPr>
              <w:jc w:val="center"/>
              <w:rPr>
                <w:rFonts w:ascii="宋体" w:hAnsi="宋体"/>
                <w:b/>
                <w:color w:val="auto"/>
              </w:rPr>
            </w:pPr>
            <w:r>
              <w:rPr>
                <w:rFonts w:hint="eastAsia" w:ascii="宋体" w:hAnsi="宋体"/>
                <w:b/>
                <w:color w:val="auto"/>
              </w:rPr>
              <w:t>序号</w:t>
            </w:r>
          </w:p>
        </w:tc>
        <w:tc>
          <w:tcPr>
            <w:tcW w:w="851" w:type="dxa"/>
            <w:tcBorders>
              <w:top w:val="single" w:color="000000" w:sz="4" w:space="0"/>
              <w:left w:val="single" w:color="000000" w:sz="4" w:space="0"/>
              <w:bottom w:val="single" w:color="000000" w:sz="4" w:space="0"/>
              <w:right w:val="single" w:color="000000" w:sz="4" w:space="0"/>
            </w:tcBorders>
          </w:tcPr>
          <w:p>
            <w:pPr>
              <w:jc w:val="center"/>
              <w:rPr>
                <w:rFonts w:ascii="宋体" w:hAnsi="宋体"/>
                <w:b/>
                <w:color w:val="auto"/>
              </w:rPr>
            </w:pPr>
            <w:r>
              <w:rPr>
                <w:rFonts w:hint="eastAsia" w:ascii="宋体" w:hAnsi="宋体"/>
                <w:b/>
                <w:color w:val="auto"/>
              </w:rPr>
              <w:t>分区</w:t>
            </w:r>
          </w:p>
        </w:tc>
        <w:tc>
          <w:tcPr>
            <w:tcW w:w="3118" w:type="dxa"/>
            <w:tcBorders>
              <w:top w:val="single" w:color="000000" w:sz="4" w:space="0"/>
              <w:left w:val="single" w:color="000000" w:sz="4" w:space="0"/>
              <w:bottom w:val="single" w:color="000000" w:sz="4" w:space="0"/>
              <w:right w:val="single" w:color="000000" w:sz="4" w:space="0"/>
            </w:tcBorders>
          </w:tcPr>
          <w:p>
            <w:pPr>
              <w:jc w:val="center"/>
              <w:rPr>
                <w:rFonts w:ascii="宋体" w:hAnsi="宋体"/>
                <w:b/>
                <w:color w:val="auto"/>
              </w:rPr>
            </w:pPr>
            <w:r>
              <w:rPr>
                <w:rFonts w:hint="eastAsia" w:ascii="宋体" w:hAnsi="宋体"/>
                <w:b/>
                <w:color w:val="auto"/>
              </w:rPr>
              <w:t>条件</w:t>
            </w:r>
          </w:p>
        </w:tc>
        <w:tc>
          <w:tcPr>
            <w:tcW w:w="4678" w:type="dxa"/>
            <w:tcBorders>
              <w:top w:val="single" w:color="000000" w:sz="4" w:space="0"/>
              <w:left w:val="single" w:color="000000" w:sz="4" w:space="0"/>
              <w:bottom w:val="single" w:color="000000" w:sz="4" w:space="0"/>
              <w:right w:val="single" w:color="000000" w:sz="4" w:space="0"/>
            </w:tcBorders>
          </w:tcPr>
          <w:p>
            <w:pPr>
              <w:jc w:val="center"/>
              <w:rPr>
                <w:rFonts w:ascii="宋体" w:hAnsi="宋体"/>
                <w:b/>
                <w:color w:val="auto"/>
              </w:rPr>
            </w:pPr>
            <w:r>
              <w:rPr>
                <w:rFonts w:hint="eastAsia" w:ascii="宋体" w:hAnsi="宋体"/>
                <w:b/>
                <w:color w:val="auto"/>
              </w:rPr>
              <w:t>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1</w:t>
            </w:r>
          </w:p>
        </w:tc>
        <w:tc>
          <w:tcPr>
            <w:tcW w:w="851"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0区</w:t>
            </w:r>
          </w:p>
        </w:tc>
        <w:tc>
          <w:tcPr>
            <w:tcW w:w="3118"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连续出现或长期出现爆炸混合气体混合物的环境。</w:t>
            </w:r>
          </w:p>
        </w:tc>
        <w:tc>
          <w:tcPr>
            <w:tcW w:w="4678" w:type="dxa"/>
            <w:tcBorders>
              <w:top w:val="single" w:color="000000" w:sz="4" w:space="0"/>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计量槽、高位槽液面的上部空间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2</w:t>
            </w:r>
          </w:p>
        </w:tc>
        <w:tc>
          <w:tcPr>
            <w:tcW w:w="851"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1区</w:t>
            </w:r>
          </w:p>
        </w:tc>
        <w:tc>
          <w:tcPr>
            <w:tcW w:w="3118"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在正常运行时可能出现爆炸性气体混合物的环境。</w:t>
            </w:r>
          </w:p>
        </w:tc>
        <w:tc>
          <w:tcPr>
            <w:tcW w:w="4678" w:type="dxa"/>
            <w:tcBorders>
              <w:top w:val="single" w:color="000000" w:sz="4" w:space="0"/>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以设备放空口为中心,半径为1.5m的空间和爆炸危险区域内地坪下的坑、沟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851"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4678" w:type="dxa"/>
            <w:tcBorders>
              <w:top w:val="single" w:color="000000" w:sz="4" w:space="0"/>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封闭建筑物内和爆炸危险区域内地坪下的坑、沟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851"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4678" w:type="dxa"/>
            <w:tcBorders>
              <w:top w:val="single" w:color="000000" w:sz="4" w:space="0"/>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在爆炸危险区域下地坪下的坑沟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3</w:t>
            </w:r>
          </w:p>
        </w:tc>
        <w:tc>
          <w:tcPr>
            <w:tcW w:w="851"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2区</w:t>
            </w:r>
          </w:p>
        </w:tc>
        <w:tc>
          <w:tcPr>
            <w:tcW w:w="3118" w:type="dxa"/>
            <w:vMerge w:val="restart"/>
            <w:tcBorders>
              <w:top w:val="nil"/>
              <w:left w:val="single" w:color="000000" w:sz="4" w:space="0"/>
              <w:bottom w:val="single" w:color="000000" w:sz="4" w:space="0"/>
              <w:right w:val="single" w:color="000000" w:sz="4" w:space="0"/>
            </w:tcBorders>
          </w:tcPr>
          <w:p>
            <w:pPr>
              <w:rPr>
                <w:rFonts w:ascii="宋体" w:hAnsi="宋体"/>
                <w:color w:val="auto"/>
              </w:rPr>
            </w:pPr>
            <w:r>
              <w:rPr>
                <w:rFonts w:hint="eastAsia" w:ascii="宋体" w:hAnsi="宋体"/>
                <w:color w:val="auto"/>
              </w:rPr>
              <w:t>在正常运行时不可能出现爆炸性混合气体的环境，即使出现也仅是短时存在爆炸性混合物气体的环境。</w:t>
            </w:r>
          </w:p>
        </w:tc>
        <w:tc>
          <w:tcPr>
            <w:tcW w:w="4678"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泵和阀门的密封外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851"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4678"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工艺程序控制阀周围的区域,在阀杆密封或类似密封周围的0.5m的范围内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851"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4678" w:type="dxa"/>
            <w:tcBorders>
              <w:top w:val="single" w:color="000000"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以释放源为中心，总半径3</w:t>
            </w:r>
            <w:r>
              <w:rPr>
                <w:rFonts w:ascii="宋体" w:hAnsi="宋体"/>
                <w:color w:val="auto"/>
              </w:rPr>
              <w:t>0</w:t>
            </w:r>
            <w:r>
              <w:rPr>
                <w:rFonts w:hint="eastAsia" w:ascii="宋体" w:hAnsi="宋体"/>
                <w:color w:val="auto"/>
              </w:rPr>
              <w:t>m，地坪上高度0</w:t>
            </w:r>
            <w:r>
              <w:rPr>
                <w:rFonts w:ascii="宋体" w:hAnsi="宋体"/>
                <w:color w:val="auto"/>
              </w:rPr>
              <w:t>.6</w:t>
            </w:r>
            <w:r>
              <w:rPr>
                <w:rFonts w:hint="eastAsia" w:ascii="宋体" w:hAnsi="宋体"/>
                <w:color w:val="auto"/>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851"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3118" w:type="dxa"/>
            <w:vMerge w:val="continue"/>
            <w:tcBorders>
              <w:top w:val="nil"/>
              <w:left w:val="single" w:color="000000" w:sz="4" w:space="0"/>
              <w:bottom w:val="single" w:color="000000" w:sz="4" w:space="0"/>
              <w:right w:val="single" w:color="000000" w:sz="4" w:space="0"/>
            </w:tcBorders>
            <w:vAlign w:val="center"/>
          </w:tcPr>
          <w:p>
            <w:pPr>
              <w:widowControl/>
              <w:jc w:val="left"/>
              <w:rPr>
                <w:rFonts w:ascii="宋体" w:hAnsi="宋体"/>
                <w:color w:val="auto"/>
              </w:rPr>
            </w:pPr>
          </w:p>
        </w:tc>
        <w:tc>
          <w:tcPr>
            <w:tcW w:w="4678" w:type="dxa"/>
            <w:tcBorders>
              <w:top w:val="single" w:color="auto" w:sz="4" w:space="0"/>
              <w:left w:val="single" w:color="000000" w:sz="4" w:space="0"/>
              <w:bottom w:val="single" w:color="auto" w:sz="4" w:space="0"/>
              <w:right w:val="single" w:color="000000" w:sz="4" w:space="0"/>
            </w:tcBorders>
          </w:tcPr>
          <w:p>
            <w:pPr>
              <w:rPr>
                <w:rFonts w:ascii="宋体" w:hAnsi="宋体"/>
                <w:color w:val="auto"/>
              </w:rPr>
            </w:pPr>
            <w:r>
              <w:rPr>
                <w:rFonts w:hint="eastAsia" w:ascii="宋体" w:hAnsi="宋体"/>
                <w:color w:val="auto"/>
              </w:rPr>
              <w:t>计量罐、反应釜、蒸馏釜、储罐等的的法兰、连接件和管道接头、安全阀、排气孔处距离为</w:t>
            </w:r>
            <w:r>
              <w:rPr>
                <w:rFonts w:hint="eastAsia" w:cs="Calibri"/>
                <w:color w:val="auto"/>
              </w:rPr>
              <w:t>7.5m</w:t>
            </w:r>
            <w:r>
              <w:rPr>
                <w:rFonts w:hint="eastAsia" w:ascii="宋体" w:hAnsi="宋体"/>
                <w:color w:val="auto"/>
              </w:rPr>
              <w:t>的范围内；</w:t>
            </w:r>
          </w:p>
        </w:tc>
      </w:tr>
    </w:tbl>
    <w:p>
      <w:pPr>
        <w:spacing w:line="360" w:lineRule="auto"/>
        <w:ind w:firstLine="555"/>
        <w:rPr>
          <w:rFonts w:ascii="Calibri" w:hAnsi="Calibri"/>
          <w:color w:val="auto"/>
        </w:rPr>
      </w:pPr>
      <w:r>
        <w:rPr>
          <w:rFonts w:hint="eastAsia" w:ascii="宋体" w:hAnsi="宋体"/>
          <w:color w:val="auto"/>
          <w:sz w:val="28"/>
          <w:szCs w:val="28"/>
        </w:rPr>
        <w:t>根据该项目的工艺特点及《爆炸危险环境电力装置设计规范》（GB50058）的要求，应按不同爆炸危险环境，配置不同的防爆电气，当同一区域存在两种或两种以上的爆炸危险物质，按最高防爆等级设置防爆电气。该项目氢气属于中间产物，涉及产生中间产物氢气的区域应提高局部电气防爆等级。该项目涉及易燃易爆物料的场所电气应不低于下表电气防爆等级：</w:t>
      </w:r>
    </w:p>
    <w:tbl>
      <w:tblPr>
        <w:tblStyle w:val="32"/>
        <w:tblW w:w="89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6"/>
        <w:gridCol w:w="4574"/>
        <w:gridCol w:w="3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rPr>
                <w:color w:val="auto"/>
              </w:rPr>
            </w:pPr>
            <w:r>
              <w:rPr>
                <w:rFonts w:hint="eastAsia"/>
                <w:color w:val="auto"/>
              </w:rPr>
              <w:t>序号</w:t>
            </w:r>
          </w:p>
        </w:tc>
        <w:tc>
          <w:tcPr>
            <w:tcW w:w="4574" w:type="dxa"/>
          </w:tcPr>
          <w:p>
            <w:pPr>
              <w:rPr>
                <w:color w:val="auto"/>
              </w:rPr>
            </w:pPr>
            <w:r>
              <w:rPr>
                <w:rFonts w:hint="eastAsia"/>
                <w:color w:val="auto"/>
              </w:rPr>
              <w:t>介质名称</w:t>
            </w:r>
          </w:p>
        </w:tc>
        <w:tc>
          <w:tcPr>
            <w:tcW w:w="3261" w:type="dxa"/>
          </w:tcPr>
          <w:p>
            <w:pPr>
              <w:rPr>
                <w:color w:val="auto"/>
              </w:rPr>
            </w:pPr>
            <w:r>
              <w:rPr>
                <w:rFonts w:hint="eastAsia"/>
                <w:color w:val="auto"/>
              </w:rPr>
              <w:t>电气防爆等级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四氢呋喃</w:t>
            </w:r>
          </w:p>
        </w:tc>
        <w:tc>
          <w:tcPr>
            <w:tcW w:w="3261" w:type="dxa"/>
          </w:tcPr>
          <w:p>
            <w:pPr>
              <w:rPr>
                <w:color w:val="auto"/>
              </w:rPr>
            </w:pPr>
            <w:r>
              <w:rPr>
                <w:rFonts w:hint="eastAsia"/>
                <w:color w:val="auto"/>
              </w:rPr>
              <w:t>ⅡBT</w:t>
            </w: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丙酮</w:t>
            </w:r>
          </w:p>
        </w:tc>
        <w:tc>
          <w:tcPr>
            <w:tcW w:w="3261" w:type="dxa"/>
          </w:tcPr>
          <w:p>
            <w:pPr>
              <w:rPr>
                <w:color w:val="auto"/>
              </w:rPr>
            </w:pPr>
            <w:r>
              <w:rPr>
                <w:rFonts w:hint="eastAsia"/>
                <w:color w:val="auto"/>
              </w:rPr>
              <w:t>ⅡAT1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甲苯</w:t>
            </w:r>
          </w:p>
        </w:tc>
        <w:tc>
          <w:tcPr>
            <w:tcW w:w="3261" w:type="dxa"/>
          </w:tcPr>
          <w:p>
            <w:pPr>
              <w:rPr>
                <w:color w:val="auto"/>
              </w:rPr>
            </w:pPr>
            <w:r>
              <w:rPr>
                <w:rFonts w:hint="eastAsia"/>
                <w:color w:val="auto"/>
              </w:rPr>
              <w:t>ⅡAT1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液氨</w:t>
            </w:r>
          </w:p>
        </w:tc>
        <w:tc>
          <w:tcPr>
            <w:tcW w:w="3261" w:type="dxa"/>
          </w:tcPr>
          <w:p>
            <w:pPr>
              <w:rPr>
                <w:color w:val="auto"/>
              </w:rPr>
            </w:pPr>
            <w:r>
              <w:rPr>
                <w:rFonts w:hint="eastAsia"/>
                <w:color w:val="auto"/>
              </w:rPr>
              <w:t>ⅡAT1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丁酮</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DMF</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乙酸乙酯</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叔丁醇</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二氯甲烷</w:t>
            </w:r>
          </w:p>
        </w:tc>
        <w:tc>
          <w:tcPr>
            <w:tcW w:w="3261" w:type="dxa"/>
          </w:tcPr>
          <w:p>
            <w:pPr>
              <w:rPr>
                <w:color w:val="auto"/>
              </w:rPr>
            </w:pPr>
            <w:r>
              <w:rPr>
                <w:rFonts w:hint="eastAsia"/>
                <w:color w:val="auto"/>
              </w:rPr>
              <w:t>ⅡAT1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石油醚</w:t>
            </w:r>
          </w:p>
        </w:tc>
        <w:tc>
          <w:tcPr>
            <w:tcW w:w="3261" w:type="dxa"/>
          </w:tcPr>
          <w:p>
            <w:pPr>
              <w:rPr>
                <w:color w:val="auto"/>
              </w:rPr>
            </w:pPr>
            <w:r>
              <w:rPr>
                <w:rFonts w:hint="eastAsia"/>
                <w:color w:val="auto"/>
              </w:rPr>
              <w:t>ⅡAT</w:t>
            </w: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甲醇</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乙醇</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丙酸酐</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异丙醇</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环己酮</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氢气</w:t>
            </w:r>
          </w:p>
        </w:tc>
        <w:tc>
          <w:tcPr>
            <w:tcW w:w="3261" w:type="dxa"/>
          </w:tcPr>
          <w:p>
            <w:pPr>
              <w:rPr>
                <w:color w:val="auto"/>
              </w:rPr>
            </w:pPr>
            <w:r>
              <w:rPr>
                <w:rFonts w:hint="eastAsia"/>
                <w:color w:val="auto"/>
              </w:rPr>
              <w:t>ⅡCT1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N</w:t>
            </w:r>
            <w:r>
              <w:rPr>
                <w:color w:val="auto"/>
              </w:rPr>
              <w:t>-</w:t>
            </w:r>
            <w:r>
              <w:rPr>
                <w:rFonts w:hint="eastAsia"/>
                <w:color w:val="auto"/>
              </w:rPr>
              <w:t>甲基吗啉</w:t>
            </w:r>
          </w:p>
        </w:tc>
        <w:tc>
          <w:tcPr>
            <w:tcW w:w="3261" w:type="dxa"/>
          </w:tcPr>
          <w:p>
            <w:pPr>
              <w:rPr>
                <w:color w:val="auto"/>
              </w:rPr>
            </w:pPr>
            <w:r>
              <w:rPr>
                <w:rFonts w:hint="eastAsia"/>
                <w:color w:val="auto"/>
              </w:rPr>
              <w:t>ⅡAT</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tcPr>
          <w:p>
            <w:pPr>
              <w:numPr>
                <w:ilvl w:val="0"/>
                <w:numId w:val="12"/>
              </w:numPr>
              <w:rPr>
                <w:color w:val="auto"/>
              </w:rPr>
            </w:pPr>
          </w:p>
        </w:tc>
        <w:tc>
          <w:tcPr>
            <w:tcW w:w="4574" w:type="dxa"/>
          </w:tcPr>
          <w:p>
            <w:pPr>
              <w:rPr>
                <w:color w:val="auto"/>
              </w:rPr>
            </w:pPr>
            <w:r>
              <w:rPr>
                <w:rFonts w:hint="eastAsia"/>
                <w:color w:val="auto"/>
              </w:rPr>
              <w:t>柴油</w:t>
            </w:r>
          </w:p>
        </w:tc>
        <w:tc>
          <w:tcPr>
            <w:tcW w:w="3261" w:type="dxa"/>
          </w:tcPr>
          <w:p>
            <w:pPr>
              <w:rPr>
                <w:color w:val="auto"/>
              </w:rPr>
            </w:pPr>
            <w:r>
              <w:rPr>
                <w:rFonts w:hint="eastAsia"/>
                <w:color w:val="auto"/>
              </w:rPr>
              <w:t>ⅡAT</w:t>
            </w:r>
            <w:r>
              <w:rPr>
                <w:color w:val="auto"/>
              </w:rPr>
              <w:t>3</w:t>
            </w:r>
          </w:p>
        </w:tc>
      </w:tr>
    </w:tbl>
    <w:p>
      <w:pPr>
        <w:keepNext/>
        <w:keepLines/>
        <w:spacing w:line="600" w:lineRule="exact"/>
        <w:jc w:val="left"/>
        <w:outlineLvl w:val="1"/>
        <w:rPr>
          <w:rFonts w:ascii="Cambria" w:hAnsi="Cambria"/>
          <w:b/>
          <w:color w:val="auto"/>
          <w:sz w:val="30"/>
          <w:szCs w:val="32"/>
        </w:rPr>
      </w:pPr>
      <w:bookmarkStart w:id="97" w:name="_Toc144109182"/>
      <w:bookmarkStart w:id="98" w:name="_Toc35435426"/>
      <w:r>
        <w:rPr>
          <w:rFonts w:hint="eastAsia" w:ascii="Cambria" w:hAnsi="Cambria"/>
          <w:b/>
          <w:color w:val="auto"/>
          <w:sz w:val="30"/>
          <w:szCs w:val="32"/>
        </w:rPr>
        <w:t>3.</w:t>
      </w:r>
      <w:r>
        <w:rPr>
          <w:rFonts w:ascii="Cambria" w:hAnsi="Cambria"/>
          <w:b/>
          <w:color w:val="auto"/>
          <w:sz w:val="30"/>
          <w:szCs w:val="32"/>
        </w:rPr>
        <w:t>10</w:t>
      </w:r>
      <w:r>
        <w:rPr>
          <w:rFonts w:hint="eastAsia" w:ascii="Cambria" w:hAnsi="Cambria"/>
          <w:b/>
          <w:color w:val="auto"/>
          <w:sz w:val="30"/>
          <w:szCs w:val="32"/>
        </w:rPr>
        <w:t>事故案例</w:t>
      </w:r>
      <w:bookmarkEnd w:id="97"/>
      <w:bookmarkEnd w:id="98"/>
    </w:p>
    <w:p>
      <w:pPr>
        <w:pStyle w:val="2"/>
        <w:rPr>
          <w:b/>
          <w:color w:val="auto"/>
          <w:sz w:val="28"/>
          <w:szCs w:val="28"/>
        </w:rPr>
      </w:pPr>
      <w:r>
        <w:rPr>
          <w:b/>
          <w:color w:val="auto"/>
          <w:sz w:val="28"/>
          <w:szCs w:val="28"/>
        </w:rPr>
        <w:t>1</w:t>
      </w:r>
      <w:r>
        <w:rPr>
          <w:rFonts w:hint="eastAsia"/>
          <w:b/>
          <w:color w:val="auto"/>
          <w:sz w:val="28"/>
          <w:szCs w:val="28"/>
        </w:rPr>
        <w:t xml:space="preserve">、湖北省随州市大地化工有限公司液氨泄露事故案例 </w:t>
      </w:r>
    </w:p>
    <w:p>
      <w:pPr>
        <w:spacing w:line="600" w:lineRule="exact"/>
        <w:ind w:firstLine="560" w:firstLineChars="200"/>
        <w:rPr>
          <w:color w:val="auto"/>
          <w:sz w:val="28"/>
          <w:szCs w:val="28"/>
          <w:lang w:val="zh-CN"/>
        </w:rPr>
      </w:pPr>
      <w:r>
        <w:rPr>
          <w:color w:val="auto"/>
          <w:sz w:val="28"/>
          <w:szCs w:val="28"/>
          <w:lang w:val="zh-CN"/>
        </w:rPr>
        <w:t>2008年3月17日4时左右，</w:t>
      </w:r>
      <w:r>
        <w:rPr>
          <w:color w:val="auto"/>
          <w:kern w:val="0"/>
          <w:sz w:val="28"/>
          <w:szCs w:val="28"/>
          <w:lang w:val="zh-CN"/>
        </w:rPr>
        <w:t>湖北省随州市大地化工有限公司（以下简称大地化工公司）液氨罐区发生氨气泄漏事故，造成约50人被紧急疏散，3人呼吸道不适住院观察治疗。氨气具有强烈的刺激性，氨气泄漏事故影响大、危害重，易造成严重后果。</w:t>
      </w:r>
    </w:p>
    <w:p>
      <w:pPr>
        <w:autoSpaceDE w:val="0"/>
        <w:autoSpaceDN w:val="0"/>
        <w:adjustRightInd w:val="0"/>
        <w:spacing w:line="600" w:lineRule="exact"/>
        <w:ind w:firstLine="549"/>
        <w:rPr>
          <w:color w:val="auto"/>
          <w:sz w:val="28"/>
          <w:szCs w:val="28"/>
          <w:lang w:val="zh-CN"/>
        </w:rPr>
      </w:pPr>
      <w:r>
        <w:rPr>
          <w:rFonts w:hint="eastAsia"/>
          <w:color w:val="auto"/>
          <w:sz w:val="28"/>
          <w:szCs w:val="28"/>
          <w:lang w:val="zh-CN"/>
        </w:rPr>
        <w:t>1）事故经过</w:t>
      </w:r>
    </w:p>
    <w:p>
      <w:pPr>
        <w:autoSpaceDE w:val="0"/>
        <w:autoSpaceDN w:val="0"/>
        <w:adjustRightInd w:val="0"/>
        <w:spacing w:line="360" w:lineRule="auto"/>
        <w:ind w:firstLine="482"/>
        <w:rPr>
          <w:color w:val="auto"/>
          <w:kern w:val="0"/>
          <w:sz w:val="28"/>
          <w:szCs w:val="28"/>
          <w:lang w:val="zh-CN"/>
        </w:rPr>
      </w:pPr>
      <w:r>
        <w:rPr>
          <w:color w:val="auto"/>
          <w:kern w:val="0"/>
          <w:sz w:val="28"/>
          <w:szCs w:val="28"/>
          <w:lang w:val="zh-CN"/>
        </w:rPr>
        <w:t>3月16日下午，维修人员在对氨回收系统进行常规检修时，更换了2号贮罐驰放气管道连接法兰的石棉垫片；3月17日凌晨，氨回收和驰放气系统相继投入使用；投用半小时后约4时许，2号贮罐驰放气管道连接法兰处发生氨气泄漏。3名操作人员末佩戴任何防护用具，就试图关闭驰放气控制阀，因现场氨气浓度太大，末能成功，立即报警求援。消防人员和厂部救援人员赶到现场后，进行紧急救援处置。5时40分，驰放气控制阀被关闭，成功消除漏点。事故造成约2m</w:t>
      </w:r>
      <w:r>
        <w:rPr>
          <w:color w:val="auto"/>
          <w:kern w:val="0"/>
          <w:sz w:val="28"/>
          <w:szCs w:val="28"/>
          <w:vertAlign w:val="superscript"/>
          <w:lang w:val="zh-CN"/>
        </w:rPr>
        <w:t>3</w:t>
      </w:r>
      <w:r>
        <w:rPr>
          <w:color w:val="auto"/>
          <w:kern w:val="0"/>
          <w:sz w:val="28"/>
          <w:szCs w:val="28"/>
          <w:lang w:val="zh-CN"/>
        </w:rPr>
        <w:t>氨气泄漏，因呼吸道不适送往医院观察治疗的3人已痊愈出院。</w:t>
      </w:r>
    </w:p>
    <w:p>
      <w:pPr>
        <w:autoSpaceDE w:val="0"/>
        <w:autoSpaceDN w:val="0"/>
        <w:adjustRightInd w:val="0"/>
        <w:spacing w:line="600" w:lineRule="exact"/>
        <w:ind w:firstLine="549"/>
        <w:rPr>
          <w:color w:val="auto"/>
          <w:sz w:val="28"/>
          <w:szCs w:val="28"/>
          <w:lang w:val="zh-CN"/>
        </w:rPr>
      </w:pPr>
      <w:r>
        <w:rPr>
          <w:rFonts w:hint="eastAsia"/>
          <w:color w:val="auto"/>
          <w:sz w:val="28"/>
          <w:szCs w:val="28"/>
          <w:lang w:val="zh-CN"/>
        </w:rPr>
        <w:t>2）事故原因分析</w:t>
      </w:r>
    </w:p>
    <w:p>
      <w:pPr>
        <w:autoSpaceDE w:val="0"/>
        <w:autoSpaceDN w:val="0"/>
        <w:adjustRightInd w:val="0"/>
        <w:spacing w:line="600" w:lineRule="exact"/>
        <w:ind w:firstLine="549"/>
        <w:rPr>
          <w:color w:val="auto"/>
          <w:sz w:val="28"/>
          <w:szCs w:val="28"/>
          <w:lang w:val="zh-CN"/>
        </w:rPr>
      </w:pPr>
      <w:r>
        <w:rPr>
          <w:color w:val="auto"/>
          <w:kern w:val="0"/>
          <w:sz w:val="28"/>
          <w:szCs w:val="28"/>
          <w:lang w:val="zh-CN"/>
        </w:rPr>
        <w:t>一是在更换驰放气管道连接法兰的石棉垫片时，</w:t>
      </w:r>
      <w:r>
        <w:rPr>
          <w:rFonts w:hint="eastAsia"/>
          <w:color w:val="auto"/>
          <w:kern w:val="0"/>
          <w:sz w:val="28"/>
          <w:szCs w:val="28"/>
          <w:lang w:val="zh-CN"/>
        </w:rPr>
        <w:t>未</w:t>
      </w:r>
      <w:r>
        <w:rPr>
          <w:color w:val="auto"/>
          <w:kern w:val="0"/>
          <w:sz w:val="28"/>
          <w:szCs w:val="28"/>
          <w:lang w:val="zh-CN"/>
        </w:rPr>
        <w:t>按要求对角把紧法兰螺栓，造成石棉垫片受力不均，密封不严；二是更换石棉垫片后，未对驰放气管道系统进行压力和气密性试验；三是现场应急器材配备不够，应急处置能力差。</w:t>
      </w:r>
    </w:p>
    <w:p>
      <w:pPr>
        <w:pStyle w:val="2"/>
        <w:spacing w:line="360" w:lineRule="auto"/>
        <w:ind w:firstLine="562" w:firstLineChars="200"/>
        <w:rPr>
          <w:b/>
          <w:color w:val="auto"/>
          <w:sz w:val="28"/>
          <w:szCs w:val="28"/>
        </w:rPr>
      </w:pPr>
      <w:r>
        <w:rPr>
          <w:b/>
          <w:color w:val="auto"/>
          <w:sz w:val="28"/>
          <w:szCs w:val="28"/>
        </w:rPr>
        <w:t>2</w:t>
      </w:r>
      <w:r>
        <w:rPr>
          <w:rFonts w:hint="eastAsia"/>
          <w:b/>
          <w:color w:val="auto"/>
          <w:sz w:val="28"/>
          <w:szCs w:val="28"/>
        </w:rPr>
        <w:t>、乙醇燃烧事件</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1）事故经过</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2005年8月28日7时30分，某化工厂操作工准备向该厂R116反应罐中投入乙醇、硫化纳、活性炭制备化学中间体。由于没有回收乙醇。经请示领导，安排用新乙醇代替回收乙醇使用。随即操作工按照操作步骤计里，开始向反应罐内投新乙醇、硫化钠和活性炭。投完料后，操作人员边某将反应罐盖盖好，8时53分。离开岗位到休息室存放、清理工具。代班长随即给反应罐进行蒸气蒸气升温，2min后，罐内温度由27℃上升到33℃便关闭蒸气，随后便去进行其他工作，再此期间反应罐内料液通过加料口的法兰处向外流出，致使反应罐周边1.5m</w:t>
      </w:r>
      <w:r>
        <w:rPr>
          <w:rFonts w:hint="eastAsia"/>
          <w:color w:val="auto"/>
          <w:sz w:val="28"/>
          <w:szCs w:val="28"/>
          <w:vertAlign w:val="superscript"/>
          <w:lang w:val="zh-CN"/>
        </w:rPr>
        <w:t>2</w:t>
      </w:r>
      <w:r>
        <w:rPr>
          <w:rFonts w:hint="eastAsia"/>
          <w:color w:val="auto"/>
          <w:sz w:val="28"/>
          <w:szCs w:val="28"/>
          <w:lang w:val="zh-CN"/>
        </w:rPr>
        <w:t>处洒满乙醉与罐内物料的混合液。这时反应罐操作人员查看温度时，发现R116反应罐冲料。操作工立即关闭搅拌。随即到值班室告诉代班长。在返回后操作工接自来水准备冲洗地面时看见反应罐旁防爆灯下部位起火。—团燃烧物掉在防爆灯架上后流到地面，地面上抛洒的乙醇与罐内物料迅速着火。此次火灾，造成反应罐上尾气管道与风管连接段2m烧毁，风筒塌陷，风筒下方电缆桥架上电线烧毁，反应罐控制按钮过火。</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2）事故原因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根据现场情况分析，事故组经过分析讨论认为火灾事故的原因是:</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1、反应罐尾气管道与风筒接口处下方电气打火，致使反应过程中冲料产生的乙醇蒸汽、乙醇液体燃烧是造成火灾事故发生的直接原因。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2、反应过程中冲料造成反应罐周边1.5m</w:t>
      </w:r>
      <w:r>
        <w:rPr>
          <w:rFonts w:hint="eastAsia"/>
          <w:color w:val="auto"/>
          <w:sz w:val="28"/>
          <w:szCs w:val="28"/>
          <w:vertAlign w:val="superscript"/>
          <w:lang w:val="zh-CN"/>
        </w:rPr>
        <w:t>2</w:t>
      </w:r>
      <w:r>
        <w:rPr>
          <w:rFonts w:hint="eastAsia"/>
          <w:color w:val="auto"/>
          <w:sz w:val="28"/>
          <w:szCs w:val="28"/>
          <w:lang w:val="zh-CN"/>
        </w:rPr>
        <w:t>处洒满乙醇与罐内物料时造成火灾事故扩大的主要原因。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3、加完物料后未加加料口的法兰紧固到位是此次料渗出的主要原因。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4、在投完硫化钠后，代班长立即给反应罐升温是导致冲料事故发生的主要原因。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3）整改措施</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1、对分厂所有电气线路、线缆、电气原件进行一次彻底检查，对不符合安全要求的进行全面更换。</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2、员工加强工艺教育培训，让其清楚所操作的工艺设备状况。</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3、增配35kg灭火器，便于发生火灾事故后使用。</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4、改进化学中间体产品工艺中硫化钠与活性炭投料方式，防止粉尘集聚，消除产生自然的因素，在投料前后必须进行氮气置换，确保安全。</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5、对化学中间体产品还原反应罐单独接风筒与尾气管道，并采取防静电措施，消除产生静电的因素。</w:t>
      </w:r>
    </w:p>
    <w:p>
      <w:pPr>
        <w:tabs>
          <w:tab w:val="left" w:pos="1800"/>
        </w:tabs>
        <w:autoSpaceDE w:val="0"/>
        <w:autoSpaceDN w:val="0"/>
        <w:adjustRightInd w:val="0"/>
        <w:spacing w:line="600" w:lineRule="exact"/>
        <w:ind w:firstLine="570"/>
        <w:rPr>
          <w:color w:val="auto"/>
          <w:sz w:val="28"/>
          <w:szCs w:val="28"/>
          <w:lang w:val="zh-CN"/>
        </w:rPr>
      </w:pPr>
      <w:r>
        <w:rPr>
          <w:rFonts w:hint="eastAsia"/>
          <w:color w:val="auto"/>
          <w:sz w:val="28"/>
          <w:szCs w:val="28"/>
          <w:lang w:val="zh-CN"/>
        </w:rPr>
        <w:t>6、加强员工安全生产意识教育培训，使员工掌握安全应急救援的能力，提高员工安全操作与突发事件应急处理能力。</w:t>
      </w:r>
    </w:p>
    <w:p>
      <w:pPr>
        <w:keepNext/>
        <w:keepLines/>
        <w:pageBreakBefore/>
        <w:widowControl/>
        <w:spacing w:line="600" w:lineRule="exact"/>
        <w:jc w:val="left"/>
        <w:outlineLvl w:val="0"/>
        <w:rPr>
          <w:rFonts w:ascii="Calibri" w:hAnsi="Calibri"/>
          <w:b/>
          <w:color w:val="auto"/>
          <w:kern w:val="44"/>
          <w:sz w:val="32"/>
          <w:szCs w:val="44"/>
        </w:rPr>
      </w:pPr>
      <w:bookmarkStart w:id="99" w:name="_Toc449622658"/>
      <w:bookmarkStart w:id="100" w:name="_Toc11513"/>
      <w:bookmarkStart w:id="101" w:name="_Toc35435427"/>
      <w:bookmarkStart w:id="102" w:name="_Toc144109183"/>
      <w:r>
        <w:rPr>
          <w:rFonts w:hint="eastAsia" w:ascii="Calibri" w:hAnsi="Calibri"/>
          <w:b/>
          <w:color w:val="auto"/>
          <w:kern w:val="44"/>
          <w:sz w:val="32"/>
          <w:szCs w:val="44"/>
        </w:rPr>
        <w:t>4.评价单元划分与评价方法</w:t>
      </w:r>
      <w:bookmarkEnd w:id="99"/>
      <w:bookmarkEnd w:id="100"/>
      <w:bookmarkEnd w:id="101"/>
      <w:bookmarkEnd w:id="102"/>
    </w:p>
    <w:p>
      <w:pPr>
        <w:keepNext/>
        <w:keepLines/>
        <w:spacing w:line="600" w:lineRule="exact"/>
        <w:jc w:val="left"/>
        <w:outlineLvl w:val="1"/>
        <w:rPr>
          <w:rFonts w:ascii="Cambria" w:hAnsi="Cambria"/>
          <w:b/>
          <w:color w:val="auto"/>
          <w:sz w:val="30"/>
          <w:szCs w:val="32"/>
        </w:rPr>
      </w:pPr>
      <w:bookmarkStart w:id="103" w:name="_Toc144109184"/>
      <w:bookmarkStart w:id="104" w:name="_Toc4798"/>
      <w:bookmarkStart w:id="105" w:name="_Toc35435429"/>
      <w:r>
        <w:rPr>
          <w:rFonts w:hint="eastAsia" w:ascii="Cambria" w:hAnsi="Cambria"/>
          <w:b/>
          <w:color w:val="auto"/>
          <w:sz w:val="30"/>
          <w:szCs w:val="32"/>
        </w:rPr>
        <w:t>4</w:t>
      </w:r>
      <w:r>
        <w:rPr>
          <w:rFonts w:ascii="Cambria" w:hAnsi="Cambria"/>
          <w:b/>
          <w:color w:val="auto"/>
          <w:sz w:val="30"/>
          <w:szCs w:val="32"/>
        </w:rPr>
        <w:t>.1</w:t>
      </w:r>
      <w:r>
        <w:rPr>
          <w:rFonts w:hint="eastAsia" w:ascii="Cambria" w:hAnsi="Cambria"/>
          <w:b/>
          <w:color w:val="auto"/>
          <w:sz w:val="30"/>
          <w:szCs w:val="32"/>
        </w:rPr>
        <w:t xml:space="preserve"> 评价单元的划分目的和原则</w:t>
      </w:r>
      <w:bookmarkEnd w:id="103"/>
      <w:bookmarkEnd w:id="104"/>
      <w:bookmarkEnd w:id="105"/>
    </w:p>
    <w:p>
      <w:pPr>
        <w:autoSpaceDE w:val="0"/>
        <w:autoSpaceDN w:val="0"/>
        <w:adjustRightInd w:val="0"/>
        <w:spacing w:line="600" w:lineRule="exact"/>
        <w:ind w:firstLine="549"/>
        <w:rPr>
          <w:color w:val="auto"/>
          <w:sz w:val="28"/>
          <w:szCs w:val="28"/>
          <w:lang w:val="zh-CN"/>
        </w:rPr>
      </w:pPr>
      <w:r>
        <w:rPr>
          <w:rFonts w:hint="eastAsia"/>
          <w:color w:val="auto"/>
          <w:sz w:val="28"/>
          <w:szCs w:val="28"/>
          <w:lang w:val="zh-CN"/>
        </w:rPr>
        <w:t>1、评价单元的划分目的</w:t>
      </w:r>
    </w:p>
    <w:p>
      <w:pPr>
        <w:rPr>
          <w:color w:val="auto"/>
        </w:rPr>
      </w:pPr>
      <w:r>
        <w:rPr>
          <w:rFonts w:hint="eastAsia" w:ascii="宋体" w:hAnsi="宋体"/>
          <w:color w:val="auto"/>
          <w:sz w:val="28"/>
          <w:szCs w:val="28"/>
        </w:rPr>
        <w:t>评价单元是指系统的一个独立组成部分。评价单元划分的目的是将系统划分为不同类型的评价单元进行评价，这样不仅可以简化评价工作、减少评价工作量，而且由于能够得出每个评价单元危险性的比较概念，避免以最危险单元的危险性来表征整个系统的危险性、夸大整个系统的危险性的可能性，从而提高评价的准确性。同时通过评价单元的划分，可以抓住主要矛盾，对其不同的危险特性进行评价，有针对性地采取安全措施。</w:t>
      </w:r>
    </w:p>
    <w:p>
      <w:pPr>
        <w:autoSpaceDE w:val="0"/>
        <w:autoSpaceDN w:val="0"/>
        <w:adjustRightInd w:val="0"/>
        <w:spacing w:line="600" w:lineRule="exact"/>
        <w:ind w:firstLine="549"/>
        <w:rPr>
          <w:color w:val="auto"/>
          <w:sz w:val="28"/>
          <w:szCs w:val="28"/>
          <w:lang w:val="zh-CN"/>
        </w:rPr>
      </w:pPr>
      <w:r>
        <w:rPr>
          <w:rFonts w:hint="eastAsia"/>
          <w:color w:val="auto"/>
          <w:sz w:val="28"/>
          <w:szCs w:val="28"/>
          <w:lang w:val="zh-CN"/>
        </w:rPr>
        <w:t>2、评价单元的划分原则</w:t>
      </w:r>
    </w:p>
    <w:p>
      <w:pPr>
        <w:autoSpaceDE w:val="0"/>
        <w:autoSpaceDN w:val="0"/>
        <w:adjustRightInd w:val="0"/>
        <w:spacing w:line="600" w:lineRule="exact"/>
        <w:ind w:firstLine="549"/>
        <w:rPr>
          <w:color w:val="auto"/>
          <w:sz w:val="28"/>
          <w:szCs w:val="28"/>
          <w:lang w:val="zh-CN"/>
        </w:rPr>
      </w:pPr>
      <w:r>
        <w:rPr>
          <w:color w:val="auto"/>
          <w:sz w:val="28"/>
          <w:szCs w:val="28"/>
          <w:lang w:val="zh-CN"/>
        </w:rPr>
        <w:t>划分安全评价单元的原则包括：</w:t>
      </w:r>
    </w:p>
    <w:p>
      <w:pPr>
        <w:autoSpaceDE w:val="0"/>
        <w:autoSpaceDN w:val="0"/>
        <w:adjustRightInd w:val="0"/>
        <w:spacing w:line="600" w:lineRule="exact"/>
        <w:ind w:firstLine="560" w:firstLineChars="200"/>
        <w:rPr>
          <w:color w:val="auto"/>
          <w:sz w:val="28"/>
          <w:szCs w:val="28"/>
          <w:lang w:val="zh-CN"/>
        </w:rPr>
      </w:pPr>
      <w:r>
        <w:rPr>
          <w:rFonts w:hint="eastAsia"/>
          <w:color w:val="auto"/>
          <w:sz w:val="28"/>
          <w:szCs w:val="28"/>
          <w:lang w:val="zh-CN"/>
        </w:rPr>
        <w:t>（1）</w:t>
      </w:r>
      <w:r>
        <w:rPr>
          <w:color w:val="auto"/>
          <w:sz w:val="28"/>
          <w:szCs w:val="28"/>
          <w:lang w:val="zh-CN"/>
        </w:rPr>
        <w:t>以危险、有害因素类别为主划分评价单元；</w:t>
      </w:r>
    </w:p>
    <w:p>
      <w:pPr>
        <w:autoSpaceDE w:val="0"/>
        <w:autoSpaceDN w:val="0"/>
        <w:adjustRightInd w:val="0"/>
        <w:spacing w:line="600" w:lineRule="exact"/>
        <w:ind w:firstLine="560" w:firstLineChars="200"/>
        <w:rPr>
          <w:color w:val="auto"/>
          <w:sz w:val="28"/>
          <w:szCs w:val="28"/>
        </w:rPr>
      </w:pPr>
      <w:r>
        <w:rPr>
          <w:rFonts w:hint="eastAsia"/>
          <w:color w:val="auto"/>
          <w:sz w:val="28"/>
          <w:szCs w:val="28"/>
          <w:lang w:val="zh-CN"/>
        </w:rPr>
        <w:t>（2）</w:t>
      </w:r>
      <w:r>
        <w:rPr>
          <w:color w:val="auto"/>
          <w:sz w:val="28"/>
          <w:szCs w:val="28"/>
          <w:lang w:val="zh-CN"/>
        </w:rPr>
        <w:t>以装置、设施和工艺流程的特征划分评价单元；</w:t>
      </w:r>
    </w:p>
    <w:p>
      <w:pPr>
        <w:autoSpaceDE w:val="0"/>
        <w:autoSpaceDN w:val="0"/>
        <w:adjustRightInd w:val="0"/>
        <w:spacing w:line="600" w:lineRule="exact"/>
        <w:ind w:firstLine="560" w:firstLineChars="200"/>
        <w:rPr>
          <w:color w:val="auto"/>
          <w:sz w:val="28"/>
          <w:szCs w:val="28"/>
        </w:rPr>
      </w:pPr>
      <w:r>
        <w:rPr>
          <w:rFonts w:hint="eastAsia"/>
          <w:color w:val="auto"/>
          <w:sz w:val="28"/>
          <w:szCs w:val="28"/>
        </w:rPr>
        <w:t>（3）</w:t>
      </w:r>
      <w:r>
        <w:rPr>
          <w:color w:val="auto"/>
          <w:sz w:val="28"/>
          <w:szCs w:val="28"/>
        </w:rPr>
        <w:t>安全管理、外部周边情况单独划分为评价单元。</w:t>
      </w:r>
    </w:p>
    <w:p>
      <w:pPr>
        <w:keepNext/>
        <w:keepLines/>
        <w:spacing w:line="600" w:lineRule="exact"/>
        <w:jc w:val="left"/>
        <w:outlineLvl w:val="1"/>
        <w:rPr>
          <w:rFonts w:ascii="Cambria" w:hAnsi="Cambria"/>
          <w:b/>
          <w:color w:val="auto"/>
          <w:sz w:val="30"/>
          <w:szCs w:val="32"/>
        </w:rPr>
      </w:pPr>
      <w:bookmarkStart w:id="106" w:name="_Toc386550625"/>
      <w:bookmarkStart w:id="107" w:name="_Toc31172"/>
      <w:bookmarkStart w:id="108" w:name="_Toc35435430"/>
      <w:bookmarkStart w:id="109" w:name="_Toc26523"/>
      <w:bookmarkStart w:id="110" w:name="_Toc144109185"/>
      <w:r>
        <w:rPr>
          <w:rFonts w:ascii="Cambria" w:hAnsi="Cambria"/>
          <w:b/>
          <w:color w:val="auto"/>
          <w:sz w:val="30"/>
          <w:szCs w:val="32"/>
        </w:rPr>
        <w:t>4.2</w:t>
      </w:r>
      <w:r>
        <w:rPr>
          <w:rFonts w:hint="eastAsia" w:ascii="Cambria" w:hAnsi="Cambria"/>
          <w:b/>
          <w:color w:val="auto"/>
          <w:sz w:val="30"/>
          <w:szCs w:val="32"/>
        </w:rPr>
        <w:t xml:space="preserve"> </w:t>
      </w:r>
      <w:r>
        <w:rPr>
          <w:rFonts w:ascii="Cambria" w:hAnsi="Cambria"/>
          <w:b/>
          <w:color w:val="auto"/>
          <w:sz w:val="30"/>
          <w:szCs w:val="32"/>
        </w:rPr>
        <w:t>评价单元</w:t>
      </w:r>
      <w:bookmarkEnd w:id="106"/>
      <w:bookmarkEnd w:id="107"/>
      <w:r>
        <w:rPr>
          <w:rFonts w:hint="eastAsia" w:ascii="Cambria" w:hAnsi="Cambria"/>
          <w:b/>
          <w:color w:val="auto"/>
          <w:sz w:val="30"/>
          <w:szCs w:val="32"/>
        </w:rPr>
        <w:t>的划分</w:t>
      </w:r>
      <w:bookmarkEnd w:id="108"/>
      <w:bookmarkEnd w:id="109"/>
      <w:r>
        <w:rPr>
          <w:rFonts w:hint="eastAsia" w:ascii="Cambria" w:hAnsi="Cambria"/>
          <w:b/>
          <w:color w:val="auto"/>
          <w:sz w:val="30"/>
          <w:szCs w:val="32"/>
        </w:rPr>
        <w:t>结果</w:t>
      </w:r>
      <w:bookmarkEnd w:id="110"/>
    </w:p>
    <w:p>
      <w:pPr>
        <w:spacing w:line="600" w:lineRule="exact"/>
        <w:ind w:firstLine="568" w:firstLineChars="203"/>
        <w:rPr>
          <w:color w:val="auto"/>
          <w:sz w:val="28"/>
        </w:rPr>
      </w:pPr>
      <w:r>
        <w:rPr>
          <w:rFonts w:hint="eastAsia"/>
          <w:color w:val="auto"/>
          <w:sz w:val="28"/>
        </w:rPr>
        <w:t>根据江西鑫立莱生化有限责任公司年产芸苔素内酯原药5千kg、制剂3万吨项目的实际情况，结合对该公司危险、有害因素的分析，依据安全评价要求，本项目确定评价单元如下：</w:t>
      </w:r>
    </w:p>
    <w:p>
      <w:pPr>
        <w:spacing w:line="600" w:lineRule="exact"/>
        <w:ind w:firstLine="568" w:firstLineChars="203"/>
        <w:rPr>
          <w:color w:val="auto"/>
          <w:sz w:val="28"/>
        </w:rPr>
      </w:pPr>
      <w:r>
        <w:rPr>
          <w:rFonts w:hint="eastAsia"/>
          <w:color w:val="auto"/>
          <w:sz w:val="28"/>
        </w:rPr>
        <w:t>单元一：项目选址与周边环境单元。</w:t>
      </w:r>
    </w:p>
    <w:p>
      <w:pPr>
        <w:spacing w:line="600" w:lineRule="exact"/>
        <w:ind w:firstLine="568" w:firstLineChars="203"/>
        <w:rPr>
          <w:color w:val="auto"/>
          <w:sz w:val="28"/>
        </w:rPr>
      </w:pPr>
      <w:r>
        <w:rPr>
          <w:rFonts w:hint="eastAsia"/>
          <w:color w:val="auto"/>
          <w:sz w:val="28"/>
        </w:rPr>
        <w:t>单元二：平面布置及建构筑物单元</w:t>
      </w:r>
    </w:p>
    <w:p>
      <w:pPr>
        <w:spacing w:line="600" w:lineRule="exact"/>
        <w:ind w:firstLine="568" w:firstLineChars="203"/>
        <w:rPr>
          <w:color w:val="auto"/>
          <w:sz w:val="28"/>
        </w:rPr>
      </w:pPr>
      <w:r>
        <w:rPr>
          <w:rFonts w:hint="eastAsia"/>
          <w:color w:val="auto"/>
          <w:sz w:val="28"/>
        </w:rPr>
        <w:t>单元三：生产工艺装置单元</w:t>
      </w:r>
    </w:p>
    <w:p>
      <w:pPr>
        <w:spacing w:line="600" w:lineRule="exact"/>
        <w:ind w:firstLine="1120" w:firstLineChars="400"/>
        <w:rPr>
          <w:color w:val="auto"/>
          <w:sz w:val="28"/>
        </w:rPr>
      </w:pPr>
      <w:r>
        <w:rPr>
          <w:rFonts w:hint="eastAsia"/>
          <w:color w:val="auto"/>
          <w:sz w:val="28"/>
        </w:rPr>
        <w:t>1）</w:t>
      </w:r>
      <w:r>
        <w:rPr>
          <w:color w:val="auto"/>
          <w:sz w:val="28"/>
        </w:rPr>
        <w:t>101</w:t>
      </w:r>
      <w:r>
        <w:rPr>
          <w:rFonts w:hint="eastAsia"/>
          <w:color w:val="auto"/>
          <w:sz w:val="28"/>
        </w:rPr>
        <w:t>甲类车间一子单元</w:t>
      </w:r>
    </w:p>
    <w:p>
      <w:pPr>
        <w:spacing w:line="600" w:lineRule="exact"/>
        <w:ind w:firstLine="1120" w:firstLineChars="400"/>
        <w:rPr>
          <w:color w:val="auto"/>
          <w:sz w:val="28"/>
        </w:rPr>
      </w:pPr>
      <w:r>
        <w:rPr>
          <w:color w:val="auto"/>
          <w:sz w:val="28"/>
        </w:rPr>
        <w:t>2</w:t>
      </w:r>
      <w:r>
        <w:rPr>
          <w:rFonts w:hint="eastAsia"/>
          <w:color w:val="auto"/>
          <w:sz w:val="28"/>
        </w:rPr>
        <w:t>）1</w:t>
      </w:r>
      <w:r>
        <w:rPr>
          <w:color w:val="auto"/>
          <w:sz w:val="28"/>
        </w:rPr>
        <w:t>03</w:t>
      </w:r>
      <w:r>
        <w:rPr>
          <w:rFonts w:hint="eastAsia"/>
          <w:color w:val="auto"/>
          <w:sz w:val="28"/>
        </w:rPr>
        <w:t>液体制剂车间子单元</w:t>
      </w:r>
    </w:p>
    <w:p>
      <w:pPr>
        <w:spacing w:line="600" w:lineRule="exact"/>
        <w:ind w:firstLine="1120" w:firstLineChars="400"/>
        <w:rPr>
          <w:color w:val="auto"/>
          <w:sz w:val="28"/>
        </w:rPr>
      </w:pPr>
      <w:r>
        <w:rPr>
          <w:color w:val="auto"/>
          <w:sz w:val="28"/>
        </w:rPr>
        <w:t>3</w:t>
      </w:r>
      <w:r>
        <w:rPr>
          <w:rFonts w:hint="eastAsia"/>
          <w:color w:val="auto"/>
          <w:sz w:val="28"/>
        </w:rPr>
        <w:t>）1</w:t>
      </w:r>
      <w:r>
        <w:rPr>
          <w:color w:val="auto"/>
          <w:sz w:val="28"/>
        </w:rPr>
        <w:t>04</w:t>
      </w:r>
      <w:r>
        <w:rPr>
          <w:rFonts w:hint="eastAsia"/>
          <w:color w:val="auto"/>
          <w:sz w:val="28"/>
        </w:rPr>
        <w:t>颗粒剂车间子单元</w:t>
      </w:r>
    </w:p>
    <w:p>
      <w:pPr>
        <w:spacing w:line="600" w:lineRule="exact"/>
        <w:ind w:firstLine="568" w:firstLineChars="203"/>
        <w:rPr>
          <w:color w:val="auto"/>
          <w:sz w:val="28"/>
        </w:rPr>
      </w:pPr>
      <w:r>
        <w:rPr>
          <w:rFonts w:hint="eastAsia"/>
          <w:color w:val="auto"/>
          <w:sz w:val="28"/>
        </w:rPr>
        <w:t>单元四：公用工程及辅助系统</w:t>
      </w:r>
    </w:p>
    <w:p>
      <w:pPr>
        <w:spacing w:line="600" w:lineRule="exact"/>
        <w:ind w:firstLine="1120" w:firstLineChars="400"/>
        <w:rPr>
          <w:color w:val="auto"/>
          <w:sz w:val="28"/>
        </w:rPr>
      </w:pPr>
      <w:r>
        <w:rPr>
          <w:rFonts w:hint="eastAsia"/>
          <w:color w:val="auto"/>
          <w:sz w:val="28"/>
        </w:rPr>
        <w:t>1）电气子单元</w:t>
      </w:r>
    </w:p>
    <w:p>
      <w:pPr>
        <w:spacing w:line="600" w:lineRule="exact"/>
        <w:ind w:firstLine="1120" w:firstLineChars="400"/>
        <w:rPr>
          <w:color w:val="auto"/>
          <w:sz w:val="28"/>
        </w:rPr>
      </w:pPr>
      <w:r>
        <w:rPr>
          <w:rFonts w:hint="eastAsia"/>
          <w:color w:val="auto"/>
          <w:sz w:val="28"/>
        </w:rPr>
        <w:t>2）仪表自动控制系统子单元</w:t>
      </w:r>
    </w:p>
    <w:p>
      <w:pPr>
        <w:spacing w:line="600" w:lineRule="exact"/>
        <w:ind w:firstLine="1120" w:firstLineChars="400"/>
        <w:rPr>
          <w:color w:val="auto"/>
          <w:sz w:val="28"/>
        </w:rPr>
      </w:pPr>
      <w:r>
        <w:rPr>
          <w:rFonts w:hint="eastAsia"/>
          <w:color w:val="auto"/>
          <w:sz w:val="28"/>
        </w:rPr>
        <w:t>3）给排水子单元</w:t>
      </w:r>
    </w:p>
    <w:p>
      <w:pPr>
        <w:spacing w:line="600" w:lineRule="exact"/>
        <w:ind w:firstLine="1120" w:firstLineChars="400"/>
        <w:rPr>
          <w:color w:val="auto"/>
          <w:sz w:val="28"/>
        </w:rPr>
      </w:pPr>
      <w:r>
        <w:rPr>
          <w:rFonts w:hint="eastAsia"/>
          <w:color w:val="auto"/>
          <w:sz w:val="28"/>
        </w:rPr>
        <w:t>4）空压子单元</w:t>
      </w:r>
    </w:p>
    <w:p>
      <w:pPr>
        <w:spacing w:line="600" w:lineRule="exact"/>
        <w:ind w:firstLine="568" w:firstLineChars="203"/>
        <w:rPr>
          <w:color w:val="auto"/>
          <w:sz w:val="28"/>
        </w:rPr>
      </w:pPr>
      <w:r>
        <w:rPr>
          <w:rFonts w:hint="eastAsia"/>
          <w:color w:val="auto"/>
          <w:sz w:val="28"/>
        </w:rPr>
        <w:t>单元五：储运系统单元</w:t>
      </w:r>
    </w:p>
    <w:p>
      <w:pPr>
        <w:spacing w:line="600" w:lineRule="exact"/>
        <w:ind w:firstLine="568" w:firstLineChars="203"/>
        <w:rPr>
          <w:color w:val="auto"/>
          <w:sz w:val="28"/>
        </w:rPr>
      </w:pPr>
      <w:r>
        <w:rPr>
          <w:rFonts w:hint="eastAsia"/>
          <w:color w:val="auto"/>
          <w:sz w:val="28"/>
        </w:rPr>
        <w:t>单元六：特种设备单元</w:t>
      </w:r>
    </w:p>
    <w:p>
      <w:pPr>
        <w:spacing w:line="600" w:lineRule="exact"/>
        <w:ind w:firstLine="568" w:firstLineChars="203"/>
        <w:rPr>
          <w:color w:val="auto"/>
          <w:sz w:val="28"/>
        </w:rPr>
      </w:pPr>
      <w:r>
        <w:rPr>
          <w:rFonts w:hint="eastAsia"/>
          <w:color w:val="auto"/>
          <w:sz w:val="28"/>
        </w:rPr>
        <w:t>单元七：消防单元</w:t>
      </w:r>
    </w:p>
    <w:p>
      <w:pPr>
        <w:spacing w:line="600" w:lineRule="exact"/>
        <w:ind w:firstLine="568" w:firstLineChars="203"/>
        <w:rPr>
          <w:color w:val="auto"/>
          <w:sz w:val="28"/>
        </w:rPr>
      </w:pPr>
      <w:r>
        <w:rPr>
          <w:rFonts w:hint="eastAsia"/>
          <w:color w:val="auto"/>
          <w:sz w:val="28"/>
        </w:rPr>
        <w:t>单元八：安全管理单元</w:t>
      </w:r>
    </w:p>
    <w:p>
      <w:pPr>
        <w:keepNext/>
        <w:keepLines/>
        <w:pageBreakBefore/>
        <w:widowControl/>
        <w:spacing w:line="600" w:lineRule="exact"/>
        <w:jc w:val="left"/>
        <w:outlineLvl w:val="0"/>
        <w:rPr>
          <w:rFonts w:ascii="Calibri" w:hAnsi="Calibri"/>
          <w:b/>
          <w:color w:val="auto"/>
          <w:kern w:val="44"/>
          <w:sz w:val="32"/>
          <w:szCs w:val="44"/>
        </w:rPr>
      </w:pPr>
      <w:bookmarkStart w:id="111" w:name="_Toc35435431"/>
      <w:bookmarkStart w:id="112" w:name="_Toc28676"/>
      <w:bookmarkStart w:id="113" w:name="_Toc31782"/>
      <w:bookmarkStart w:id="114" w:name="_Toc144109186"/>
      <w:r>
        <w:rPr>
          <w:rFonts w:ascii="Calibri" w:hAnsi="Calibri"/>
          <w:b/>
          <w:color w:val="auto"/>
          <w:kern w:val="44"/>
          <w:sz w:val="32"/>
          <w:szCs w:val="44"/>
        </w:rPr>
        <w:t>5.</w:t>
      </w:r>
      <w:r>
        <w:rPr>
          <w:rFonts w:hint="eastAsia" w:ascii="Calibri" w:hAnsi="Calibri"/>
          <w:b/>
          <w:color w:val="auto"/>
          <w:kern w:val="44"/>
          <w:sz w:val="32"/>
          <w:szCs w:val="44"/>
        </w:rPr>
        <w:t>采用的安全</w:t>
      </w:r>
      <w:r>
        <w:rPr>
          <w:rFonts w:ascii="Calibri" w:hAnsi="Calibri"/>
          <w:b/>
          <w:color w:val="auto"/>
          <w:kern w:val="44"/>
          <w:sz w:val="32"/>
          <w:szCs w:val="44"/>
        </w:rPr>
        <w:t>评价方法</w:t>
      </w:r>
      <w:bookmarkEnd w:id="111"/>
      <w:bookmarkEnd w:id="112"/>
      <w:bookmarkEnd w:id="113"/>
      <w:r>
        <w:rPr>
          <w:rFonts w:hint="eastAsia" w:ascii="Calibri" w:hAnsi="Calibri"/>
          <w:b/>
          <w:color w:val="auto"/>
          <w:kern w:val="44"/>
          <w:sz w:val="32"/>
          <w:szCs w:val="44"/>
        </w:rPr>
        <w:t>及理由说明</w:t>
      </w:r>
      <w:bookmarkEnd w:id="114"/>
    </w:p>
    <w:p>
      <w:pPr>
        <w:keepNext/>
        <w:keepLines/>
        <w:spacing w:line="600" w:lineRule="exact"/>
        <w:jc w:val="left"/>
        <w:outlineLvl w:val="1"/>
        <w:rPr>
          <w:b/>
          <w:color w:val="auto"/>
          <w:sz w:val="30"/>
          <w:szCs w:val="30"/>
        </w:rPr>
      </w:pPr>
      <w:bookmarkStart w:id="115" w:name="_Toc20156"/>
      <w:bookmarkStart w:id="116" w:name="_Toc35435432"/>
      <w:bookmarkStart w:id="117" w:name="_Toc144109187"/>
      <w:r>
        <w:rPr>
          <w:b/>
          <w:color w:val="auto"/>
          <w:sz w:val="30"/>
          <w:szCs w:val="30"/>
        </w:rPr>
        <w:t>5.1</w:t>
      </w:r>
      <w:r>
        <w:rPr>
          <w:rFonts w:hint="eastAsia"/>
          <w:b/>
          <w:color w:val="auto"/>
          <w:sz w:val="30"/>
          <w:szCs w:val="30"/>
        </w:rPr>
        <w:t xml:space="preserve"> 采用的安全评价方法理由及说明</w:t>
      </w:r>
      <w:bookmarkEnd w:id="115"/>
      <w:bookmarkEnd w:id="116"/>
      <w:bookmarkEnd w:id="117"/>
    </w:p>
    <w:p>
      <w:pPr>
        <w:spacing w:line="360" w:lineRule="auto"/>
        <w:ind w:firstLine="560" w:firstLineChars="200"/>
        <w:jc w:val="left"/>
        <w:rPr>
          <w:color w:val="auto"/>
          <w:sz w:val="28"/>
          <w:szCs w:val="28"/>
        </w:rPr>
      </w:pPr>
      <w:r>
        <w:rPr>
          <w:rFonts w:hint="eastAsia" w:ascii="宋体" w:hAnsi="宋体"/>
          <w:color w:val="auto"/>
          <w:sz w:val="28"/>
          <w:szCs w:val="28"/>
        </w:rPr>
        <w:t>本报告中各单元评价方法的选用，是在评价组认真分析并熟悉被评价系统、充分掌握了该项目所需资料的基础上，根据各种安全评价方法的优缺点、适用条件和范围进行的。</w:t>
      </w:r>
    </w:p>
    <w:p>
      <w:pPr>
        <w:spacing w:line="360" w:lineRule="auto"/>
        <w:ind w:firstLine="560" w:firstLineChars="200"/>
        <w:jc w:val="left"/>
        <w:rPr>
          <w:color w:val="auto"/>
          <w:sz w:val="28"/>
          <w:szCs w:val="28"/>
        </w:rPr>
      </w:pPr>
      <w:r>
        <w:rPr>
          <w:rFonts w:hint="eastAsia" w:ascii="宋体" w:hAnsi="宋体"/>
          <w:color w:val="auto"/>
          <w:sz w:val="28"/>
          <w:szCs w:val="28"/>
        </w:rPr>
        <w:t>为提高评价结果的可靠性，我们对工艺装置单元、公辅设施单元分别采用多种评价方法，从不同角度、不同方面，全面检查、重点突出。这些评价方法，互相补充、分析综合和互相验证。</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1.安全检查表法</w:t>
      </w:r>
    </w:p>
    <w:p>
      <w:pPr>
        <w:pStyle w:val="72"/>
        <w:spacing w:line="360" w:lineRule="auto"/>
        <w:ind w:firstLine="560"/>
        <w:jc w:val="left"/>
        <w:rPr>
          <w:color w:val="auto"/>
        </w:rPr>
      </w:pPr>
      <w:r>
        <w:rPr>
          <w:rFonts w:hint="eastAsia"/>
          <w:color w:val="auto"/>
        </w:rPr>
        <w:t>可以较全面的检查和评价该项目评价单元的危险因素和薄弱环节；检查出《可研》中没有涉及到的安全措施。因此，本报告中选址与周边环境、平面布置与建构筑物单元、消防单元采用安全检查表法。</w:t>
      </w:r>
    </w:p>
    <w:p>
      <w:pPr>
        <w:pStyle w:val="72"/>
        <w:spacing w:line="360" w:lineRule="auto"/>
        <w:ind w:firstLine="562"/>
        <w:jc w:val="left"/>
        <w:rPr>
          <w:b/>
          <w:color w:val="auto"/>
        </w:rPr>
      </w:pPr>
      <w:r>
        <w:rPr>
          <w:rFonts w:hint="eastAsia"/>
          <w:b/>
          <w:color w:val="auto"/>
        </w:rPr>
        <w:t>2.预先危险分析法</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能够在该项目具体设计开始之前，识别可能的危险，用较少的费用和时间就能改正；从一开始就能消除、减小或控制主要的危险；优化新的设计方案。进行预先危险分析，可以充分了解装置可能出现的事故危害，找出消除或减轻事故危险的控制措施。对每一种可能发生的事故做到提前防范，严密控制，最大限度地降低事故的严重度和发生的概率。因此，本报告对生产装置单元、公用工程及辅助设施单元、储运单元、特种设备单元选择预先危险分析分析法进行评价。</w:t>
      </w:r>
    </w:p>
    <w:p>
      <w:pPr>
        <w:spacing w:line="360" w:lineRule="auto"/>
        <w:ind w:firstLine="562" w:firstLineChars="200"/>
        <w:jc w:val="left"/>
        <w:rPr>
          <w:rFonts w:ascii="宋体" w:hAnsi="宋体"/>
          <w:b/>
          <w:color w:val="auto"/>
          <w:sz w:val="28"/>
          <w:szCs w:val="28"/>
        </w:rPr>
      </w:pPr>
      <w:r>
        <w:rPr>
          <w:rFonts w:hint="eastAsia" w:ascii="黑体" w:hAnsi="黑体" w:eastAsia="黑体"/>
          <w:b/>
          <w:color w:val="auto"/>
          <w:sz w:val="28"/>
          <w:szCs w:val="28"/>
        </w:rPr>
        <w:t>3.</w:t>
      </w:r>
      <w:r>
        <w:rPr>
          <w:rFonts w:hint="eastAsia" w:ascii="宋体" w:hAnsi="宋体"/>
          <w:b/>
          <w:color w:val="auto"/>
          <w:sz w:val="28"/>
          <w:szCs w:val="28"/>
        </w:rPr>
        <w:t>危险度评价法</w:t>
      </w:r>
    </w:p>
    <w:p>
      <w:pPr>
        <w:rPr>
          <w:color w:val="auto"/>
        </w:rPr>
      </w:pPr>
      <w:r>
        <w:rPr>
          <w:rFonts w:hint="eastAsia" w:ascii="宋体" w:hAnsi="宋体"/>
          <w:color w:val="auto"/>
          <w:sz w:val="28"/>
          <w:szCs w:val="28"/>
        </w:rPr>
        <w:t>危险度评价法是对建设工程或装置各单元和设备的危险度进行分级的安全评价方法，是随着我国安全工作的发展从日本引进并经简化的评价方法。该方法主要是通过评价、分析装置或单元的“介质”、“容量”、“温度”、“压力”、“操作”等5个参数而对装置或单元进行危险度分级的，进而根据装置或单元危险程度而采取相应的安全对策措施。 其危险度分别按A=10分。B=5分，C=2分，D=0分赋值计算，由累计分值确定单元危险度。因此，本报告对生产装置单元选择危险度分析法进行评价。</w:t>
      </w:r>
    </w:p>
    <w:p>
      <w:pPr>
        <w:spacing w:line="600" w:lineRule="exact"/>
        <w:ind w:firstLine="571" w:firstLineChars="203"/>
        <w:rPr>
          <w:b/>
          <w:bCs/>
          <w:color w:val="auto"/>
          <w:sz w:val="28"/>
        </w:rPr>
      </w:pPr>
      <w:r>
        <w:rPr>
          <w:rFonts w:hint="eastAsia"/>
          <w:b/>
          <w:bCs/>
          <w:color w:val="auto"/>
          <w:sz w:val="28"/>
        </w:rPr>
        <w:t>4</w:t>
      </w:r>
      <w:r>
        <w:rPr>
          <w:b/>
          <w:bCs/>
          <w:color w:val="auto"/>
          <w:sz w:val="28"/>
        </w:rPr>
        <w:t>.</w:t>
      </w:r>
      <w:r>
        <w:rPr>
          <w:rFonts w:hint="eastAsia"/>
          <w:b/>
          <w:bCs/>
          <w:color w:val="auto"/>
          <w:sz w:val="28"/>
        </w:rPr>
        <w:t>定量风险评价法</w:t>
      </w:r>
    </w:p>
    <w:p>
      <w:pPr>
        <w:ind w:firstLine="560" w:firstLineChars="200"/>
        <w:rPr>
          <w:color w:val="auto"/>
        </w:rPr>
      </w:pPr>
      <w:r>
        <w:rPr>
          <w:rFonts w:hint="eastAsia" w:ascii="宋体" w:hAnsi="宋体"/>
          <w:color w:val="auto"/>
          <w:sz w:val="28"/>
          <w:szCs w:val="28"/>
        </w:rPr>
        <w:t>是对危险化学品生产、储存装置发生事故频率和后果进行定量分析和计算，以可接受风险标准确定外部安全防护距离的方法。</w:t>
      </w:r>
    </w:p>
    <w:p>
      <w:pPr>
        <w:keepNext/>
        <w:keepLines/>
        <w:spacing w:line="600" w:lineRule="exact"/>
        <w:jc w:val="left"/>
        <w:outlineLvl w:val="1"/>
        <w:rPr>
          <w:b/>
          <w:color w:val="auto"/>
          <w:sz w:val="30"/>
          <w:szCs w:val="30"/>
        </w:rPr>
      </w:pPr>
      <w:bookmarkStart w:id="118" w:name="_Toc144109188"/>
      <w:bookmarkStart w:id="119" w:name="_Toc35435433"/>
      <w:bookmarkStart w:id="120" w:name="_Toc25574"/>
      <w:r>
        <w:rPr>
          <w:b/>
          <w:color w:val="auto"/>
          <w:sz w:val="30"/>
          <w:szCs w:val="30"/>
        </w:rPr>
        <w:t>5.2</w:t>
      </w:r>
      <w:r>
        <w:rPr>
          <w:rFonts w:hint="eastAsia"/>
          <w:b/>
          <w:color w:val="auto"/>
          <w:sz w:val="30"/>
          <w:szCs w:val="30"/>
        </w:rPr>
        <w:t xml:space="preserve"> </w:t>
      </w:r>
      <w:r>
        <w:rPr>
          <w:b/>
          <w:color w:val="auto"/>
          <w:sz w:val="30"/>
          <w:szCs w:val="30"/>
        </w:rPr>
        <w:t>评价方法简介</w:t>
      </w:r>
      <w:bookmarkEnd w:id="118"/>
      <w:bookmarkEnd w:id="119"/>
      <w:bookmarkEnd w:id="120"/>
    </w:p>
    <w:p>
      <w:pPr>
        <w:pStyle w:val="2"/>
        <w:ind w:firstLine="560" w:firstLineChars="200"/>
        <w:rPr>
          <w:color w:val="auto"/>
          <w:sz w:val="28"/>
          <w:szCs w:val="28"/>
        </w:rPr>
      </w:pPr>
      <w:r>
        <w:rPr>
          <w:color w:val="auto"/>
          <w:sz w:val="28"/>
          <w:szCs w:val="28"/>
        </w:rPr>
        <w:t>（1）预先危险性分析评价（PHA）</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预先危险分析分析（Preliminary Hazard Analysis，简称PHA）是在进行某项工程活动（包括设计、施工、生产、维修等）之前，对系统存在的各种危险因素（类别、分布）、出现条件和事故可能造成的后果进行宏观、概略分析的系统安全分析方法。其目的是早期发现系统的潜在危险因素，确定系统的危险性等级，提出相应的防范措施，防止这些危险因素发展成为事故，避免考虑不周所造成的损失。</w:t>
      </w:r>
    </w:p>
    <w:p>
      <w:pPr>
        <w:spacing w:line="360" w:lineRule="auto"/>
        <w:ind w:firstLine="437"/>
        <w:rPr>
          <w:rFonts w:ascii="宋体" w:hAnsi="宋体"/>
          <w:color w:val="auto"/>
          <w:sz w:val="28"/>
          <w:szCs w:val="28"/>
        </w:rPr>
      </w:pPr>
      <w:r>
        <w:rPr>
          <w:rFonts w:hint="eastAsia" w:ascii="宋体" w:hAnsi="宋体"/>
          <w:color w:val="auto"/>
          <w:sz w:val="28"/>
          <w:szCs w:val="28"/>
        </w:rPr>
        <w:t>分析步骤如下：</w:t>
      </w:r>
    </w:p>
    <w:p>
      <w:pPr>
        <w:spacing w:line="360" w:lineRule="auto"/>
        <w:ind w:firstLine="437"/>
        <w:rPr>
          <w:rFonts w:ascii="宋体" w:hAnsi="宋体"/>
          <w:color w:val="auto"/>
          <w:sz w:val="28"/>
          <w:szCs w:val="28"/>
        </w:rPr>
      </w:pPr>
      <w:r>
        <w:rPr>
          <w:rFonts w:hint="eastAsia" w:ascii="宋体" w:hAnsi="宋体"/>
          <w:color w:val="auto"/>
          <w:sz w:val="28"/>
          <w:szCs w:val="28"/>
        </w:rPr>
        <w:t>1)熟悉对象系统。</w:t>
      </w:r>
    </w:p>
    <w:p>
      <w:pPr>
        <w:spacing w:line="360" w:lineRule="auto"/>
        <w:ind w:firstLine="437"/>
        <w:rPr>
          <w:rFonts w:ascii="宋体" w:hAnsi="宋体"/>
          <w:color w:val="auto"/>
          <w:sz w:val="28"/>
          <w:szCs w:val="28"/>
        </w:rPr>
      </w:pPr>
      <w:r>
        <w:rPr>
          <w:rFonts w:hint="eastAsia" w:ascii="宋体" w:hAnsi="宋体"/>
          <w:color w:val="auto"/>
          <w:sz w:val="28"/>
          <w:szCs w:val="28"/>
        </w:rPr>
        <w:t>2)分析危险、有害因素和诱导因素。</w:t>
      </w:r>
    </w:p>
    <w:p>
      <w:pPr>
        <w:spacing w:line="360" w:lineRule="auto"/>
        <w:ind w:firstLine="437"/>
        <w:rPr>
          <w:rFonts w:ascii="宋体" w:hAnsi="宋体"/>
          <w:color w:val="auto"/>
          <w:sz w:val="28"/>
          <w:szCs w:val="28"/>
        </w:rPr>
      </w:pPr>
      <w:r>
        <w:rPr>
          <w:rFonts w:hint="eastAsia" w:ascii="宋体" w:hAnsi="宋体"/>
          <w:color w:val="auto"/>
          <w:sz w:val="28"/>
          <w:szCs w:val="28"/>
        </w:rPr>
        <w:t>3)推测可能导致的事故类型和危险、危害程度。</w:t>
      </w:r>
    </w:p>
    <w:p>
      <w:pPr>
        <w:spacing w:line="360" w:lineRule="auto"/>
        <w:ind w:firstLine="437"/>
        <w:rPr>
          <w:rFonts w:ascii="宋体" w:hAnsi="宋体"/>
          <w:color w:val="auto"/>
          <w:sz w:val="28"/>
          <w:szCs w:val="28"/>
        </w:rPr>
      </w:pPr>
      <w:r>
        <w:rPr>
          <w:rFonts w:hint="eastAsia" w:ascii="宋体" w:hAnsi="宋体"/>
          <w:color w:val="auto"/>
          <w:sz w:val="28"/>
          <w:szCs w:val="28"/>
        </w:rPr>
        <w:t>4)确定危险、有害因素后果的危险等级。</w:t>
      </w:r>
    </w:p>
    <w:p>
      <w:pPr>
        <w:spacing w:line="360" w:lineRule="auto"/>
        <w:ind w:firstLine="420" w:firstLineChars="150"/>
        <w:rPr>
          <w:rFonts w:ascii="宋体" w:hAnsi="宋体"/>
          <w:color w:val="auto"/>
          <w:sz w:val="28"/>
          <w:szCs w:val="28"/>
        </w:rPr>
      </w:pPr>
      <w:r>
        <w:rPr>
          <w:rFonts w:hint="eastAsia" w:ascii="宋体" w:hAnsi="宋体"/>
          <w:color w:val="auto"/>
          <w:sz w:val="28"/>
          <w:szCs w:val="28"/>
        </w:rPr>
        <w:t>5)制定相应安全措施。</w:t>
      </w:r>
    </w:p>
    <w:p>
      <w:pPr>
        <w:spacing w:line="360" w:lineRule="auto"/>
        <w:ind w:firstLine="560" w:firstLineChars="200"/>
        <w:rPr>
          <w:rFonts w:ascii="宋体" w:hAnsi="宋体"/>
          <w:b/>
          <w:color w:val="auto"/>
        </w:rPr>
      </w:pPr>
      <w:r>
        <w:rPr>
          <w:rFonts w:hint="eastAsia" w:ascii="宋体" w:hAnsi="宋体"/>
          <w:color w:val="auto"/>
          <w:sz w:val="28"/>
          <w:szCs w:val="28"/>
        </w:rPr>
        <w:t>常用的预先危险分析分析表如表5-</w:t>
      </w:r>
      <w:r>
        <w:rPr>
          <w:rFonts w:ascii="宋体" w:hAnsi="宋体"/>
          <w:color w:val="auto"/>
          <w:sz w:val="28"/>
          <w:szCs w:val="28"/>
        </w:rPr>
        <w:t>1</w:t>
      </w:r>
      <w:r>
        <w:rPr>
          <w:rFonts w:hint="eastAsia" w:ascii="宋体" w:hAnsi="宋体"/>
          <w:color w:val="auto"/>
          <w:sz w:val="28"/>
          <w:szCs w:val="28"/>
        </w:rPr>
        <w:t>所示。危险性等级划分见表5-</w:t>
      </w:r>
      <w:r>
        <w:rPr>
          <w:rFonts w:ascii="宋体" w:hAnsi="宋体"/>
          <w:color w:val="auto"/>
          <w:sz w:val="28"/>
          <w:szCs w:val="28"/>
        </w:rPr>
        <w:t>2</w:t>
      </w:r>
      <w:r>
        <w:rPr>
          <w:rFonts w:hint="eastAsia" w:ascii="宋体" w:hAnsi="宋体"/>
          <w:color w:val="auto"/>
          <w:sz w:val="28"/>
          <w:szCs w:val="28"/>
        </w:rPr>
        <w:t>。</w:t>
      </w:r>
    </w:p>
    <w:p>
      <w:pPr>
        <w:jc w:val="center"/>
        <w:rPr>
          <w:rFonts w:ascii="宋体" w:hAnsi="宋体"/>
          <w:color w:val="auto"/>
        </w:rPr>
      </w:pPr>
      <w:r>
        <w:rPr>
          <w:rFonts w:hint="eastAsia" w:ascii="宋体" w:hAnsi="宋体"/>
          <w:color w:val="auto"/>
        </w:rPr>
        <w:t>表5-</w:t>
      </w:r>
      <w:r>
        <w:rPr>
          <w:rFonts w:ascii="宋体" w:hAnsi="宋体"/>
          <w:color w:val="auto"/>
        </w:rPr>
        <w:t>1</w:t>
      </w:r>
      <w:r>
        <w:rPr>
          <w:rFonts w:hint="eastAsia" w:ascii="宋体" w:hAnsi="宋体"/>
          <w:color w:val="auto"/>
        </w:rPr>
        <w:t xml:space="preserve">  预先危险分析分析表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93"/>
        <w:gridCol w:w="1195"/>
        <w:gridCol w:w="1195"/>
        <w:gridCol w:w="2051"/>
        <w:gridCol w:w="1305"/>
        <w:gridCol w:w="10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0" w:hRule="atLeast"/>
          <w:jc w:val="center"/>
        </w:trPr>
        <w:tc>
          <w:tcPr>
            <w:tcW w:w="1193" w:type="dxa"/>
            <w:tcBorders>
              <w:top w:val="single" w:color="auto" w:sz="12"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事故</w:t>
            </w:r>
          </w:p>
        </w:tc>
        <w:tc>
          <w:tcPr>
            <w:tcW w:w="1195"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阶段</w:t>
            </w:r>
          </w:p>
        </w:tc>
        <w:tc>
          <w:tcPr>
            <w:tcW w:w="1195"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触发事件</w:t>
            </w:r>
          </w:p>
        </w:tc>
        <w:tc>
          <w:tcPr>
            <w:tcW w:w="2051"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事故后果</w:t>
            </w:r>
          </w:p>
        </w:tc>
        <w:tc>
          <w:tcPr>
            <w:tcW w:w="1305"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危险等级</w:t>
            </w:r>
          </w:p>
        </w:tc>
        <w:tc>
          <w:tcPr>
            <w:tcW w:w="1072" w:type="dxa"/>
            <w:tcBorders>
              <w:top w:val="single" w:color="auto" w:sz="12"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措施建议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2" w:hRule="atLeast"/>
          <w:jc w:val="center"/>
        </w:trPr>
        <w:tc>
          <w:tcPr>
            <w:tcW w:w="1193" w:type="dxa"/>
            <w:tcBorders>
              <w:top w:val="single" w:color="auto" w:sz="6" w:space="0"/>
              <w:left w:val="single" w:color="auto" w:sz="12" w:space="0"/>
              <w:bottom w:val="single" w:color="auto" w:sz="12" w:space="0"/>
              <w:right w:val="single" w:color="auto" w:sz="6" w:space="0"/>
            </w:tcBorders>
            <w:vAlign w:val="center"/>
          </w:tcPr>
          <w:p>
            <w:pPr>
              <w:spacing w:line="200" w:lineRule="exact"/>
              <w:jc w:val="center"/>
              <w:rPr>
                <w:rFonts w:ascii="宋体" w:hAnsi="宋体"/>
                <w:color w:val="auto"/>
              </w:rPr>
            </w:pPr>
          </w:p>
        </w:tc>
        <w:tc>
          <w:tcPr>
            <w:tcW w:w="1195" w:type="dxa"/>
            <w:tcBorders>
              <w:top w:val="single" w:color="auto" w:sz="6" w:space="0"/>
              <w:left w:val="single" w:color="auto" w:sz="6" w:space="0"/>
              <w:bottom w:val="single" w:color="auto" w:sz="12" w:space="0"/>
              <w:right w:val="single" w:color="auto" w:sz="6" w:space="0"/>
            </w:tcBorders>
            <w:vAlign w:val="center"/>
          </w:tcPr>
          <w:p>
            <w:pPr>
              <w:spacing w:line="200" w:lineRule="exact"/>
              <w:jc w:val="center"/>
              <w:rPr>
                <w:rFonts w:ascii="宋体" w:hAnsi="宋体"/>
                <w:color w:val="auto"/>
              </w:rPr>
            </w:pPr>
          </w:p>
        </w:tc>
        <w:tc>
          <w:tcPr>
            <w:tcW w:w="1195" w:type="dxa"/>
            <w:tcBorders>
              <w:top w:val="single" w:color="auto" w:sz="6" w:space="0"/>
              <w:left w:val="single" w:color="auto" w:sz="6" w:space="0"/>
              <w:bottom w:val="single" w:color="auto" w:sz="12" w:space="0"/>
              <w:right w:val="single" w:color="auto" w:sz="6" w:space="0"/>
            </w:tcBorders>
            <w:vAlign w:val="center"/>
          </w:tcPr>
          <w:p>
            <w:pPr>
              <w:spacing w:line="200" w:lineRule="exact"/>
              <w:jc w:val="center"/>
              <w:rPr>
                <w:rFonts w:ascii="宋体" w:hAnsi="宋体"/>
                <w:color w:val="auto"/>
              </w:rPr>
            </w:pPr>
          </w:p>
        </w:tc>
        <w:tc>
          <w:tcPr>
            <w:tcW w:w="2051" w:type="dxa"/>
            <w:tcBorders>
              <w:top w:val="single" w:color="auto" w:sz="6" w:space="0"/>
              <w:left w:val="single" w:color="auto" w:sz="6" w:space="0"/>
              <w:bottom w:val="single" w:color="auto" w:sz="12" w:space="0"/>
              <w:right w:val="single" w:color="auto" w:sz="6" w:space="0"/>
            </w:tcBorders>
            <w:vAlign w:val="center"/>
          </w:tcPr>
          <w:p>
            <w:pPr>
              <w:spacing w:line="200" w:lineRule="exact"/>
              <w:jc w:val="center"/>
              <w:rPr>
                <w:rFonts w:ascii="宋体" w:hAnsi="宋体"/>
                <w:color w:val="auto"/>
              </w:rPr>
            </w:pPr>
          </w:p>
        </w:tc>
        <w:tc>
          <w:tcPr>
            <w:tcW w:w="1305" w:type="dxa"/>
            <w:tcBorders>
              <w:top w:val="single" w:color="auto" w:sz="6" w:space="0"/>
              <w:left w:val="single" w:color="auto" w:sz="6" w:space="0"/>
              <w:bottom w:val="single" w:color="auto" w:sz="12" w:space="0"/>
              <w:right w:val="single" w:color="auto" w:sz="6" w:space="0"/>
            </w:tcBorders>
            <w:vAlign w:val="center"/>
          </w:tcPr>
          <w:p>
            <w:pPr>
              <w:spacing w:line="200" w:lineRule="exact"/>
              <w:jc w:val="center"/>
              <w:rPr>
                <w:rFonts w:ascii="宋体" w:hAnsi="宋体"/>
                <w:color w:val="auto"/>
              </w:rPr>
            </w:pPr>
          </w:p>
        </w:tc>
        <w:tc>
          <w:tcPr>
            <w:tcW w:w="1072" w:type="dxa"/>
            <w:tcBorders>
              <w:top w:val="single" w:color="auto" w:sz="6" w:space="0"/>
              <w:left w:val="single" w:color="auto" w:sz="6" w:space="0"/>
              <w:bottom w:val="single" w:color="auto" w:sz="12" w:space="0"/>
              <w:right w:val="single" w:color="auto" w:sz="12" w:space="0"/>
            </w:tcBorders>
            <w:vAlign w:val="center"/>
          </w:tcPr>
          <w:p>
            <w:pPr>
              <w:spacing w:line="200" w:lineRule="exact"/>
              <w:jc w:val="center"/>
              <w:rPr>
                <w:rFonts w:ascii="宋体" w:hAnsi="宋体"/>
                <w:color w:val="auto"/>
              </w:rPr>
            </w:pPr>
          </w:p>
        </w:tc>
      </w:tr>
    </w:tbl>
    <w:p>
      <w:pPr>
        <w:jc w:val="center"/>
        <w:rPr>
          <w:rFonts w:ascii="宋体" w:hAnsi="宋体"/>
          <w:color w:val="auto"/>
        </w:rPr>
      </w:pPr>
      <w:r>
        <w:rPr>
          <w:rFonts w:hint="eastAsia" w:ascii="宋体" w:hAnsi="宋体"/>
          <w:color w:val="auto"/>
        </w:rPr>
        <w:t>表5-</w:t>
      </w:r>
      <w:r>
        <w:rPr>
          <w:rFonts w:ascii="宋体" w:hAnsi="宋体"/>
          <w:color w:val="auto"/>
        </w:rPr>
        <w:t>2</w:t>
      </w:r>
      <w:r>
        <w:rPr>
          <w:rFonts w:hint="eastAsia" w:ascii="宋体" w:hAnsi="宋体"/>
          <w:color w:val="auto"/>
        </w:rPr>
        <w:t xml:space="preserve">  危险性等级划分表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7"/>
        <w:gridCol w:w="1743"/>
        <w:gridCol w:w="52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77" w:type="dxa"/>
            <w:tcBorders>
              <w:top w:val="single" w:color="auto" w:sz="12"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等级</w:t>
            </w:r>
          </w:p>
        </w:tc>
        <w:tc>
          <w:tcPr>
            <w:tcW w:w="1743"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危险程度</w:t>
            </w:r>
          </w:p>
        </w:tc>
        <w:tc>
          <w:tcPr>
            <w:tcW w:w="5264" w:type="dxa"/>
            <w:tcBorders>
              <w:top w:val="single" w:color="auto" w:sz="12"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可能导致的后果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77"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Ⅰ</w:t>
            </w:r>
          </w:p>
        </w:tc>
        <w:tc>
          <w:tcPr>
            <w:tcW w:w="1743"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安全的</w:t>
            </w:r>
          </w:p>
        </w:tc>
        <w:tc>
          <w:tcPr>
            <w:tcW w:w="5264" w:type="dxa"/>
            <w:tcBorders>
              <w:top w:val="single" w:color="auto" w:sz="6"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不会场造成人员伤亡或系统损坏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77"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Ⅱ</w:t>
            </w:r>
          </w:p>
        </w:tc>
        <w:tc>
          <w:tcPr>
            <w:tcW w:w="1743"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临界的</w:t>
            </w:r>
          </w:p>
        </w:tc>
        <w:tc>
          <w:tcPr>
            <w:tcW w:w="5264" w:type="dxa"/>
            <w:tcBorders>
              <w:top w:val="single" w:color="auto" w:sz="6"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处于事故的边缘状态，暂时还不会造成人员伤亡、系统损坏降低系统性能，但应予排除或采取控制措施。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77"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Ⅲ</w:t>
            </w:r>
          </w:p>
        </w:tc>
        <w:tc>
          <w:tcPr>
            <w:tcW w:w="1743"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危险的</w:t>
            </w:r>
          </w:p>
        </w:tc>
        <w:tc>
          <w:tcPr>
            <w:tcW w:w="5264" w:type="dxa"/>
            <w:tcBorders>
              <w:top w:val="single" w:color="auto" w:sz="6"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会造成人员伤亡和系统损坏，要立即采取防范对策措施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77" w:type="dxa"/>
            <w:tcBorders>
              <w:top w:val="single" w:color="auto" w:sz="6" w:space="0"/>
              <w:left w:val="single" w:color="auto" w:sz="12" w:space="0"/>
              <w:bottom w:val="single" w:color="auto" w:sz="12" w:space="0"/>
              <w:right w:val="single" w:color="auto" w:sz="6" w:space="0"/>
            </w:tcBorders>
            <w:vAlign w:val="center"/>
          </w:tcPr>
          <w:p>
            <w:pPr>
              <w:jc w:val="center"/>
              <w:rPr>
                <w:rFonts w:ascii="宋体" w:hAnsi="宋体"/>
                <w:color w:val="auto"/>
              </w:rPr>
            </w:pPr>
            <w:r>
              <w:rPr>
                <w:rFonts w:hint="eastAsia" w:ascii="宋体" w:hAnsi="宋体"/>
                <w:color w:val="auto"/>
              </w:rPr>
              <w:t>Ⅳ</w:t>
            </w:r>
          </w:p>
        </w:tc>
        <w:tc>
          <w:tcPr>
            <w:tcW w:w="1743" w:type="dxa"/>
            <w:tcBorders>
              <w:top w:val="single" w:color="auto" w:sz="6" w:space="0"/>
              <w:left w:val="single" w:color="auto" w:sz="6" w:space="0"/>
              <w:bottom w:val="single" w:color="auto" w:sz="12" w:space="0"/>
              <w:right w:val="single" w:color="auto" w:sz="6" w:space="0"/>
            </w:tcBorders>
            <w:vAlign w:val="center"/>
          </w:tcPr>
          <w:p>
            <w:pPr>
              <w:jc w:val="center"/>
              <w:rPr>
                <w:rFonts w:ascii="宋体" w:hAnsi="宋体"/>
                <w:color w:val="auto"/>
              </w:rPr>
            </w:pPr>
            <w:r>
              <w:rPr>
                <w:rFonts w:hint="eastAsia" w:ascii="宋体" w:hAnsi="宋体"/>
                <w:color w:val="auto"/>
              </w:rPr>
              <w:t>灾难性的</w:t>
            </w:r>
          </w:p>
        </w:tc>
        <w:tc>
          <w:tcPr>
            <w:tcW w:w="5264" w:type="dxa"/>
            <w:tcBorders>
              <w:top w:val="single" w:color="auto" w:sz="6" w:space="0"/>
              <w:left w:val="single" w:color="auto" w:sz="6" w:space="0"/>
              <w:bottom w:val="single" w:color="auto" w:sz="12" w:space="0"/>
              <w:right w:val="single" w:color="auto" w:sz="12" w:space="0"/>
            </w:tcBorders>
            <w:vAlign w:val="center"/>
          </w:tcPr>
          <w:p>
            <w:pPr>
              <w:jc w:val="center"/>
              <w:rPr>
                <w:rFonts w:ascii="宋体" w:hAnsi="宋体"/>
                <w:color w:val="auto"/>
              </w:rPr>
            </w:pPr>
            <w:r>
              <w:rPr>
                <w:rFonts w:hint="eastAsia" w:ascii="宋体" w:hAnsi="宋体"/>
                <w:color w:val="auto"/>
              </w:rPr>
              <w:t>造成人员重大伤亡及系统严重破坏的灾难性事故，必须予以果断排除并进行重点防范。</w:t>
            </w:r>
          </w:p>
        </w:tc>
      </w:tr>
    </w:tbl>
    <w:p>
      <w:pPr>
        <w:pStyle w:val="2"/>
        <w:ind w:firstLine="560" w:firstLineChars="200"/>
        <w:rPr>
          <w:color w:val="auto"/>
          <w:sz w:val="28"/>
          <w:szCs w:val="28"/>
        </w:rPr>
      </w:pPr>
      <w:r>
        <w:rPr>
          <w:color w:val="auto"/>
          <w:sz w:val="28"/>
          <w:szCs w:val="28"/>
        </w:rPr>
        <w:t>（2）安全检查表分析法</w:t>
      </w:r>
    </w:p>
    <w:p>
      <w:pPr>
        <w:spacing w:line="360" w:lineRule="auto"/>
        <w:ind w:firstLine="437"/>
        <w:rPr>
          <w:rFonts w:ascii="宋体" w:hAnsi="宋体"/>
          <w:color w:val="auto"/>
          <w:sz w:val="28"/>
          <w:szCs w:val="28"/>
        </w:rPr>
      </w:pPr>
      <w:r>
        <w:rPr>
          <w:rFonts w:hint="eastAsia" w:ascii="宋体" w:hAnsi="宋体"/>
          <w:color w:val="auto"/>
          <w:sz w:val="28"/>
          <w:szCs w:val="28"/>
        </w:rPr>
        <w:t>安全检查表法是系统安全工程的一种最基础、最简便、广泛应用的系统安全评价方法。安全检查表不仅用于查找系统中各种潜在的事故隐患，还用于进行系统安全评价。安全检查表是由一些对工艺过程、机械设备和作业情况熟悉并富有安全技术、安全管理经验的人员，事先对分析对象进行详尽分析和充分讨论，列出检查单元和部位、检查项目、检查要求等内容的表格（清单）。</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对系统进行评价时，对照安全检查表逐项检查，从而评价出系统的安全等级。当安全检查表用于设计、维修、环境、管理等方面查找缺陷或隐患时，可省略赋分、评级等内容和步骤。常见的安全检查表见表5-</w:t>
      </w:r>
      <w:r>
        <w:rPr>
          <w:rFonts w:ascii="宋体" w:hAnsi="宋体"/>
          <w:color w:val="auto"/>
          <w:sz w:val="28"/>
          <w:szCs w:val="28"/>
        </w:rPr>
        <w:t>3</w:t>
      </w:r>
      <w:r>
        <w:rPr>
          <w:rFonts w:hint="eastAsia" w:ascii="宋体" w:hAnsi="宋体"/>
          <w:color w:val="auto"/>
          <w:sz w:val="28"/>
          <w:szCs w:val="28"/>
        </w:rPr>
        <w:t>。</w:t>
      </w:r>
    </w:p>
    <w:p>
      <w:pPr>
        <w:jc w:val="center"/>
        <w:rPr>
          <w:rFonts w:ascii="宋体" w:hAnsi="宋体"/>
          <w:color w:val="auto"/>
        </w:rPr>
      </w:pPr>
      <w:r>
        <w:rPr>
          <w:rFonts w:hint="eastAsia" w:ascii="宋体" w:hAnsi="宋体"/>
          <w:color w:val="auto"/>
        </w:rPr>
        <w:t>表5-</w:t>
      </w:r>
      <w:r>
        <w:rPr>
          <w:rFonts w:ascii="宋体" w:hAnsi="宋体"/>
          <w:color w:val="auto"/>
        </w:rPr>
        <w:t>3</w:t>
      </w:r>
      <w:r>
        <w:rPr>
          <w:rFonts w:hint="eastAsia" w:ascii="宋体" w:hAnsi="宋体"/>
          <w:color w:val="auto"/>
        </w:rPr>
        <w:t xml:space="preserve">  安全检查表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92"/>
        <w:gridCol w:w="2549"/>
        <w:gridCol w:w="2025"/>
        <w:gridCol w:w="1620"/>
        <w:gridCol w:w="162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92" w:type="dxa"/>
            <w:tcBorders>
              <w:top w:val="single" w:color="auto" w:sz="12"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序号</w:t>
            </w:r>
          </w:p>
        </w:tc>
        <w:tc>
          <w:tcPr>
            <w:tcW w:w="2549"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检查项目和内容</w:t>
            </w:r>
          </w:p>
        </w:tc>
        <w:tc>
          <w:tcPr>
            <w:tcW w:w="2025" w:type="dxa"/>
            <w:tcBorders>
              <w:top w:val="single" w:color="auto" w:sz="12" w:space="0"/>
              <w:left w:val="single" w:color="auto" w:sz="6" w:space="0"/>
              <w:bottom w:val="single" w:color="auto" w:sz="6" w:space="0"/>
              <w:right w:val="single" w:color="auto" w:sz="6" w:space="0"/>
            </w:tcBorders>
          </w:tcPr>
          <w:p>
            <w:pPr>
              <w:jc w:val="center"/>
              <w:rPr>
                <w:rFonts w:ascii="宋体" w:hAnsi="宋体"/>
                <w:color w:val="auto"/>
              </w:rPr>
            </w:pPr>
            <w:r>
              <w:rPr>
                <w:rFonts w:hint="eastAsia" w:ascii="宋体" w:hAnsi="宋体"/>
                <w:color w:val="auto"/>
              </w:rPr>
              <w:t>检查结果</w:t>
            </w:r>
          </w:p>
        </w:tc>
        <w:tc>
          <w:tcPr>
            <w:tcW w:w="1620" w:type="dxa"/>
            <w:tcBorders>
              <w:top w:val="single" w:color="auto" w:sz="12"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检查依据</w:t>
            </w:r>
          </w:p>
        </w:tc>
        <w:tc>
          <w:tcPr>
            <w:tcW w:w="1620" w:type="dxa"/>
            <w:tcBorders>
              <w:top w:val="single" w:color="auto" w:sz="12"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rPr>
              <w:t>检查记录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992" w:type="dxa"/>
            <w:tcBorders>
              <w:top w:val="single" w:color="auto" w:sz="6" w:space="0"/>
              <w:left w:val="single" w:color="auto" w:sz="12" w:space="0"/>
              <w:bottom w:val="single" w:color="auto" w:sz="12" w:space="0"/>
              <w:right w:val="single" w:color="auto" w:sz="6" w:space="0"/>
            </w:tcBorders>
            <w:vAlign w:val="center"/>
          </w:tcPr>
          <w:p>
            <w:pPr>
              <w:jc w:val="center"/>
              <w:rPr>
                <w:rFonts w:ascii="宋体" w:hAnsi="宋体"/>
                <w:color w:val="auto"/>
              </w:rPr>
            </w:pPr>
          </w:p>
        </w:tc>
        <w:tc>
          <w:tcPr>
            <w:tcW w:w="2549" w:type="dxa"/>
            <w:tcBorders>
              <w:top w:val="single" w:color="auto" w:sz="6" w:space="0"/>
              <w:left w:val="single" w:color="auto" w:sz="6" w:space="0"/>
              <w:bottom w:val="single" w:color="auto" w:sz="12" w:space="0"/>
              <w:right w:val="single" w:color="auto" w:sz="6" w:space="0"/>
            </w:tcBorders>
            <w:vAlign w:val="center"/>
          </w:tcPr>
          <w:p>
            <w:pPr>
              <w:jc w:val="center"/>
              <w:rPr>
                <w:rFonts w:ascii="宋体" w:hAnsi="宋体"/>
                <w:color w:val="auto"/>
              </w:rPr>
            </w:pPr>
          </w:p>
        </w:tc>
        <w:tc>
          <w:tcPr>
            <w:tcW w:w="2025" w:type="dxa"/>
            <w:tcBorders>
              <w:top w:val="single" w:color="auto" w:sz="6" w:space="0"/>
              <w:left w:val="single" w:color="auto" w:sz="6" w:space="0"/>
              <w:bottom w:val="single" w:color="auto" w:sz="12" w:space="0"/>
              <w:right w:val="single" w:color="auto" w:sz="6" w:space="0"/>
            </w:tcBorders>
          </w:tcPr>
          <w:p>
            <w:pPr>
              <w:jc w:val="center"/>
              <w:rPr>
                <w:rFonts w:ascii="宋体" w:hAnsi="宋体"/>
                <w:color w:val="auto"/>
              </w:rPr>
            </w:pPr>
          </w:p>
        </w:tc>
        <w:tc>
          <w:tcPr>
            <w:tcW w:w="1620" w:type="dxa"/>
            <w:tcBorders>
              <w:top w:val="single" w:color="auto" w:sz="6" w:space="0"/>
              <w:left w:val="single" w:color="auto" w:sz="6" w:space="0"/>
              <w:bottom w:val="single" w:color="auto" w:sz="12" w:space="0"/>
              <w:right w:val="single" w:color="auto" w:sz="6" w:space="0"/>
            </w:tcBorders>
            <w:vAlign w:val="center"/>
          </w:tcPr>
          <w:p>
            <w:pPr>
              <w:jc w:val="center"/>
              <w:rPr>
                <w:rFonts w:ascii="宋体" w:hAnsi="宋体"/>
                <w:color w:val="auto"/>
              </w:rPr>
            </w:pPr>
          </w:p>
        </w:tc>
        <w:tc>
          <w:tcPr>
            <w:tcW w:w="1620" w:type="dxa"/>
            <w:tcBorders>
              <w:top w:val="single" w:color="auto" w:sz="6" w:space="0"/>
              <w:left w:val="single" w:color="auto" w:sz="6" w:space="0"/>
              <w:bottom w:val="single" w:color="auto" w:sz="12" w:space="0"/>
              <w:right w:val="single" w:color="auto" w:sz="12" w:space="0"/>
            </w:tcBorders>
            <w:vAlign w:val="center"/>
          </w:tcPr>
          <w:p>
            <w:pPr>
              <w:jc w:val="center"/>
              <w:rPr>
                <w:rFonts w:ascii="宋体" w:hAnsi="宋体"/>
                <w:color w:val="auto"/>
              </w:rPr>
            </w:pPr>
          </w:p>
        </w:tc>
      </w:tr>
    </w:tbl>
    <w:p>
      <w:pPr>
        <w:spacing w:line="600" w:lineRule="exact"/>
        <w:ind w:firstLine="560" w:firstLineChars="200"/>
        <w:rPr>
          <w:color w:val="auto"/>
          <w:sz w:val="28"/>
          <w:szCs w:val="28"/>
        </w:rPr>
      </w:pPr>
      <w:r>
        <w:rPr>
          <w:rFonts w:hint="eastAsia"/>
          <w:color w:val="auto"/>
          <w:sz w:val="28"/>
          <w:szCs w:val="28"/>
        </w:rPr>
        <w:t>（3）危险度分析法</w:t>
      </w:r>
    </w:p>
    <w:p>
      <w:pPr>
        <w:ind w:firstLine="560" w:firstLineChars="200"/>
        <w:rPr>
          <w:color w:val="auto"/>
        </w:rPr>
      </w:pPr>
      <w:r>
        <w:rPr>
          <w:rFonts w:hint="eastAsia" w:ascii="宋体" w:hAnsi="宋体"/>
          <w:color w:val="auto"/>
          <w:sz w:val="28"/>
          <w:szCs w:val="28"/>
        </w:rPr>
        <w:t>危险度评价法是借鉴日本劳动省“六阶段”的定量评价表，结合我国国家标准《石油化工企业设计防火标准（2018年版）》（GB50160-2008）、《压力容器中化学介质毒性危害和爆炸危险程度分类标准》（HG/T20660-2017）等技术规范标准，编制了“危险度评价取值”（表5-5），规定了危险度由物质、容量、温度、压力和操作等5个项目共同确定，其危险度分别按A=10分，B=5分，C=2分，D=0分赋值计分，由累计分值确定单元危险度。</w:t>
      </w:r>
    </w:p>
    <w:p>
      <w:pPr>
        <w:jc w:val="center"/>
        <w:rPr>
          <w:rFonts w:ascii="宋体" w:hAnsi="宋体"/>
          <w:color w:val="auto"/>
        </w:rPr>
      </w:pPr>
      <w:r>
        <w:rPr>
          <w:rFonts w:hint="eastAsia" w:ascii="宋体" w:hAnsi="宋体"/>
          <w:color w:val="auto"/>
        </w:rPr>
        <w:t>表5-</w:t>
      </w:r>
      <w:r>
        <w:rPr>
          <w:rFonts w:ascii="宋体" w:hAnsi="宋体"/>
          <w:color w:val="auto"/>
        </w:rPr>
        <w:t>4</w:t>
      </w:r>
      <w:r>
        <w:rPr>
          <w:rFonts w:hint="eastAsia" w:ascii="宋体" w:hAnsi="宋体"/>
          <w:color w:val="auto"/>
        </w:rPr>
        <w:t xml:space="preserve"> 危险度评价取值表</w:t>
      </w:r>
    </w:p>
    <w:tbl>
      <w:tblPr>
        <w:tblStyle w:val="31"/>
        <w:tblW w:w="880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6"/>
        <w:gridCol w:w="1980"/>
        <w:gridCol w:w="2314"/>
        <w:gridCol w:w="2160"/>
        <w:gridCol w:w="12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vMerge w:val="restart"/>
            <w:tcBorders>
              <w:top w:val="single" w:color="auto" w:sz="12"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项目</w:t>
            </w:r>
          </w:p>
        </w:tc>
        <w:tc>
          <w:tcPr>
            <w:tcW w:w="7714" w:type="dxa"/>
            <w:gridSpan w:val="4"/>
            <w:tcBorders>
              <w:top w:val="single" w:color="auto" w:sz="12"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spacing w:val="2"/>
                <w:kern w:val="0"/>
              </w:rPr>
              <w:t>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vMerge w:val="continue"/>
            <w:tcBorders>
              <w:top w:val="single" w:color="auto" w:sz="12" w:space="0"/>
              <w:left w:val="single" w:color="auto" w:sz="12" w:space="0"/>
              <w:bottom w:val="single" w:color="auto" w:sz="6" w:space="0"/>
              <w:right w:val="single" w:color="auto" w:sz="6" w:space="0"/>
            </w:tcBorders>
            <w:vAlign w:val="center"/>
          </w:tcPr>
          <w:p>
            <w:pPr>
              <w:widowControl/>
              <w:jc w:val="left"/>
              <w:rPr>
                <w:rFonts w:ascii="宋体" w:hAnsi="宋体"/>
                <w:color w:val="auto"/>
              </w:rPr>
            </w:pPr>
          </w:p>
        </w:tc>
        <w:tc>
          <w:tcPr>
            <w:tcW w:w="1980"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A（10分）</w:t>
            </w:r>
          </w:p>
        </w:tc>
        <w:tc>
          <w:tcPr>
            <w:tcW w:w="2314"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B（5分）</w:t>
            </w:r>
          </w:p>
        </w:tc>
        <w:tc>
          <w:tcPr>
            <w:tcW w:w="2160"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C（2分）</w:t>
            </w:r>
          </w:p>
        </w:tc>
        <w:tc>
          <w:tcPr>
            <w:tcW w:w="1260" w:type="dxa"/>
            <w:tcBorders>
              <w:top w:val="single" w:color="auto" w:sz="6"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spacing w:val="2"/>
                <w:kern w:val="0"/>
              </w:rPr>
              <w:t>D（0分）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tcBorders>
              <w:top w:val="single" w:color="auto" w:sz="6" w:space="0"/>
              <w:left w:val="single" w:color="auto" w:sz="12" w:space="0"/>
              <w:bottom w:val="single" w:color="auto" w:sz="6" w:space="0"/>
              <w:right w:val="single" w:color="auto" w:sz="6" w:space="0"/>
            </w:tcBorders>
            <w:vAlign w:val="center"/>
          </w:tcPr>
          <w:p>
            <w:pPr>
              <w:ind w:left="-90"/>
              <w:jc w:val="center"/>
              <w:rPr>
                <w:rFonts w:ascii="宋体" w:hAnsi="宋体"/>
                <w:color w:val="auto"/>
                <w:spacing w:val="2"/>
                <w:kern w:val="0"/>
              </w:rPr>
            </w:pPr>
            <w:r>
              <w:rPr>
                <w:rFonts w:hint="eastAsia" w:ascii="宋体" w:hAnsi="宋体"/>
                <w:color w:val="auto"/>
                <w:spacing w:val="2"/>
                <w:kern w:val="0"/>
              </w:rPr>
              <w:t>物质（系指单元中危险、有害程度最大之物质）</w:t>
            </w:r>
          </w:p>
        </w:tc>
        <w:tc>
          <w:tcPr>
            <w:tcW w:w="198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1．甲类可燃气体</w:t>
            </w:r>
            <w:r>
              <w:rPr>
                <w:rFonts w:hint="eastAsia" w:ascii="宋体" w:hAnsi="宋体"/>
                <w:color w:val="auto"/>
                <w:spacing w:val="2"/>
                <w:kern w:val="0"/>
                <w:vertAlign w:val="superscript"/>
              </w:rPr>
              <w:t>*</w:t>
            </w:r>
          </w:p>
          <w:p>
            <w:pPr>
              <w:rPr>
                <w:rFonts w:ascii="宋体" w:hAnsi="宋体"/>
                <w:color w:val="auto"/>
                <w:spacing w:val="2"/>
                <w:kern w:val="0"/>
              </w:rPr>
            </w:pPr>
            <w:r>
              <w:rPr>
                <w:rFonts w:hint="eastAsia" w:ascii="宋体" w:hAnsi="宋体"/>
                <w:color w:val="auto"/>
                <w:spacing w:val="2"/>
                <w:kern w:val="0"/>
              </w:rPr>
              <w:t>2．甲</w:t>
            </w:r>
            <w:r>
              <w:rPr>
                <w:rFonts w:hint="eastAsia" w:ascii="宋体" w:hAnsi="宋体"/>
                <w:color w:val="auto"/>
                <w:spacing w:val="2"/>
                <w:kern w:val="0"/>
                <w:vertAlign w:val="subscript"/>
              </w:rPr>
              <w:t>A</w:t>
            </w:r>
            <w:r>
              <w:rPr>
                <w:rFonts w:hint="eastAsia" w:ascii="宋体" w:hAnsi="宋体"/>
                <w:color w:val="auto"/>
                <w:spacing w:val="2"/>
                <w:kern w:val="0"/>
              </w:rPr>
              <w:t>类物质及液态烃类</w:t>
            </w:r>
          </w:p>
          <w:p>
            <w:pPr>
              <w:rPr>
                <w:rFonts w:ascii="宋体" w:hAnsi="宋体"/>
                <w:color w:val="auto"/>
                <w:spacing w:val="2"/>
                <w:kern w:val="0"/>
              </w:rPr>
            </w:pPr>
            <w:r>
              <w:rPr>
                <w:rFonts w:hint="eastAsia" w:ascii="宋体" w:hAnsi="宋体"/>
                <w:color w:val="auto"/>
                <w:spacing w:val="2"/>
                <w:kern w:val="0"/>
              </w:rPr>
              <w:t>3.甲类固体</w:t>
            </w:r>
          </w:p>
          <w:p>
            <w:pPr>
              <w:rPr>
                <w:rFonts w:ascii="宋体" w:hAnsi="宋体"/>
                <w:color w:val="auto"/>
                <w:vertAlign w:val="superscript"/>
              </w:rPr>
            </w:pPr>
            <w:r>
              <w:rPr>
                <w:rFonts w:hint="eastAsia" w:ascii="宋体" w:hAnsi="宋体"/>
                <w:color w:val="auto"/>
                <w:spacing w:val="2"/>
                <w:kern w:val="0"/>
              </w:rPr>
              <w:t>4.极度危害介质</w:t>
            </w:r>
            <w:r>
              <w:rPr>
                <w:rFonts w:hint="eastAsia" w:ascii="宋体" w:hAnsi="宋体"/>
                <w:color w:val="auto"/>
                <w:spacing w:val="2"/>
                <w:kern w:val="0"/>
                <w:vertAlign w:val="superscript"/>
              </w:rPr>
              <w:t>**</w:t>
            </w:r>
          </w:p>
        </w:tc>
        <w:tc>
          <w:tcPr>
            <w:tcW w:w="2314"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1.乙类可燃气体</w:t>
            </w:r>
          </w:p>
          <w:p>
            <w:pPr>
              <w:rPr>
                <w:rFonts w:ascii="宋体" w:hAnsi="宋体"/>
                <w:color w:val="auto"/>
                <w:spacing w:val="2"/>
                <w:kern w:val="0"/>
              </w:rPr>
            </w:pPr>
            <w:r>
              <w:rPr>
                <w:rFonts w:hint="eastAsia" w:ascii="宋体" w:hAnsi="宋体"/>
                <w:color w:val="auto"/>
                <w:spacing w:val="2"/>
                <w:kern w:val="0"/>
              </w:rPr>
              <w:t>2.甲</w:t>
            </w:r>
            <w:r>
              <w:rPr>
                <w:rFonts w:hint="eastAsia" w:ascii="宋体" w:hAnsi="宋体"/>
                <w:color w:val="auto"/>
                <w:spacing w:val="2"/>
                <w:kern w:val="0"/>
                <w:vertAlign w:val="subscript"/>
              </w:rPr>
              <w:t>B</w:t>
            </w:r>
            <w:r>
              <w:rPr>
                <w:rFonts w:hint="eastAsia" w:ascii="宋体" w:hAnsi="宋体"/>
                <w:color w:val="auto"/>
                <w:spacing w:val="2"/>
                <w:kern w:val="0"/>
              </w:rPr>
              <w:t>、乙</w:t>
            </w:r>
            <w:r>
              <w:rPr>
                <w:rFonts w:hint="eastAsia" w:ascii="宋体" w:hAnsi="宋体"/>
                <w:color w:val="auto"/>
                <w:spacing w:val="2"/>
                <w:kern w:val="0"/>
                <w:vertAlign w:val="subscript"/>
              </w:rPr>
              <w:t>A</w:t>
            </w:r>
            <w:r>
              <w:rPr>
                <w:rFonts w:hint="eastAsia" w:ascii="宋体" w:hAnsi="宋体"/>
                <w:color w:val="auto"/>
                <w:spacing w:val="2"/>
                <w:kern w:val="0"/>
              </w:rPr>
              <w:t>类可燃液体</w:t>
            </w:r>
          </w:p>
          <w:p>
            <w:pPr>
              <w:rPr>
                <w:rFonts w:ascii="宋体" w:hAnsi="宋体"/>
                <w:color w:val="auto"/>
                <w:spacing w:val="2"/>
                <w:kern w:val="0"/>
              </w:rPr>
            </w:pPr>
            <w:r>
              <w:rPr>
                <w:rFonts w:hint="eastAsia" w:ascii="宋体" w:hAnsi="宋体"/>
                <w:color w:val="auto"/>
                <w:spacing w:val="2"/>
                <w:kern w:val="0"/>
              </w:rPr>
              <w:t>3.乙类固体</w:t>
            </w:r>
          </w:p>
          <w:p>
            <w:pPr>
              <w:rPr>
                <w:rFonts w:ascii="宋体" w:hAnsi="宋体"/>
                <w:color w:val="auto"/>
                <w:spacing w:val="2"/>
                <w:kern w:val="0"/>
              </w:rPr>
            </w:pPr>
            <w:r>
              <w:rPr>
                <w:rFonts w:hint="eastAsia" w:ascii="宋体" w:hAnsi="宋体"/>
                <w:color w:val="auto"/>
                <w:spacing w:val="2"/>
                <w:kern w:val="0"/>
              </w:rPr>
              <w:t>4.高度危害介质</w:t>
            </w:r>
          </w:p>
        </w:tc>
        <w:tc>
          <w:tcPr>
            <w:tcW w:w="216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1.乙</w:t>
            </w:r>
            <w:r>
              <w:rPr>
                <w:rFonts w:hint="eastAsia" w:ascii="宋体" w:hAnsi="宋体"/>
                <w:color w:val="auto"/>
                <w:spacing w:val="2"/>
                <w:kern w:val="0"/>
                <w:vertAlign w:val="subscript"/>
              </w:rPr>
              <w:t>B</w:t>
            </w:r>
            <w:r>
              <w:rPr>
                <w:rFonts w:hint="eastAsia" w:ascii="宋体" w:hAnsi="宋体"/>
                <w:color w:val="auto"/>
                <w:spacing w:val="2"/>
                <w:kern w:val="0"/>
              </w:rPr>
              <w:t>、丙</w:t>
            </w:r>
            <w:r>
              <w:rPr>
                <w:rFonts w:hint="eastAsia" w:ascii="宋体" w:hAnsi="宋体"/>
                <w:color w:val="auto"/>
                <w:spacing w:val="2"/>
                <w:kern w:val="0"/>
                <w:vertAlign w:val="subscript"/>
              </w:rPr>
              <w:t>B</w:t>
            </w:r>
            <w:r>
              <w:rPr>
                <w:rFonts w:hint="eastAsia" w:ascii="宋体" w:hAnsi="宋体"/>
                <w:color w:val="auto"/>
                <w:spacing w:val="2"/>
                <w:kern w:val="0"/>
              </w:rPr>
              <w:t>、丙</w:t>
            </w:r>
            <w:r>
              <w:rPr>
                <w:rFonts w:hint="eastAsia" w:ascii="宋体" w:hAnsi="宋体"/>
                <w:color w:val="auto"/>
                <w:spacing w:val="2"/>
                <w:kern w:val="0"/>
                <w:vertAlign w:val="subscript"/>
              </w:rPr>
              <w:t>B</w:t>
            </w:r>
            <w:r>
              <w:rPr>
                <w:rFonts w:hint="eastAsia" w:ascii="宋体" w:hAnsi="宋体"/>
                <w:color w:val="auto"/>
                <w:spacing w:val="2"/>
                <w:kern w:val="0"/>
              </w:rPr>
              <w:t>类可燃液体</w:t>
            </w:r>
          </w:p>
          <w:p>
            <w:pPr>
              <w:rPr>
                <w:rFonts w:ascii="宋体" w:hAnsi="宋体"/>
                <w:color w:val="auto"/>
                <w:spacing w:val="2"/>
                <w:kern w:val="0"/>
              </w:rPr>
            </w:pPr>
            <w:r>
              <w:rPr>
                <w:rFonts w:hint="eastAsia" w:ascii="宋体" w:hAnsi="宋体"/>
                <w:color w:val="auto"/>
                <w:spacing w:val="2"/>
                <w:kern w:val="0"/>
              </w:rPr>
              <w:t>2.丙类固体</w:t>
            </w:r>
          </w:p>
          <w:p>
            <w:pPr>
              <w:rPr>
                <w:rFonts w:ascii="宋体" w:hAnsi="宋体"/>
                <w:color w:val="auto"/>
                <w:spacing w:val="2"/>
                <w:kern w:val="0"/>
              </w:rPr>
            </w:pPr>
            <w:r>
              <w:rPr>
                <w:rFonts w:hint="eastAsia" w:ascii="宋体" w:hAnsi="宋体"/>
                <w:color w:val="auto"/>
                <w:spacing w:val="2"/>
                <w:kern w:val="0"/>
              </w:rPr>
              <w:t>3.中、轻度危害介质</w:t>
            </w:r>
          </w:p>
        </w:tc>
        <w:tc>
          <w:tcPr>
            <w:tcW w:w="1260" w:type="dxa"/>
            <w:tcBorders>
              <w:top w:val="single" w:color="auto" w:sz="6" w:space="0"/>
              <w:left w:val="single" w:color="auto" w:sz="6" w:space="0"/>
              <w:bottom w:val="single" w:color="auto" w:sz="6" w:space="0"/>
              <w:right w:val="single" w:color="auto" w:sz="12" w:space="0"/>
            </w:tcBorders>
            <w:vAlign w:val="center"/>
          </w:tcPr>
          <w:p>
            <w:pPr>
              <w:rPr>
                <w:rFonts w:ascii="宋体" w:hAnsi="宋体"/>
                <w:color w:val="auto"/>
                <w:spacing w:val="2"/>
                <w:kern w:val="0"/>
              </w:rPr>
            </w:pPr>
            <w:r>
              <w:rPr>
                <w:rFonts w:hint="eastAsia" w:ascii="宋体" w:hAnsi="宋体"/>
                <w:color w:val="auto"/>
                <w:spacing w:val="2"/>
                <w:kern w:val="0"/>
              </w:rPr>
              <w:t>不属左述之A，B，C项之物质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容量</w:t>
            </w:r>
          </w:p>
        </w:tc>
        <w:tc>
          <w:tcPr>
            <w:tcW w:w="198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1.气体1000m</w:t>
            </w:r>
            <w:r>
              <w:rPr>
                <w:rFonts w:hint="eastAsia" w:ascii="宋体" w:hAnsi="宋体"/>
                <w:color w:val="auto"/>
                <w:spacing w:val="2"/>
                <w:kern w:val="0"/>
                <w:vertAlign w:val="superscript"/>
              </w:rPr>
              <w:t>3</w:t>
            </w:r>
            <w:r>
              <w:rPr>
                <w:rFonts w:hint="eastAsia" w:ascii="宋体" w:hAnsi="宋体"/>
                <w:color w:val="auto"/>
                <w:spacing w:val="2"/>
                <w:kern w:val="0"/>
              </w:rPr>
              <w:t>以上</w:t>
            </w:r>
          </w:p>
          <w:p>
            <w:pPr>
              <w:rPr>
                <w:rFonts w:ascii="宋体" w:hAnsi="宋体"/>
                <w:color w:val="auto"/>
                <w:spacing w:val="2"/>
                <w:kern w:val="0"/>
              </w:rPr>
            </w:pPr>
            <w:r>
              <w:rPr>
                <w:rFonts w:hint="eastAsia" w:ascii="宋体" w:hAnsi="宋体"/>
                <w:color w:val="auto"/>
                <w:spacing w:val="2"/>
                <w:kern w:val="0"/>
              </w:rPr>
              <w:t>2.液体100m</w:t>
            </w:r>
            <w:r>
              <w:rPr>
                <w:rFonts w:hint="eastAsia" w:ascii="宋体" w:hAnsi="宋体"/>
                <w:color w:val="auto"/>
                <w:spacing w:val="2"/>
                <w:kern w:val="0"/>
                <w:vertAlign w:val="superscript"/>
              </w:rPr>
              <w:t>3</w:t>
            </w:r>
            <w:r>
              <w:rPr>
                <w:rFonts w:hint="eastAsia" w:ascii="宋体" w:hAnsi="宋体"/>
                <w:color w:val="auto"/>
                <w:spacing w:val="2"/>
                <w:kern w:val="0"/>
              </w:rPr>
              <w:t>以上</w:t>
            </w:r>
          </w:p>
        </w:tc>
        <w:tc>
          <w:tcPr>
            <w:tcW w:w="2314"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1.气体500～1000m</w:t>
            </w:r>
            <w:r>
              <w:rPr>
                <w:rFonts w:hint="eastAsia" w:ascii="宋体" w:hAnsi="宋体"/>
                <w:color w:val="auto"/>
                <w:spacing w:val="2"/>
                <w:kern w:val="0"/>
                <w:vertAlign w:val="superscript"/>
              </w:rPr>
              <w:t>3</w:t>
            </w:r>
          </w:p>
          <w:p>
            <w:pPr>
              <w:rPr>
                <w:rFonts w:ascii="宋体" w:hAnsi="宋体"/>
                <w:color w:val="auto"/>
              </w:rPr>
            </w:pPr>
            <w:r>
              <w:rPr>
                <w:rFonts w:hint="eastAsia" w:ascii="宋体" w:hAnsi="宋体"/>
                <w:color w:val="auto"/>
                <w:spacing w:val="2"/>
                <w:kern w:val="0"/>
              </w:rPr>
              <w:t>2.液体50～100m</w:t>
            </w:r>
            <w:r>
              <w:rPr>
                <w:rFonts w:hint="eastAsia" w:ascii="宋体" w:hAnsi="宋体"/>
                <w:color w:val="auto"/>
                <w:spacing w:val="2"/>
                <w:kern w:val="0"/>
                <w:vertAlign w:val="superscript"/>
              </w:rPr>
              <w:t>3</w:t>
            </w:r>
          </w:p>
        </w:tc>
        <w:tc>
          <w:tcPr>
            <w:tcW w:w="216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1.气体100～500m</w:t>
            </w:r>
            <w:r>
              <w:rPr>
                <w:rFonts w:hint="eastAsia" w:ascii="宋体" w:hAnsi="宋体"/>
                <w:color w:val="auto"/>
                <w:spacing w:val="2"/>
                <w:kern w:val="0"/>
                <w:vertAlign w:val="superscript"/>
              </w:rPr>
              <w:t>3</w:t>
            </w:r>
          </w:p>
          <w:p>
            <w:pPr>
              <w:rPr>
                <w:rFonts w:ascii="宋体" w:hAnsi="宋体"/>
                <w:color w:val="auto"/>
              </w:rPr>
            </w:pPr>
            <w:r>
              <w:rPr>
                <w:rFonts w:hint="eastAsia" w:ascii="宋体" w:hAnsi="宋体"/>
                <w:color w:val="auto"/>
                <w:spacing w:val="2"/>
                <w:kern w:val="0"/>
              </w:rPr>
              <w:t>2.液体10～50m</w:t>
            </w:r>
            <w:r>
              <w:rPr>
                <w:rFonts w:hint="eastAsia" w:ascii="宋体" w:hAnsi="宋体"/>
                <w:color w:val="auto"/>
                <w:spacing w:val="2"/>
                <w:kern w:val="0"/>
                <w:vertAlign w:val="superscript"/>
              </w:rPr>
              <w:t>3</w:t>
            </w:r>
          </w:p>
        </w:tc>
        <w:tc>
          <w:tcPr>
            <w:tcW w:w="1260" w:type="dxa"/>
            <w:tcBorders>
              <w:top w:val="single" w:color="auto" w:sz="6" w:space="0"/>
              <w:left w:val="single" w:color="auto" w:sz="6" w:space="0"/>
              <w:bottom w:val="single" w:color="auto" w:sz="6" w:space="0"/>
              <w:right w:val="single" w:color="auto" w:sz="12" w:space="0"/>
            </w:tcBorders>
            <w:vAlign w:val="center"/>
          </w:tcPr>
          <w:p>
            <w:pPr>
              <w:rPr>
                <w:rFonts w:ascii="宋体" w:hAnsi="宋体"/>
                <w:color w:val="auto"/>
                <w:spacing w:val="2"/>
                <w:kern w:val="0"/>
                <w:vertAlign w:val="superscript"/>
              </w:rPr>
            </w:pPr>
            <w:r>
              <w:rPr>
                <w:rFonts w:hint="eastAsia" w:ascii="宋体" w:hAnsi="宋体"/>
                <w:color w:val="auto"/>
                <w:spacing w:val="2"/>
                <w:kern w:val="0"/>
              </w:rPr>
              <w:t>1.气体＜100m</w:t>
            </w:r>
            <w:r>
              <w:rPr>
                <w:rFonts w:hint="eastAsia" w:ascii="宋体" w:hAnsi="宋体"/>
                <w:color w:val="auto"/>
                <w:spacing w:val="2"/>
                <w:kern w:val="0"/>
                <w:vertAlign w:val="superscript"/>
              </w:rPr>
              <w:t>3</w:t>
            </w:r>
          </w:p>
          <w:p>
            <w:pPr>
              <w:rPr>
                <w:rFonts w:ascii="宋体" w:hAnsi="宋体"/>
                <w:color w:val="auto"/>
                <w:vertAlign w:val="superscript"/>
              </w:rPr>
            </w:pPr>
            <w:r>
              <w:rPr>
                <w:rFonts w:hint="eastAsia" w:ascii="宋体" w:hAnsi="宋体"/>
                <w:color w:val="auto"/>
                <w:spacing w:val="2"/>
                <w:kern w:val="0"/>
              </w:rPr>
              <w:t>2.液体＜10m</w:t>
            </w:r>
            <w:r>
              <w:rPr>
                <w:rFonts w:hint="eastAsia" w:ascii="宋体" w:hAnsi="宋体"/>
                <w:color w:val="auto"/>
                <w:spacing w:val="2"/>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spacing w:val="2"/>
                <w:kern w:val="0"/>
              </w:rPr>
              <w:t>温度</w:t>
            </w:r>
          </w:p>
        </w:tc>
        <w:tc>
          <w:tcPr>
            <w:tcW w:w="198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1000℃以上使用，其操作温度在燃点以上</w:t>
            </w:r>
          </w:p>
        </w:tc>
        <w:tc>
          <w:tcPr>
            <w:tcW w:w="2314"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1.1000℃以上使用，但操作温度在燃点以下</w:t>
            </w:r>
          </w:p>
          <w:p>
            <w:pPr>
              <w:rPr>
                <w:rFonts w:ascii="宋体" w:hAnsi="宋体"/>
                <w:color w:val="auto"/>
                <w:spacing w:val="2"/>
                <w:kern w:val="0"/>
              </w:rPr>
            </w:pPr>
            <w:r>
              <w:rPr>
                <w:rFonts w:hint="eastAsia" w:ascii="宋体" w:hAnsi="宋体"/>
                <w:color w:val="auto"/>
                <w:spacing w:val="2"/>
                <w:kern w:val="0"/>
              </w:rPr>
              <w:t>2.在250～1000℃使用，其操作温度在燃点以上</w:t>
            </w:r>
          </w:p>
        </w:tc>
        <w:tc>
          <w:tcPr>
            <w:tcW w:w="2160"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1.在250～1000℃使用，但操作温度在燃点以下</w:t>
            </w:r>
          </w:p>
          <w:p>
            <w:pPr>
              <w:rPr>
                <w:rFonts w:ascii="宋体" w:hAnsi="宋体"/>
                <w:color w:val="auto"/>
                <w:spacing w:val="2"/>
                <w:kern w:val="0"/>
              </w:rPr>
            </w:pPr>
            <w:r>
              <w:rPr>
                <w:rFonts w:hint="eastAsia" w:ascii="宋体" w:hAnsi="宋体"/>
                <w:color w:val="auto"/>
                <w:spacing w:val="2"/>
                <w:kern w:val="0"/>
              </w:rPr>
              <w:t>2.在低于250℃时使用，操作温度在燃点以上</w:t>
            </w:r>
          </w:p>
        </w:tc>
        <w:tc>
          <w:tcPr>
            <w:tcW w:w="1260" w:type="dxa"/>
            <w:tcBorders>
              <w:top w:val="single" w:color="auto" w:sz="6" w:space="0"/>
              <w:left w:val="single" w:color="auto" w:sz="6" w:space="0"/>
              <w:bottom w:val="single" w:color="auto" w:sz="6" w:space="0"/>
              <w:right w:val="single" w:color="auto" w:sz="12" w:space="0"/>
            </w:tcBorders>
            <w:vAlign w:val="center"/>
          </w:tcPr>
          <w:p>
            <w:pPr>
              <w:rPr>
                <w:rFonts w:ascii="宋体" w:hAnsi="宋体"/>
                <w:color w:val="auto"/>
              </w:rPr>
            </w:pPr>
            <w:r>
              <w:rPr>
                <w:rFonts w:hint="eastAsia" w:ascii="宋体" w:hAnsi="宋体"/>
                <w:color w:val="auto"/>
                <w:spacing w:val="2"/>
                <w:kern w:val="0"/>
              </w:rPr>
              <w:t>在低于250℃时使用，操作温度在燃点以下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86" w:type="dxa"/>
            <w:tcBorders>
              <w:top w:val="single" w:color="auto" w:sz="6" w:space="0"/>
              <w:left w:val="single" w:color="auto" w:sz="12" w:space="0"/>
              <w:bottom w:val="single" w:color="auto" w:sz="6" w:space="0"/>
              <w:right w:val="single" w:color="auto" w:sz="6" w:space="0"/>
            </w:tcBorders>
            <w:vAlign w:val="center"/>
          </w:tcPr>
          <w:p>
            <w:pPr>
              <w:ind w:left="-90"/>
              <w:jc w:val="center"/>
              <w:rPr>
                <w:rFonts w:ascii="宋体" w:hAnsi="宋体"/>
                <w:color w:val="auto"/>
              </w:rPr>
            </w:pPr>
            <w:r>
              <w:rPr>
                <w:rFonts w:hint="eastAsia" w:ascii="宋体" w:hAnsi="宋体"/>
                <w:color w:val="auto"/>
                <w:spacing w:val="2"/>
                <w:kern w:val="0"/>
              </w:rPr>
              <w:t>压力</w:t>
            </w:r>
          </w:p>
        </w:tc>
        <w:tc>
          <w:tcPr>
            <w:tcW w:w="1980"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100MPa</w:t>
            </w:r>
          </w:p>
        </w:tc>
        <w:tc>
          <w:tcPr>
            <w:tcW w:w="2314"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20～100MPa</w:t>
            </w:r>
          </w:p>
        </w:tc>
        <w:tc>
          <w:tcPr>
            <w:tcW w:w="2160" w:type="dxa"/>
            <w:tcBorders>
              <w:top w:val="single" w:color="auto" w:sz="6" w:space="0"/>
              <w:left w:val="single" w:color="auto" w:sz="6"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1～20MPa</w:t>
            </w:r>
          </w:p>
        </w:tc>
        <w:tc>
          <w:tcPr>
            <w:tcW w:w="1260" w:type="dxa"/>
            <w:tcBorders>
              <w:top w:val="single" w:color="auto" w:sz="6" w:space="0"/>
              <w:left w:val="single" w:color="auto" w:sz="6" w:space="0"/>
              <w:bottom w:val="single" w:color="auto" w:sz="6" w:space="0"/>
              <w:right w:val="single" w:color="auto" w:sz="12" w:space="0"/>
            </w:tcBorders>
            <w:vAlign w:val="center"/>
          </w:tcPr>
          <w:p>
            <w:pPr>
              <w:jc w:val="center"/>
              <w:rPr>
                <w:rFonts w:ascii="宋体" w:hAnsi="宋体"/>
                <w:color w:val="auto"/>
              </w:rPr>
            </w:pPr>
            <w:r>
              <w:rPr>
                <w:rFonts w:hint="eastAsia" w:ascii="宋体" w:hAnsi="宋体"/>
                <w:color w:val="auto"/>
                <w:spacing w:val="2"/>
                <w:kern w:val="0"/>
              </w:rPr>
              <w:t>1MPa以下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86" w:type="dxa"/>
            <w:tcBorders>
              <w:top w:val="single" w:color="auto" w:sz="6" w:space="0"/>
              <w:left w:val="single" w:color="auto" w:sz="12" w:space="0"/>
              <w:bottom w:val="single" w:color="auto" w:sz="12" w:space="0"/>
              <w:right w:val="single" w:color="auto" w:sz="6" w:space="0"/>
            </w:tcBorders>
            <w:vAlign w:val="center"/>
          </w:tcPr>
          <w:p>
            <w:pPr>
              <w:jc w:val="center"/>
              <w:rPr>
                <w:rFonts w:ascii="宋体" w:hAnsi="宋体"/>
                <w:color w:val="auto"/>
                <w:spacing w:val="2"/>
                <w:kern w:val="0"/>
              </w:rPr>
            </w:pPr>
            <w:r>
              <w:rPr>
                <w:rFonts w:hint="eastAsia" w:ascii="宋体" w:hAnsi="宋体"/>
                <w:color w:val="auto"/>
                <w:spacing w:val="2"/>
                <w:kern w:val="0"/>
              </w:rPr>
              <w:t>操作</w:t>
            </w:r>
          </w:p>
        </w:tc>
        <w:tc>
          <w:tcPr>
            <w:tcW w:w="1980" w:type="dxa"/>
            <w:tcBorders>
              <w:top w:val="single" w:color="auto" w:sz="6" w:space="0"/>
              <w:left w:val="single" w:color="auto" w:sz="6" w:space="0"/>
              <w:bottom w:val="single" w:color="auto" w:sz="12"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1.临界放热和特别剧烈的放热反应操作</w:t>
            </w:r>
          </w:p>
          <w:p>
            <w:pPr>
              <w:rPr>
                <w:rFonts w:ascii="宋体" w:hAnsi="宋体"/>
                <w:color w:val="auto"/>
                <w:spacing w:val="2"/>
                <w:kern w:val="0"/>
              </w:rPr>
            </w:pPr>
            <w:r>
              <w:rPr>
                <w:rFonts w:hint="eastAsia" w:ascii="宋体" w:hAnsi="宋体"/>
                <w:color w:val="auto"/>
                <w:spacing w:val="2"/>
                <w:kern w:val="0"/>
              </w:rPr>
              <w:t>2.在爆炸极限范围内或其附近的操作</w:t>
            </w:r>
          </w:p>
        </w:tc>
        <w:tc>
          <w:tcPr>
            <w:tcW w:w="2314" w:type="dxa"/>
            <w:tcBorders>
              <w:top w:val="single" w:color="auto" w:sz="6" w:space="0"/>
              <w:left w:val="single" w:color="auto" w:sz="6" w:space="0"/>
              <w:bottom w:val="single" w:color="auto" w:sz="12"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1.中等放热反应操作</w:t>
            </w:r>
          </w:p>
          <w:p>
            <w:pPr>
              <w:rPr>
                <w:rFonts w:ascii="宋体" w:hAnsi="宋体"/>
                <w:color w:val="auto"/>
                <w:spacing w:val="2"/>
                <w:kern w:val="0"/>
              </w:rPr>
            </w:pPr>
            <w:r>
              <w:rPr>
                <w:rFonts w:hint="eastAsia" w:ascii="宋体" w:hAnsi="宋体"/>
                <w:color w:val="auto"/>
                <w:spacing w:val="2"/>
                <w:kern w:val="0"/>
              </w:rPr>
              <w:t>2.系统进入空气或不纯物质，可能发生危险的操作</w:t>
            </w:r>
          </w:p>
          <w:p>
            <w:pPr>
              <w:rPr>
                <w:rFonts w:ascii="宋体" w:hAnsi="宋体"/>
                <w:color w:val="auto"/>
                <w:spacing w:val="2"/>
                <w:kern w:val="0"/>
              </w:rPr>
            </w:pPr>
            <w:r>
              <w:rPr>
                <w:rFonts w:hint="eastAsia" w:ascii="宋体" w:hAnsi="宋体"/>
                <w:color w:val="auto"/>
                <w:spacing w:val="2"/>
                <w:kern w:val="0"/>
              </w:rPr>
              <w:t>3.使用粉状或雾状物质，有可能发生粉尘爆炸的操作</w:t>
            </w:r>
          </w:p>
          <w:p>
            <w:pPr>
              <w:rPr>
                <w:rFonts w:ascii="宋体" w:hAnsi="宋体"/>
                <w:color w:val="auto"/>
              </w:rPr>
            </w:pPr>
            <w:r>
              <w:rPr>
                <w:rFonts w:hint="eastAsia" w:ascii="宋体" w:hAnsi="宋体"/>
                <w:color w:val="auto"/>
                <w:spacing w:val="2"/>
                <w:kern w:val="0"/>
              </w:rPr>
              <w:t>4.单批式操作</w:t>
            </w:r>
          </w:p>
        </w:tc>
        <w:tc>
          <w:tcPr>
            <w:tcW w:w="2160" w:type="dxa"/>
            <w:tcBorders>
              <w:top w:val="single" w:color="auto" w:sz="6" w:space="0"/>
              <w:left w:val="single" w:color="auto" w:sz="6" w:space="0"/>
              <w:bottom w:val="single" w:color="auto" w:sz="12" w:space="0"/>
              <w:right w:val="single" w:color="auto" w:sz="6" w:space="0"/>
            </w:tcBorders>
            <w:vAlign w:val="center"/>
          </w:tcPr>
          <w:p>
            <w:pPr>
              <w:rPr>
                <w:rFonts w:ascii="宋体" w:hAnsi="宋体"/>
                <w:color w:val="auto"/>
                <w:spacing w:val="2"/>
                <w:kern w:val="0"/>
              </w:rPr>
            </w:pPr>
            <w:r>
              <w:rPr>
                <w:rFonts w:hint="eastAsia" w:ascii="宋体" w:hAnsi="宋体"/>
                <w:color w:val="auto"/>
                <w:spacing w:val="2"/>
                <w:kern w:val="0"/>
              </w:rPr>
              <w:t>1.轻微放热反应操作</w:t>
            </w:r>
          </w:p>
          <w:p>
            <w:pPr>
              <w:rPr>
                <w:rFonts w:ascii="宋体" w:hAnsi="宋体"/>
                <w:color w:val="auto"/>
                <w:spacing w:val="2"/>
                <w:kern w:val="0"/>
              </w:rPr>
            </w:pPr>
            <w:r>
              <w:rPr>
                <w:rFonts w:hint="eastAsia" w:ascii="宋体" w:hAnsi="宋体"/>
                <w:color w:val="auto"/>
                <w:spacing w:val="2"/>
                <w:kern w:val="0"/>
              </w:rPr>
              <w:t>2.在精制过程中伴有化学反应</w:t>
            </w:r>
          </w:p>
          <w:p>
            <w:pPr>
              <w:rPr>
                <w:rFonts w:ascii="宋体" w:hAnsi="宋体"/>
                <w:color w:val="auto"/>
                <w:spacing w:val="2"/>
                <w:kern w:val="0"/>
              </w:rPr>
            </w:pPr>
            <w:r>
              <w:rPr>
                <w:rFonts w:hint="eastAsia" w:ascii="宋体" w:hAnsi="宋体"/>
                <w:color w:val="auto"/>
                <w:spacing w:val="2"/>
                <w:kern w:val="0"/>
              </w:rPr>
              <w:t>3.单批式操作，但开始使用机械等手段进行程序操作</w:t>
            </w:r>
          </w:p>
          <w:p>
            <w:pPr>
              <w:rPr>
                <w:rFonts w:ascii="宋体" w:hAnsi="宋体"/>
                <w:color w:val="auto"/>
                <w:spacing w:val="2"/>
                <w:kern w:val="0"/>
              </w:rPr>
            </w:pPr>
            <w:r>
              <w:rPr>
                <w:rFonts w:hint="eastAsia" w:ascii="宋体" w:hAnsi="宋体"/>
                <w:color w:val="auto"/>
                <w:spacing w:val="2"/>
                <w:kern w:val="0"/>
              </w:rPr>
              <w:t>4.有一定危险的操作</w:t>
            </w:r>
          </w:p>
        </w:tc>
        <w:tc>
          <w:tcPr>
            <w:tcW w:w="1260" w:type="dxa"/>
            <w:tcBorders>
              <w:top w:val="single" w:color="auto" w:sz="6" w:space="0"/>
              <w:left w:val="single" w:color="auto" w:sz="6" w:space="0"/>
              <w:bottom w:val="single" w:color="auto" w:sz="12" w:space="0"/>
              <w:right w:val="single" w:color="auto" w:sz="12" w:space="0"/>
            </w:tcBorders>
            <w:vAlign w:val="center"/>
          </w:tcPr>
          <w:p>
            <w:pPr>
              <w:rPr>
                <w:rFonts w:ascii="宋体" w:hAnsi="宋体"/>
                <w:color w:val="auto"/>
              </w:rPr>
            </w:pPr>
            <w:r>
              <w:rPr>
                <w:rFonts w:hint="eastAsia" w:ascii="宋体" w:hAnsi="宋体"/>
                <w:color w:val="auto"/>
                <w:spacing w:val="2"/>
                <w:kern w:val="0"/>
              </w:rPr>
              <w:t>无危险的操作</w:t>
            </w:r>
          </w:p>
        </w:tc>
      </w:tr>
    </w:tbl>
    <w:p>
      <w:pPr>
        <w:spacing w:line="360" w:lineRule="auto"/>
        <w:ind w:firstLine="560" w:firstLineChars="200"/>
        <w:rPr>
          <w:rFonts w:ascii="宋体" w:hAnsi="宋体"/>
          <w:color w:val="auto"/>
          <w:sz w:val="28"/>
          <w:szCs w:val="28"/>
        </w:rPr>
      </w:pPr>
      <w:r>
        <w:rPr>
          <w:rFonts w:hint="eastAsia" w:ascii="宋体" w:hAnsi="宋体"/>
          <w:color w:val="auto"/>
          <w:sz w:val="28"/>
          <w:szCs w:val="28"/>
        </w:rPr>
        <w:t>见《石油化工企业设计防火标准（2018版）》（GB50160-2008）中可燃物质的火灾危险性分类。见《压力容器中化学介质毒性危害和爆炸危险程度分类标准》（HG/T20660-2017）表1、表2、表3。</w:t>
      </w:r>
    </w:p>
    <w:p>
      <w:pPr>
        <w:pStyle w:val="57"/>
        <w:numPr>
          <w:ilvl w:val="0"/>
          <w:numId w:val="13"/>
        </w:numPr>
        <w:spacing w:line="360" w:lineRule="auto"/>
        <w:ind w:firstLineChars="0"/>
        <w:rPr>
          <w:rFonts w:ascii="宋体" w:hAnsi="宋体"/>
          <w:color w:val="auto"/>
          <w:sz w:val="28"/>
          <w:szCs w:val="28"/>
        </w:rPr>
      </w:pPr>
      <w:r>
        <w:rPr>
          <w:rFonts w:hint="eastAsia" w:ascii="宋体" w:hAnsi="宋体"/>
          <w:color w:val="auto"/>
          <w:sz w:val="28"/>
          <w:szCs w:val="28"/>
        </w:rPr>
        <w:t>有触媒的反应，应去掉触媒层所占空间；</w:t>
      </w:r>
    </w:p>
    <w:p>
      <w:pPr>
        <w:spacing w:line="360" w:lineRule="auto"/>
        <w:rPr>
          <w:rFonts w:ascii="宋体" w:hAnsi="宋体"/>
          <w:color w:val="auto"/>
          <w:sz w:val="28"/>
          <w:szCs w:val="28"/>
        </w:rPr>
      </w:pPr>
      <w:r>
        <w:rPr>
          <w:rFonts w:hint="eastAsia" w:ascii="宋体" w:hAnsi="宋体"/>
          <w:color w:val="auto"/>
          <w:sz w:val="28"/>
          <w:szCs w:val="28"/>
        </w:rPr>
        <w:t xml:space="preserve">     ②气液混合反应，应按其反应的形态选择上述规定。危险度分级图如图5-</w:t>
      </w:r>
      <w:r>
        <w:rPr>
          <w:rFonts w:ascii="宋体" w:hAnsi="宋体"/>
          <w:color w:val="auto"/>
          <w:sz w:val="28"/>
          <w:szCs w:val="28"/>
        </w:rPr>
        <w:t>1</w:t>
      </w:r>
      <w:r>
        <w:rPr>
          <w:rFonts w:hint="eastAsia" w:ascii="宋体" w:hAnsi="宋体"/>
          <w:color w:val="auto"/>
          <w:sz w:val="28"/>
          <w:szCs w:val="28"/>
        </w:rPr>
        <w:t>所示：</w:t>
      </w:r>
    </w:p>
    <w:p>
      <w:pPr>
        <w:spacing w:line="360" w:lineRule="auto"/>
        <w:ind w:firstLine="420" w:firstLineChars="200"/>
        <w:rPr>
          <w:rFonts w:ascii="宋体" w:hAnsi="宋体"/>
          <w:color w:val="auto"/>
          <w:sz w:val="28"/>
          <w:szCs w:val="28"/>
        </w:rPr>
      </w:pPr>
      <w:r>
        <w:rPr>
          <w:color w:val="auto"/>
        </w:rPr>
        <w:drawing>
          <wp:inline distT="0" distB="0" distL="0" distR="0">
            <wp:extent cx="4975860" cy="49847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975860" cy="498475"/>
                    </a:xfrm>
                    <a:prstGeom prst="rect">
                      <a:avLst/>
                    </a:prstGeom>
                    <a:noFill/>
                    <a:ln>
                      <a:noFill/>
                    </a:ln>
                  </pic:spPr>
                </pic:pic>
              </a:graphicData>
            </a:graphic>
          </wp:inline>
        </w:drawing>
      </w:r>
    </w:p>
    <w:p>
      <w:pPr>
        <w:spacing w:line="360" w:lineRule="auto"/>
        <w:ind w:firstLine="422" w:firstLineChars="200"/>
        <w:jc w:val="center"/>
        <w:rPr>
          <w:rFonts w:ascii="宋体" w:hAnsi="宋体"/>
          <w:color w:val="auto"/>
          <w:sz w:val="28"/>
          <w:szCs w:val="28"/>
        </w:rPr>
      </w:pPr>
      <w:r>
        <w:rPr>
          <w:rFonts w:hint="eastAsia" w:ascii="宋体" w:hAnsi="宋体"/>
          <w:b/>
          <w:color w:val="auto"/>
        </w:rPr>
        <w:t>图5-</w:t>
      </w:r>
      <w:r>
        <w:rPr>
          <w:rFonts w:ascii="宋体" w:hAnsi="宋体"/>
          <w:b/>
          <w:color w:val="auto"/>
        </w:rPr>
        <w:t>1</w:t>
      </w:r>
      <w:r>
        <w:rPr>
          <w:rFonts w:hint="eastAsia" w:ascii="宋体" w:hAnsi="宋体"/>
          <w:b/>
          <w:color w:val="auto"/>
        </w:rPr>
        <w:t>危险度分级图</w:t>
      </w:r>
    </w:p>
    <w:p>
      <w:pPr>
        <w:spacing w:line="360" w:lineRule="auto"/>
        <w:ind w:firstLine="560" w:firstLineChars="200"/>
        <w:rPr>
          <w:rFonts w:ascii="宋体" w:hAnsi="宋体"/>
          <w:color w:val="auto"/>
          <w:sz w:val="28"/>
          <w:szCs w:val="28"/>
        </w:rPr>
      </w:pPr>
      <w:r>
        <w:rPr>
          <w:rFonts w:hint="eastAsia" w:ascii="宋体" w:hAnsi="宋体"/>
          <w:color w:val="auto"/>
          <w:sz w:val="28"/>
          <w:szCs w:val="28"/>
        </w:rPr>
        <w:t>16点以上为1级，属高度危险；</w:t>
      </w:r>
    </w:p>
    <w:p>
      <w:pPr>
        <w:spacing w:line="360" w:lineRule="auto"/>
        <w:ind w:firstLine="560" w:firstLineChars="200"/>
        <w:rPr>
          <w:rFonts w:ascii="宋体" w:hAnsi="宋体"/>
          <w:color w:val="auto"/>
          <w:sz w:val="28"/>
          <w:szCs w:val="28"/>
        </w:rPr>
      </w:pPr>
      <w:r>
        <w:rPr>
          <w:rFonts w:hint="eastAsia" w:ascii="宋体" w:hAnsi="宋体"/>
          <w:color w:val="auto"/>
          <w:sz w:val="28"/>
          <w:szCs w:val="28"/>
        </w:rPr>
        <w:t>11～15点为2级，需同周围情况用其他设备联系起来进行评价；</w:t>
      </w:r>
    </w:p>
    <w:p>
      <w:pPr>
        <w:spacing w:line="360" w:lineRule="auto"/>
        <w:ind w:firstLine="560" w:firstLineChars="200"/>
        <w:rPr>
          <w:rFonts w:ascii="宋体" w:hAnsi="宋体"/>
          <w:color w:val="auto"/>
          <w:sz w:val="28"/>
          <w:szCs w:val="28"/>
        </w:rPr>
      </w:pPr>
      <w:r>
        <w:rPr>
          <w:rFonts w:hint="eastAsia" w:ascii="宋体" w:hAnsi="宋体"/>
          <w:color w:val="auto"/>
          <w:sz w:val="28"/>
          <w:szCs w:val="28"/>
        </w:rPr>
        <w:t>1～10点为3级，属低危险度。</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物质：物质本身固有的点火性、可燃性和爆炸性的程度；</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容量：单元中处理的物料量；</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温度：运行温度和点火温度的关系；</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压力：运行压力（超高压、高压、中压、低压）；</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操作：运行条件引起爆炸或异常反应的可能性。</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危险度分级表见表5-</w:t>
      </w:r>
      <w:r>
        <w:rPr>
          <w:rFonts w:ascii="宋体" w:hAnsi="宋体"/>
          <w:color w:val="auto"/>
          <w:sz w:val="28"/>
          <w:szCs w:val="28"/>
        </w:rPr>
        <w:t>5</w:t>
      </w:r>
      <w:r>
        <w:rPr>
          <w:rFonts w:hint="eastAsia" w:ascii="宋体" w:hAnsi="宋体"/>
          <w:color w:val="auto"/>
          <w:sz w:val="28"/>
          <w:szCs w:val="28"/>
        </w:rPr>
        <w:t>。</w:t>
      </w:r>
    </w:p>
    <w:p>
      <w:pPr>
        <w:jc w:val="center"/>
        <w:rPr>
          <w:rFonts w:ascii="宋体" w:hAnsi="宋体"/>
          <w:color w:val="auto"/>
        </w:rPr>
      </w:pPr>
      <w:r>
        <w:rPr>
          <w:rFonts w:hint="eastAsia" w:ascii="宋体" w:hAnsi="宋体"/>
          <w:color w:val="auto"/>
        </w:rPr>
        <w:t>表5-</w:t>
      </w:r>
      <w:r>
        <w:rPr>
          <w:rFonts w:ascii="宋体" w:hAnsi="宋体"/>
          <w:color w:val="auto"/>
        </w:rPr>
        <w:t>5</w:t>
      </w:r>
      <w:r>
        <w:rPr>
          <w:rFonts w:hint="eastAsia" w:ascii="宋体" w:hAnsi="宋体"/>
          <w:color w:val="auto"/>
        </w:rPr>
        <w:t>危险度分级表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82"/>
        <w:gridCol w:w="2350"/>
        <w:gridCol w:w="2350"/>
        <w:gridCol w:w="18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82" w:type="dxa"/>
            <w:tcBorders>
              <w:top w:val="single" w:color="auto" w:sz="12" w:space="0"/>
              <w:left w:val="single" w:color="auto" w:sz="12" w:space="0"/>
              <w:bottom w:val="single" w:color="auto" w:sz="4" w:space="0"/>
              <w:right w:val="single" w:color="auto" w:sz="4" w:space="0"/>
            </w:tcBorders>
            <w:vAlign w:val="center"/>
          </w:tcPr>
          <w:p>
            <w:pPr>
              <w:rPr>
                <w:color w:val="auto"/>
              </w:rPr>
            </w:pPr>
            <w:r>
              <w:rPr>
                <w:rFonts w:hint="eastAsia" w:ascii="宋体" w:hAnsi="宋体"/>
                <w:color w:val="auto"/>
              </w:rPr>
              <w:t>总分值</w:t>
            </w:r>
          </w:p>
        </w:tc>
        <w:tc>
          <w:tcPr>
            <w:tcW w:w="2350" w:type="dxa"/>
            <w:tcBorders>
              <w:top w:val="single" w:color="auto" w:sz="12" w:space="0"/>
              <w:left w:val="single" w:color="auto" w:sz="4" w:space="0"/>
              <w:bottom w:val="single" w:color="auto" w:sz="4" w:space="0"/>
              <w:right w:val="single" w:color="auto" w:sz="4" w:space="0"/>
            </w:tcBorders>
            <w:vAlign w:val="center"/>
          </w:tcPr>
          <w:p>
            <w:pPr>
              <w:rPr>
                <w:color w:val="auto"/>
              </w:rPr>
            </w:pPr>
            <w:r>
              <w:rPr>
                <w:rFonts w:hint="eastAsia" w:ascii="宋体" w:hAnsi="宋体"/>
                <w:color w:val="auto"/>
              </w:rPr>
              <w:t>≥</w:t>
            </w:r>
            <w:r>
              <w:rPr>
                <w:rFonts w:hint="eastAsia"/>
                <w:color w:val="auto"/>
              </w:rPr>
              <w:t>16</w:t>
            </w:r>
            <w:r>
              <w:rPr>
                <w:rFonts w:hint="eastAsia" w:ascii="宋体" w:hAnsi="宋体"/>
                <w:color w:val="auto"/>
              </w:rPr>
              <w:t>分</w:t>
            </w:r>
          </w:p>
        </w:tc>
        <w:tc>
          <w:tcPr>
            <w:tcW w:w="2350" w:type="dxa"/>
            <w:tcBorders>
              <w:top w:val="single" w:color="auto" w:sz="12" w:space="0"/>
              <w:left w:val="single" w:color="auto" w:sz="4" w:space="0"/>
              <w:bottom w:val="single" w:color="auto" w:sz="4" w:space="0"/>
              <w:right w:val="single" w:color="auto" w:sz="4" w:space="0"/>
            </w:tcBorders>
            <w:vAlign w:val="center"/>
          </w:tcPr>
          <w:p>
            <w:pPr>
              <w:rPr>
                <w:color w:val="auto"/>
              </w:rPr>
            </w:pPr>
            <w:r>
              <w:rPr>
                <w:rFonts w:hint="eastAsia"/>
                <w:color w:val="auto"/>
              </w:rPr>
              <w:t>11</w:t>
            </w:r>
            <w:r>
              <w:rPr>
                <w:rFonts w:hint="eastAsia" w:ascii="宋体" w:hAnsi="宋体"/>
                <w:color w:val="auto"/>
              </w:rPr>
              <w:t>～</w:t>
            </w:r>
            <w:r>
              <w:rPr>
                <w:rFonts w:hint="eastAsia"/>
                <w:color w:val="auto"/>
              </w:rPr>
              <w:t>15</w:t>
            </w:r>
            <w:r>
              <w:rPr>
                <w:rFonts w:hint="eastAsia" w:ascii="宋体" w:hAnsi="宋体"/>
                <w:color w:val="auto"/>
              </w:rPr>
              <w:t>分</w:t>
            </w:r>
          </w:p>
        </w:tc>
        <w:tc>
          <w:tcPr>
            <w:tcW w:w="1878" w:type="dxa"/>
            <w:tcBorders>
              <w:top w:val="single" w:color="auto" w:sz="12" w:space="0"/>
              <w:left w:val="single" w:color="auto" w:sz="4" w:space="0"/>
              <w:bottom w:val="single" w:color="auto" w:sz="4" w:space="0"/>
              <w:right w:val="single" w:color="auto" w:sz="12" w:space="0"/>
            </w:tcBorders>
            <w:vAlign w:val="center"/>
          </w:tcPr>
          <w:p>
            <w:pPr>
              <w:rPr>
                <w:color w:val="auto"/>
              </w:rPr>
            </w:pPr>
            <w:r>
              <w:rPr>
                <w:rFonts w:hint="eastAsia" w:ascii="宋体" w:hAnsi="宋体"/>
                <w:color w:val="auto"/>
              </w:rPr>
              <w:t>≤</w:t>
            </w:r>
            <w:r>
              <w:rPr>
                <w:rFonts w:hint="eastAsia"/>
                <w:color w:val="auto"/>
              </w:rPr>
              <w:t>10</w:t>
            </w:r>
            <w:r>
              <w:rPr>
                <w:rFonts w:hint="eastAsia" w:ascii="宋体" w:hAnsi="宋体"/>
                <w:color w:val="auto"/>
              </w:rPr>
              <w:t>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82" w:type="dxa"/>
            <w:tcBorders>
              <w:top w:val="single" w:color="auto" w:sz="4" w:space="0"/>
              <w:left w:val="single" w:color="auto" w:sz="12" w:space="0"/>
              <w:bottom w:val="single" w:color="auto" w:sz="4" w:space="0"/>
              <w:right w:val="single" w:color="auto" w:sz="4" w:space="0"/>
            </w:tcBorders>
            <w:vAlign w:val="center"/>
          </w:tcPr>
          <w:p>
            <w:pPr>
              <w:rPr>
                <w:color w:val="auto"/>
              </w:rPr>
            </w:pPr>
            <w:r>
              <w:rPr>
                <w:rFonts w:hint="eastAsia" w:ascii="宋体" w:hAnsi="宋体"/>
                <w:color w:val="auto"/>
              </w:rPr>
              <w:t>等级</w:t>
            </w:r>
          </w:p>
        </w:tc>
        <w:tc>
          <w:tcPr>
            <w:tcW w:w="2350" w:type="dxa"/>
            <w:tcBorders>
              <w:top w:val="single" w:color="auto" w:sz="4" w:space="0"/>
              <w:left w:val="single" w:color="auto" w:sz="4" w:space="0"/>
              <w:bottom w:val="single" w:color="auto" w:sz="4" w:space="0"/>
              <w:right w:val="single" w:color="auto" w:sz="4" w:space="0"/>
            </w:tcBorders>
            <w:vAlign w:val="center"/>
          </w:tcPr>
          <w:p>
            <w:pPr>
              <w:rPr>
                <w:color w:val="auto"/>
              </w:rPr>
            </w:pPr>
            <w:r>
              <w:rPr>
                <w:rFonts w:hint="eastAsia" w:ascii="宋体" w:hAnsi="宋体"/>
                <w:color w:val="auto"/>
              </w:rPr>
              <w:t>Ⅰ</w:t>
            </w:r>
          </w:p>
        </w:tc>
        <w:tc>
          <w:tcPr>
            <w:tcW w:w="2350" w:type="dxa"/>
            <w:tcBorders>
              <w:top w:val="single" w:color="auto" w:sz="4" w:space="0"/>
              <w:left w:val="single" w:color="auto" w:sz="4" w:space="0"/>
              <w:bottom w:val="single" w:color="auto" w:sz="4" w:space="0"/>
              <w:right w:val="single" w:color="auto" w:sz="4" w:space="0"/>
            </w:tcBorders>
            <w:vAlign w:val="center"/>
          </w:tcPr>
          <w:p>
            <w:pPr>
              <w:rPr>
                <w:color w:val="auto"/>
              </w:rPr>
            </w:pPr>
            <w:r>
              <w:rPr>
                <w:rFonts w:hint="eastAsia" w:ascii="宋体" w:hAnsi="宋体"/>
                <w:color w:val="auto"/>
              </w:rPr>
              <w:t>Ⅱ</w:t>
            </w:r>
          </w:p>
        </w:tc>
        <w:tc>
          <w:tcPr>
            <w:tcW w:w="1878" w:type="dxa"/>
            <w:tcBorders>
              <w:top w:val="single" w:color="auto" w:sz="4" w:space="0"/>
              <w:left w:val="single" w:color="auto" w:sz="4" w:space="0"/>
              <w:bottom w:val="single" w:color="auto" w:sz="4" w:space="0"/>
              <w:right w:val="single" w:color="auto" w:sz="12" w:space="0"/>
            </w:tcBorders>
            <w:vAlign w:val="center"/>
          </w:tcPr>
          <w:p>
            <w:pPr>
              <w:rPr>
                <w:color w:val="auto"/>
              </w:rPr>
            </w:pPr>
            <w:r>
              <w:rPr>
                <w:rFonts w:hint="eastAsia" w:ascii="宋体" w:hAnsi="宋体"/>
                <w:color w:val="auto"/>
              </w:rPr>
              <w:t>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82" w:type="dxa"/>
            <w:tcBorders>
              <w:top w:val="single" w:color="auto" w:sz="4" w:space="0"/>
              <w:left w:val="single" w:color="auto" w:sz="12" w:space="0"/>
              <w:bottom w:val="single" w:color="auto" w:sz="12" w:space="0"/>
              <w:right w:val="single" w:color="auto" w:sz="4" w:space="0"/>
            </w:tcBorders>
            <w:vAlign w:val="center"/>
          </w:tcPr>
          <w:p>
            <w:pPr>
              <w:rPr>
                <w:color w:val="auto"/>
              </w:rPr>
            </w:pPr>
            <w:r>
              <w:rPr>
                <w:rFonts w:hint="eastAsia" w:ascii="宋体" w:hAnsi="宋体"/>
                <w:color w:val="auto"/>
              </w:rPr>
              <w:t>危险程度</w:t>
            </w:r>
          </w:p>
        </w:tc>
        <w:tc>
          <w:tcPr>
            <w:tcW w:w="2350" w:type="dxa"/>
            <w:tcBorders>
              <w:top w:val="single" w:color="auto" w:sz="4" w:space="0"/>
              <w:left w:val="single" w:color="auto" w:sz="4" w:space="0"/>
              <w:bottom w:val="single" w:color="auto" w:sz="12" w:space="0"/>
              <w:right w:val="single" w:color="auto" w:sz="4" w:space="0"/>
            </w:tcBorders>
            <w:vAlign w:val="center"/>
          </w:tcPr>
          <w:p>
            <w:pPr>
              <w:rPr>
                <w:color w:val="auto"/>
              </w:rPr>
            </w:pPr>
            <w:r>
              <w:rPr>
                <w:rFonts w:hint="eastAsia" w:ascii="宋体" w:hAnsi="宋体"/>
                <w:color w:val="auto"/>
              </w:rPr>
              <w:t>高度危险</w:t>
            </w:r>
          </w:p>
        </w:tc>
        <w:tc>
          <w:tcPr>
            <w:tcW w:w="2350" w:type="dxa"/>
            <w:tcBorders>
              <w:top w:val="single" w:color="auto" w:sz="4" w:space="0"/>
              <w:left w:val="single" w:color="auto" w:sz="4" w:space="0"/>
              <w:bottom w:val="single" w:color="auto" w:sz="12" w:space="0"/>
              <w:right w:val="single" w:color="auto" w:sz="4" w:space="0"/>
            </w:tcBorders>
            <w:vAlign w:val="center"/>
          </w:tcPr>
          <w:p>
            <w:pPr>
              <w:rPr>
                <w:color w:val="auto"/>
              </w:rPr>
            </w:pPr>
            <w:r>
              <w:rPr>
                <w:rFonts w:hint="eastAsia" w:ascii="宋体" w:hAnsi="宋体"/>
                <w:color w:val="auto"/>
              </w:rPr>
              <w:t>中度危险</w:t>
            </w:r>
          </w:p>
        </w:tc>
        <w:tc>
          <w:tcPr>
            <w:tcW w:w="1878" w:type="dxa"/>
            <w:tcBorders>
              <w:top w:val="single" w:color="auto" w:sz="4" w:space="0"/>
              <w:left w:val="single" w:color="auto" w:sz="4" w:space="0"/>
              <w:bottom w:val="single" w:color="auto" w:sz="12" w:space="0"/>
              <w:right w:val="single" w:color="auto" w:sz="12" w:space="0"/>
            </w:tcBorders>
            <w:vAlign w:val="center"/>
          </w:tcPr>
          <w:p>
            <w:pPr>
              <w:rPr>
                <w:color w:val="auto"/>
              </w:rPr>
            </w:pPr>
            <w:r>
              <w:rPr>
                <w:rFonts w:hint="eastAsia" w:ascii="宋体" w:hAnsi="宋体"/>
                <w:color w:val="auto"/>
              </w:rPr>
              <w:t>低度危险</w:t>
            </w:r>
          </w:p>
        </w:tc>
      </w:tr>
    </w:tbl>
    <w:p>
      <w:pPr>
        <w:keepNext/>
        <w:keepLines/>
        <w:spacing w:line="600" w:lineRule="exact"/>
        <w:jc w:val="left"/>
        <w:outlineLvl w:val="1"/>
        <w:rPr>
          <w:b/>
          <w:color w:val="auto"/>
          <w:sz w:val="30"/>
          <w:szCs w:val="30"/>
        </w:rPr>
      </w:pPr>
      <w:bookmarkStart w:id="121" w:name="_Toc144109189"/>
      <w:r>
        <w:rPr>
          <w:b/>
          <w:color w:val="auto"/>
          <w:sz w:val="30"/>
          <w:szCs w:val="30"/>
        </w:rPr>
        <w:t>5.3</w:t>
      </w:r>
      <w:r>
        <w:rPr>
          <w:rFonts w:hint="eastAsia"/>
          <w:b/>
          <w:color w:val="auto"/>
          <w:sz w:val="30"/>
          <w:szCs w:val="30"/>
        </w:rPr>
        <w:t xml:space="preserve"> </w:t>
      </w:r>
      <w:r>
        <w:rPr>
          <w:rFonts w:ascii="宋体" w:hAnsi="宋体"/>
          <w:b/>
          <w:color w:val="auto"/>
          <w:sz w:val="30"/>
          <w:szCs w:val="30"/>
        </w:rPr>
        <w:t>评价单元与评价方法汇总</w:t>
      </w:r>
      <w:bookmarkEnd w:id="121"/>
    </w:p>
    <w:p>
      <w:pPr>
        <w:spacing w:line="600" w:lineRule="exact"/>
        <w:ind w:firstLine="478" w:firstLineChars="171"/>
        <w:rPr>
          <w:rFonts w:ascii="宋体" w:hAnsi="宋体"/>
          <w:color w:val="auto"/>
          <w:sz w:val="28"/>
          <w:szCs w:val="28"/>
        </w:rPr>
      </w:pPr>
      <w:r>
        <w:rPr>
          <w:rFonts w:ascii="宋体" w:hAnsi="宋体"/>
          <w:color w:val="auto"/>
          <w:sz w:val="28"/>
          <w:szCs w:val="28"/>
        </w:rPr>
        <w:t>根据评价单元划分原则和评价方法选取原则，本次评价中，主要评价单元所采用的评价方法如表</w:t>
      </w:r>
      <w:r>
        <w:rPr>
          <w:color w:val="auto"/>
          <w:sz w:val="28"/>
          <w:szCs w:val="28"/>
        </w:rPr>
        <w:t>5-5</w:t>
      </w:r>
      <w:r>
        <w:rPr>
          <w:rFonts w:ascii="宋体" w:hAnsi="宋体"/>
          <w:color w:val="auto"/>
          <w:sz w:val="28"/>
          <w:szCs w:val="28"/>
        </w:rPr>
        <w:t>。</w:t>
      </w:r>
    </w:p>
    <w:p>
      <w:pPr>
        <w:spacing w:line="600" w:lineRule="exact"/>
        <w:jc w:val="center"/>
        <w:rPr>
          <w:rFonts w:ascii="宋体" w:hAnsi="宋体"/>
          <w:color w:val="auto"/>
          <w:sz w:val="24"/>
        </w:rPr>
      </w:pPr>
      <w:r>
        <w:rPr>
          <w:rFonts w:ascii="宋体" w:hAnsi="宋体"/>
          <w:color w:val="auto"/>
          <w:sz w:val="24"/>
        </w:rPr>
        <w:t>表</w:t>
      </w:r>
      <w:r>
        <w:rPr>
          <w:color w:val="auto"/>
          <w:sz w:val="24"/>
        </w:rPr>
        <w:t xml:space="preserve">5-5  </w:t>
      </w:r>
      <w:r>
        <w:rPr>
          <w:rFonts w:ascii="宋体" w:hAnsi="宋体"/>
          <w:color w:val="auto"/>
          <w:sz w:val="24"/>
        </w:rPr>
        <w:t>评价单元及评价方法汇总表</w:t>
      </w:r>
    </w:p>
    <w:tbl>
      <w:tblPr>
        <w:tblStyle w:val="31"/>
        <w:tblW w:w="9590"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704"/>
        <w:gridCol w:w="2901"/>
        <w:gridCol w:w="1579"/>
        <w:gridCol w:w="2203"/>
        <w:gridCol w:w="220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57" w:hRule="atLeast"/>
          <w:jc w:val="center"/>
        </w:trPr>
        <w:tc>
          <w:tcPr>
            <w:tcW w:w="3605" w:type="dxa"/>
            <w:gridSpan w:val="2"/>
            <w:tcBorders>
              <w:top w:val="single" w:color="000000" w:sz="4" w:space="0"/>
              <w:left w:val="single" w:color="000000" w:sz="4"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评价方法</w:t>
            </w:r>
          </w:p>
          <w:p>
            <w:pPr>
              <w:jc w:val="center"/>
              <w:rPr>
                <w:rFonts w:ascii="宋体" w:hAnsi="宋体"/>
                <w:color w:val="auto"/>
              </w:rPr>
            </w:pPr>
            <w:r>
              <w:rPr>
                <w:rFonts w:hint="eastAsia" w:ascii="宋体" w:hAnsi="宋体"/>
                <w:color w:val="auto"/>
              </w:rPr>
              <w:t>评价单元</w:t>
            </w:r>
          </w:p>
        </w:tc>
        <w:tc>
          <w:tcPr>
            <w:tcW w:w="1579"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安全检查表法</w:t>
            </w:r>
          </w:p>
        </w:tc>
        <w:tc>
          <w:tcPr>
            <w:tcW w:w="2203" w:type="dxa"/>
            <w:tcBorders>
              <w:top w:val="single" w:color="000000" w:sz="4" w:space="0"/>
              <w:left w:val="single" w:color="000000" w:sz="6" w:space="0"/>
              <w:bottom w:val="single" w:color="000000" w:sz="6" w:space="0"/>
              <w:right w:val="single" w:color="000000" w:sz="4" w:space="0"/>
            </w:tcBorders>
            <w:vAlign w:val="center"/>
          </w:tcPr>
          <w:p>
            <w:pPr>
              <w:jc w:val="center"/>
              <w:rPr>
                <w:rFonts w:ascii="宋体" w:hAnsi="宋体"/>
                <w:color w:val="auto"/>
              </w:rPr>
            </w:pPr>
            <w:r>
              <w:rPr>
                <w:rFonts w:hint="eastAsia" w:ascii="宋体" w:hAnsi="宋体"/>
                <w:color w:val="auto"/>
              </w:rPr>
              <w:t>预先危险分析法</w:t>
            </w:r>
          </w:p>
        </w:tc>
        <w:tc>
          <w:tcPr>
            <w:tcW w:w="2203" w:type="dxa"/>
            <w:tcBorders>
              <w:top w:val="single" w:color="000000" w:sz="4" w:space="0"/>
              <w:left w:val="single" w:color="000000" w:sz="6" w:space="0"/>
              <w:bottom w:val="single" w:color="000000" w:sz="6" w:space="0"/>
              <w:right w:val="single" w:color="000000" w:sz="4" w:space="0"/>
            </w:tcBorders>
            <w:vAlign w:val="center"/>
          </w:tcPr>
          <w:p>
            <w:pPr>
              <w:jc w:val="center"/>
              <w:rPr>
                <w:rFonts w:ascii="宋体" w:hAnsi="宋体"/>
                <w:color w:val="auto"/>
              </w:rPr>
            </w:pPr>
            <w:r>
              <w:rPr>
                <w:rFonts w:hint="eastAsia" w:ascii="宋体" w:hAnsi="宋体"/>
                <w:color w:val="auto"/>
              </w:rPr>
              <w:t>危险度分析法</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04" w:hRule="atLeast"/>
          <w:jc w:val="center"/>
        </w:trPr>
        <w:tc>
          <w:tcPr>
            <w:tcW w:w="3605" w:type="dxa"/>
            <w:gridSpan w:val="2"/>
            <w:tcBorders>
              <w:top w:val="single" w:color="000000" w:sz="6" w:space="0"/>
              <w:left w:val="single" w:color="000000" w:sz="4"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项目选址与周边环境单元</w:t>
            </w:r>
          </w:p>
        </w:tc>
        <w:tc>
          <w:tcPr>
            <w:tcW w:w="1579"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6" w:space="0"/>
              <w:right w:val="single" w:color="000000" w:sz="4"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6"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04" w:hRule="atLeast"/>
          <w:jc w:val="center"/>
        </w:trPr>
        <w:tc>
          <w:tcPr>
            <w:tcW w:w="3605" w:type="dxa"/>
            <w:gridSpan w:val="2"/>
            <w:tcBorders>
              <w:top w:val="single" w:color="000000" w:sz="6" w:space="0"/>
              <w:left w:val="single" w:color="000000" w:sz="4"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平面布置及建构筑物单元</w:t>
            </w:r>
          </w:p>
        </w:tc>
        <w:tc>
          <w:tcPr>
            <w:tcW w:w="1579"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6" w:space="0"/>
              <w:right w:val="single" w:color="000000" w:sz="4"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6"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42" w:hRule="atLeast"/>
          <w:jc w:val="center"/>
        </w:trPr>
        <w:tc>
          <w:tcPr>
            <w:tcW w:w="704" w:type="dxa"/>
            <w:vMerge w:val="restart"/>
            <w:tcBorders>
              <w:top w:val="single" w:color="000000" w:sz="6" w:space="0"/>
              <w:left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生产工艺装置单元</w:t>
            </w: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01</w:t>
            </w:r>
            <w:r>
              <w:rPr>
                <w:rFonts w:hint="eastAsia" w:ascii="宋体" w:hAnsi="宋体"/>
                <w:color w:val="auto"/>
              </w:rPr>
              <w:t>甲类车间一子单元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80" w:hRule="atLeast"/>
          <w:jc w:val="center"/>
        </w:trPr>
        <w:tc>
          <w:tcPr>
            <w:tcW w:w="704" w:type="dxa"/>
            <w:vMerge w:val="continue"/>
            <w:tcBorders>
              <w:left w:val="single" w:color="000000" w:sz="4" w:space="0"/>
              <w:right w:val="single" w:color="000000" w:sz="6" w:space="0"/>
            </w:tcBorders>
            <w:vAlign w:val="center"/>
          </w:tcPr>
          <w:p>
            <w:pPr>
              <w:jc w:val="center"/>
              <w:rPr>
                <w:rFonts w:ascii="宋体" w:hAnsi="宋体"/>
                <w:color w:val="auto"/>
              </w:rPr>
            </w:pP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03</w:t>
            </w:r>
            <w:r>
              <w:rPr>
                <w:rFonts w:hint="eastAsia" w:ascii="宋体" w:hAnsi="宋体"/>
                <w:color w:val="auto"/>
              </w:rPr>
              <w:t>液体制剂车间子单元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9" w:hRule="atLeast"/>
          <w:jc w:val="center"/>
        </w:trPr>
        <w:tc>
          <w:tcPr>
            <w:tcW w:w="704" w:type="dxa"/>
            <w:vMerge w:val="continue"/>
            <w:tcBorders>
              <w:left w:val="single" w:color="000000" w:sz="4" w:space="0"/>
              <w:bottom w:val="single" w:color="000000" w:sz="4" w:space="0"/>
              <w:right w:val="single" w:color="000000" w:sz="6" w:space="0"/>
            </w:tcBorders>
            <w:vAlign w:val="center"/>
          </w:tcPr>
          <w:p>
            <w:pPr>
              <w:jc w:val="center"/>
              <w:rPr>
                <w:rFonts w:ascii="宋体" w:hAnsi="宋体"/>
                <w:color w:val="auto"/>
              </w:rPr>
            </w:pP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04</w:t>
            </w:r>
            <w:r>
              <w:rPr>
                <w:rFonts w:hint="eastAsia" w:ascii="宋体" w:hAnsi="宋体"/>
                <w:color w:val="auto"/>
              </w:rPr>
              <w:t>颗粒剂车间子单元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15" w:hRule="atLeast"/>
          <w:jc w:val="center"/>
        </w:trPr>
        <w:tc>
          <w:tcPr>
            <w:tcW w:w="704" w:type="dxa"/>
            <w:vMerge w:val="restart"/>
            <w:tcBorders>
              <w:top w:val="single" w:color="000000" w:sz="6" w:space="0"/>
              <w:left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公用工程及辅助系统</w:t>
            </w: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电气子单元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3" w:hRule="atLeast"/>
          <w:jc w:val="center"/>
        </w:trPr>
        <w:tc>
          <w:tcPr>
            <w:tcW w:w="704" w:type="dxa"/>
            <w:vMerge w:val="continue"/>
            <w:tcBorders>
              <w:left w:val="single" w:color="000000" w:sz="4" w:space="0"/>
              <w:right w:val="single" w:color="000000" w:sz="6" w:space="0"/>
            </w:tcBorders>
            <w:vAlign w:val="center"/>
          </w:tcPr>
          <w:p>
            <w:pPr>
              <w:jc w:val="center"/>
              <w:rPr>
                <w:rFonts w:ascii="宋体" w:hAnsi="宋体"/>
                <w:color w:val="auto"/>
              </w:rPr>
            </w:pP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仪表自动控制系统子单元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15" w:hRule="atLeast"/>
          <w:jc w:val="center"/>
        </w:trPr>
        <w:tc>
          <w:tcPr>
            <w:tcW w:w="704" w:type="dxa"/>
            <w:vMerge w:val="continue"/>
            <w:tcBorders>
              <w:left w:val="single" w:color="000000" w:sz="4" w:space="0"/>
              <w:right w:val="single" w:color="000000" w:sz="6" w:space="0"/>
            </w:tcBorders>
            <w:vAlign w:val="center"/>
          </w:tcPr>
          <w:p>
            <w:pPr>
              <w:jc w:val="center"/>
              <w:rPr>
                <w:rFonts w:ascii="宋体" w:hAnsi="宋体"/>
                <w:color w:val="auto"/>
              </w:rPr>
            </w:pP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给排水子单元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58" w:hRule="atLeast"/>
          <w:jc w:val="center"/>
        </w:trPr>
        <w:tc>
          <w:tcPr>
            <w:tcW w:w="704" w:type="dxa"/>
            <w:vMerge w:val="continue"/>
            <w:tcBorders>
              <w:left w:val="single" w:color="000000" w:sz="4" w:space="0"/>
              <w:bottom w:val="single" w:color="000000" w:sz="4" w:space="0"/>
              <w:right w:val="single" w:color="000000" w:sz="6" w:space="0"/>
            </w:tcBorders>
            <w:vAlign w:val="center"/>
          </w:tcPr>
          <w:p>
            <w:pPr>
              <w:jc w:val="center"/>
              <w:rPr>
                <w:rFonts w:ascii="宋体" w:hAnsi="宋体"/>
                <w:color w:val="auto"/>
              </w:rPr>
            </w:pPr>
          </w:p>
        </w:tc>
        <w:tc>
          <w:tcPr>
            <w:tcW w:w="2901" w:type="dxa"/>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空压子单元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80" w:hRule="atLeast"/>
          <w:jc w:val="center"/>
        </w:trPr>
        <w:tc>
          <w:tcPr>
            <w:tcW w:w="3605" w:type="dxa"/>
            <w:gridSpan w:val="2"/>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储运系统单元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80" w:hRule="atLeast"/>
          <w:jc w:val="center"/>
        </w:trPr>
        <w:tc>
          <w:tcPr>
            <w:tcW w:w="3605" w:type="dxa"/>
            <w:gridSpan w:val="2"/>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特种设备单元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80" w:hRule="atLeast"/>
          <w:jc w:val="center"/>
        </w:trPr>
        <w:tc>
          <w:tcPr>
            <w:tcW w:w="3605" w:type="dxa"/>
            <w:gridSpan w:val="2"/>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消防单元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65" w:hRule="atLeast"/>
          <w:jc w:val="center"/>
        </w:trPr>
        <w:tc>
          <w:tcPr>
            <w:tcW w:w="3605" w:type="dxa"/>
            <w:gridSpan w:val="2"/>
            <w:tcBorders>
              <w:top w:val="single" w:color="000000" w:sz="6"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安全管理单元</w:t>
            </w:r>
          </w:p>
        </w:tc>
        <w:tc>
          <w:tcPr>
            <w:tcW w:w="1579" w:type="dxa"/>
            <w:tcBorders>
              <w:top w:val="single" w:color="000000" w:sz="6"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w:t>
            </w: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c>
          <w:tcPr>
            <w:tcW w:w="2203" w:type="dxa"/>
            <w:tcBorders>
              <w:top w:val="single" w:color="000000" w:sz="6" w:space="0"/>
              <w:left w:val="single" w:color="000000" w:sz="6" w:space="0"/>
              <w:bottom w:val="single" w:color="000000" w:sz="4" w:space="0"/>
              <w:right w:val="single" w:color="000000" w:sz="4" w:space="0"/>
            </w:tcBorders>
            <w:vAlign w:val="center"/>
          </w:tcPr>
          <w:p>
            <w:pPr>
              <w:jc w:val="center"/>
              <w:rPr>
                <w:rFonts w:ascii="宋体" w:hAnsi="宋体"/>
                <w:color w:val="auto"/>
              </w:rPr>
            </w:pPr>
          </w:p>
        </w:tc>
      </w:tr>
    </w:tbl>
    <w:p>
      <w:pPr>
        <w:keepNext/>
        <w:keepLines/>
        <w:pageBreakBefore/>
        <w:widowControl/>
        <w:spacing w:line="600" w:lineRule="exact"/>
        <w:jc w:val="left"/>
        <w:outlineLvl w:val="0"/>
        <w:rPr>
          <w:rFonts w:ascii="Calibri" w:hAnsi="Calibri"/>
          <w:b/>
          <w:color w:val="auto"/>
          <w:kern w:val="44"/>
          <w:sz w:val="32"/>
          <w:szCs w:val="44"/>
        </w:rPr>
      </w:pPr>
      <w:bookmarkStart w:id="122" w:name="_Toc109631503"/>
      <w:bookmarkEnd w:id="122"/>
      <w:bookmarkStart w:id="123" w:name="_Toc380587608"/>
      <w:bookmarkEnd w:id="123"/>
      <w:bookmarkStart w:id="124" w:name="_Toc252868523"/>
      <w:bookmarkEnd w:id="124"/>
      <w:bookmarkStart w:id="125" w:name="_Toc236020915"/>
      <w:bookmarkEnd w:id="125"/>
      <w:bookmarkStart w:id="126" w:name="_Toc212350930"/>
      <w:bookmarkEnd w:id="126"/>
      <w:bookmarkStart w:id="127" w:name="_Toc144109190"/>
      <w:bookmarkStart w:id="128" w:name="_Toc53083864"/>
      <w:r>
        <w:rPr>
          <w:rFonts w:hint="eastAsia" w:ascii="Calibri" w:hAnsi="Calibri"/>
          <w:b/>
          <w:color w:val="auto"/>
          <w:kern w:val="44"/>
          <w:sz w:val="32"/>
          <w:szCs w:val="44"/>
        </w:rPr>
        <w:t>6 定性、定量分析危险、有害因素的结果</w:t>
      </w:r>
      <w:bookmarkEnd w:id="127"/>
      <w:bookmarkEnd w:id="128"/>
    </w:p>
    <w:p>
      <w:pPr>
        <w:keepNext/>
        <w:keepLines/>
        <w:spacing w:line="600" w:lineRule="exact"/>
        <w:jc w:val="left"/>
        <w:outlineLvl w:val="1"/>
        <w:rPr>
          <w:b/>
          <w:color w:val="auto"/>
          <w:sz w:val="30"/>
          <w:szCs w:val="30"/>
        </w:rPr>
      </w:pPr>
      <w:bookmarkStart w:id="129" w:name="_Toc212350931"/>
      <w:bookmarkEnd w:id="129"/>
      <w:bookmarkStart w:id="130" w:name="_Toc252868524"/>
      <w:bookmarkEnd w:id="130"/>
      <w:bookmarkStart w:id="131" w:name="_Toc236020916"/>
      <w:bookmarkEnd w:id="131"/>
      <w:bookmarkStart w:id="132" w:name="_Toc53083865"/>
      <w:bookmarkEnd w:id="132"/>
      <w:bookmarkStart w:id="133" w:name="_Toc380587609"/>
      <w:bookmarkEnd w:id="133"/>
      <w:bookmarkStart w:id="134" w:name="_Toc109631504"/>
      <w:bookmarkStart w:id="135" w:name="_Toc144109191"/>
      <w:r>
        <w:rPr>
          <w:rFonts w:hint="eastAsia"/>
          <w:b/>
          <w:color w:val="auto"/>
          <w:sz w:val="30"/>
          <w:szCs w:val="30"/>
        </w:rPr>
        <w:t>6.1</w:t>
      </w:r>
      <w:bookmarkEnd w:id="134"/>
      <w:r>
        <w:rPr>
          <w:rFonts w:hint="eastAsia"/>
          <w:b/>
          <w:color w:val="auto"/>
          <w:sz w:val="30"/>
          <w:szCs w:val="30"/>
        </w:rPr>
        <w:t>固有危险程度的分析</w:t>
      </w:r>
      <w:bookmarkEnd w:id="135"/>
    </w:p>
    <w:p>
      <w:pPr>
        <w:keepNext/>
        <w:keepLines/>
        <w:spacing w:line="600" w:lineRule="exact"/>
        <w:jc w:val="left"/>
        <w:outlineLvl w:val="2"/>
        <w:rPr>
          <w:rFonts w:ascii="Calibri" w:hAnsi="Calibri"/>
          <w:b/>
          <w:color w:val="auto"/>
          <w:sz w:val="28"/>
          <w:szCs w:val="32"/>
        </w:rPr>
      </w:pPr>
      <w:bookmarkStart w:id="136" w:name="_Toc380587610"/>
      <w:bookmarkEnd w:id="136"/>
      <w:bookmarkStart w:id="137" w:name="_Toc53083866"/>
      <w:bookmarkEnd w:id="137"/>
      <w:bookmarkStart w:id="138" w:name="_Toc109631505"/>
      <w:bookmarkStart w:id="139" w:name="_Toc144109192"/>
      <w:r>
        <w:rPr>
          <w:rFonts w:hint="eastAsia" w:ascii="Calibri" w:hAnsi="Calibri"/>
          <w:b/>
          <w:color w:val="auto"/>
          <w:sz w:val="28"/>
          <w:szCs w:val="32"/>
        </w:rPr>
        <w:t>6.1.1</w:t>
      </w:r>
      <w:bookmarkEnd w:id="138"/>
      <w:r>
        <w:rPr>
          <w:rFonts w:hint="eastAsia" w:ascii="Calibri" w:hAnsi="Calibri"/>
          <w:b/>
          <w:color w:val="auto"/>
          <w:sz w:val="28"/>
          <w:szCs w:val="32"/>
        </w:rPr>
        <w:t>作业场所的固有危险程度分析</w:t>
      </w:r>
      <w:bookmarkEnd w:id="139"/>
    </w:p>
    <w:p>
      <w:pPr>
        <w:spacing w:line="360" w:lineRule="auto"/>
        <w:ind w:firstLine="560" w:firstLineChars="200"/>
        <w:jc w:val="left"/>
        <w:rPr>
          <w:color w:val="auto"/>
          <w:sz w:val="28"/>
          <w:szCs w:val="28"/>
        </w:rPr>
      </w:pPr>
      <w:bookmarkStart w:id="140" w:name="_Toc336214896"/>
      <w:bookmarkEnd w:id="140"/>
      <w:bookmarkStart w:id="141" w:name="_Toc53083867"/>
      <w:bookmarkEnd w:id="141"/>
      <w:bookmarkStart w:id="142" w:name="_Toc380587611"/>
      <w:bookmarkEnd w:id="142"/>
      <w:bookmarkStart w:id="143" w:name="_Toc265581082"/>
      <w:r>
        <w:rPr>
          <w:rFonts w:hint="eastAsia" w:ascii="宋体" w:hAnsi="宋体" w:cs="Arial"/>
          <w:bCs/>
          <w:color w:val="auto"/>
          <w:sz w:val="28"/>
          <w:szCs w:val="28"/>
        </w:rPr>
        <w:t>依据可研中资料，</w:t>
      </w:r>
      <w:bookmarkEnd w:id="143"/>
      <w:r>
        <w:rPr>
          <w:rFonts w:hint="eastAsia" w:ascii="宋体" w:hAnsi="宋体"/>
          <w:color w:val="auto"/>
          <w:sz w:val="28"/>
          <w:szCs w:val="28"/>
        </w:rPr>
        <w:t>结合相应物质的理化性质及危险特性表，通过分析</w:t>
      </w:r>
      <w:r>
        <w:rPr>
          <w:rFonts w:ascii="宋体" w:hAnsi="宋体"/>
          <w:color w:val="auto"/>
          <w:sz w:val="28"/>
          <w:szCs w:val="28"/>
        </w:rPr>
        <w:t>作业场所固有危险见表</w:t>
      </w:r>
      <w:r>
        <w:rPr>
          <w:rFonts w:hint="eastAsia" w:ascii="宋体" w:hAnsi="宋体"/>
          <w:color w:val="auto"/>
          <w:sz w:val="28"/>
          <w:szCs w:val="28"/>
        </w:rPr>
        <w:t>6.1-1。</w:t>
      </w:r>
    </w:p>
    <w:p>
      <w:pPr>
        <w:ind w:firstLine="570"/>
        <w:jc w:val="center"/>
        <w:rPr>
          <w:rFonts w:ascii="宋体" w:hAnsi="宋体"/>
          <w:color w:val="auto"/>
        </w:rPr>
      </w:pPr>
      <w:r>
        <w:rPr>
          <w:rFonts w:hint="eastAsia" w:ascii="宋体" w:hAnsi="宋体"/>
          <w:color w:val="auto"/>
        </w:rPr>
        <w:t>表6.1-1 主要作业场所固有危险性</w:t>
      </w:r>
    </w:p>
    <w:tbl>
      <w:tblPr>
        <w:tblStyle w:val="31"/>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3551"/>
        <w:gridCol w:w="707"/>
        <w:gridCol w:w="1843"/>
        <w:gridCol w:w="708"/>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hint="eastAsia" w:ascii="宋体" w:hAnsi="宋体"/>
                <w:color w:val="auto"/>
              </w:rPr>
              <w:t>装置（场所）</w:t>
            </w:r>
          </w:p>
        </w:tc>
        <w:tc>
          <w:tcPr>
            <w:tcW w:w="35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ascii="宋体" w:hAnsi="宋体"/>
                <w:color w:val="auto"/>
              </w:rPr>
              <w:t>主要危险物料</w:t>
            </w:r>
          </w:p>
        </w:tc>
        <w:tc>
          <w:tcPr>
            <w:tcW w:w="70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ascii="宋体" w:hAnsi="宋体"/>
                <w:color w:val="auto"/>
              </w:rPr>
              <w:t>火</w:t>
            </w:r>
            <w:r>
              <w:rPr>
                <w:rFonts w:hint="eastAsia" w:ascii="宋体" w:hAnsi="宋体"/>
                <w:color w:val="auto"/>
              </w:rPr>
              <w:t>险等级</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hint="eastAsia" w:ascii="宋体" w:hAnsi="宋体"/>
                <w:color w:val="auto"/>
              </w:rPr>
              <w:t>爆炸危险环境</w:t>
            </w:r>
          </w:p>
        </w:tc>
        <w:tc>
          <w:tcPr>
            <w:tcW w:w="70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hint="eastAsia" w:ascii="宋体" w:hAnsi="宋体"/>
                <w:color w:val="auto"/>
              </w:rPr>
              <w:t>卫生环境</w:t>
            </w:r>
          </w:p>
        </w:tc>
        <w:tc>
          <w:tcPr>
            <w:tcW w:w="113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rPr>
            </w:pPr>
            <w:r>
              <w:rPr>
                <w:rFonts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vAlign w:val="center"/>
          </w:tcPr>
          <w:p>
            <w:pPr>
              <w:pStyle w:val="72"/>
              <w:adjustRightInd w:val="0"/>
              <w:snapToGrid w:val="0"/>
              <w:ind w:firstLine="0" w:firstLineChars="0"/>
              <w:jc w:val="left"/>
              <w:rPr>
                <w:rFonts w:cs="Times New Roman"/>
                <w:color w:val="auto"/>
                <w:sz w:val="21"/>
                <w:szCs w:val="21"/>
              </w:rPr>
            </w:pPr>
            <w:r>
              <w:rPr>
                <w:rFonts w:hint="eastAsia" w:cs="Times New Roman"/>
                <w:color w:val="auto"/>
                <w:sz w:val="21"/>
                <w:szCs w:val="21"/>
              </w:rPr>
              <w:t>1</w:t>
            </w:r>
            <w:r>
              <w:rPr>
                <w:rFonts w:cs="Times New Roman"/>
                <w:color w:val="auto"/>
                <w:sz w:val="21"/>
                <w:szCs w:val="21"/>
              </w:rPr>
              <w:t>01</w:t>
            </w:r>
            <w:r>
              <w:rPr>
                <w:rFonts w:hint="eastAsia" w:cs="Times New Roman"/>
                <w:color w:val="auto"/>
                <w:sz w:val="21"/>
                <w:szCs w:val="21"/>
              </w:rPr>
              <w:t>甲类车间一</w:t>
            </w:r>
          </w:p>
        </w:tc>
        <w:tc>
          <w:tcPr>
            <w:tcW w:w="3551"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sz w:val="18"/>
                <w:szCs w:val="18"/>
              </w:rPr>
            </w:pPr>
            <w:r>
              <w:rPr>
                <w:rFonts w:hint="eastAsia"/>
                <w:color w:val="auto"/>
                <w:sz w:val="18"/>
                <w:szCs w:val="18"/>
              </w:rPr>
              <w:t>三乙胺、甲基磺酰氯、四氢呋喃、丙酮、甲苯、液氨、液氮、金属锂粒、双氧水、丁酮、硫酸、氢溴酸、二甲基甲酰胺、乙酸乙酯、叔丁醇、三氟乙酸酐、二氯甲烷、石油醚、亚硫酸氢钠、甲醇、乙醇、丙酸酐、间氯过氧苯甲酸等</w:t>
            </w:r>
          </w:p>
        </w:tc>
        <w:tc>
          <w:tcPr>
            <w:tcW w:w="707"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甲</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rFonts w:hint="eastAsia" w:ascii="宋体" w:hAnsi="宋体"/>
                <w:color w:val="auto"/>
              </w:rPr>
              <w:t>区爆炸危险场所</w:t>
            </w:r>
          </w:p>
        </w:tc>
        <w:tc>
          <w:tcPr>
            <w:tcW w:w="708"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Ⅱ</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ascii="宋体" w:hAnsi="宋体"/>
                <w:color w:val="auto"/>
              </w:rPr>
              <w:t>有毒</w:t>
            </w:r>
            <w:r>
              <w:rPr>
                <w:rFonts w:hint="eastAsia" w:ascii="宋体" w:hAnsi="宋体"/>
                <w:color w:val="auto"/>
              </w:rPr>
              <w:t>、腐蚀、高（低）温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vAlign w:val="center"/>
          </w:tcPr>
          <w:p>
            <w:pPr>
              <w:pStyle w:val="72"/>
              <w:adjustRightInd w:val="0"/>
              <w:snapToGrid w:val="0"/>
              <w:ind w:firstLine="0" w:firstLineChars="0"/>
              <w:jc w:val="left"/>
              <w:rPr>
                <w:rFonts w:cs="Times New Roman"/>
                <w:color w:val="auto"/>
                <w:sz w:val="21"/>
                <w:szCs w:val="21"/>
              </w:rPr>
            </w:pPr>
            <w:r>
              <w:rPr>
                <w:rFonts w:hint="eastAsia" w:cs="Times New Roman"/>
                <w:color w:val="auto"/>
                <w:sz w:val="21"/>
                <w:szCs w:val="21"/>
              </w:rPr>
              <w:t>1</w:t>
            </w:r>
            <w:r>
              <w:rPr>
                <w:rFonts w:cs="Times New Roman"/>
                <w:color w:val="auto"/>
                <w:sz w:val="21"/>
                <w:szCs w:val="21"/>
              </w:rPr>
              <w:t>03</w:t>
            </w:r>
            <w:r>
              <w:rPr>
                <w:rFonts w:hint="eastAsia" w:cs="Times New Roman"/>
                <w:color w:val="auto"/>
                <w:sz w:val="21"/>
                <w:szCs w:val="21"/>
              </w:rPr>
              <w:t>液体制剂车间</w:t>
            </w:r>
          </w:p>
        </w:tc>
        <w:tc>
          <w:tcPr>
            <w:tcW w:w="3551"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sz w:val="18"/>
                <w:szCs w:val="18"/>
              </w:rPr>
            </w:pPr>
            <w:r>
              <w:rPr>
                <w:rFonts w:hint="eastAsia"/>
                <w:color w:val="auto"/>
                <w:sz w:val="18"/>
                <w:szCs w:val="18"/>
              </w:rPr>
              <w:t>NP</w:t>
            </w:r>
            <w:r>
              <w:rPr>
                <w:color w:val="auto"/>
                <w:sz w:val="18"/>
                <w:szCs w:val="18"/>
              </w:rPr>
              <w:t>-10</w:t>
            </w:r>
            <w:r>
              <w:rPr>
                <w:rFonts w:hint="eastAsia"/>
                <w:color w:val="auto"/>
                <w:sz w:val="18"/>
                <w:szCs w:val="18"/>
              </w:rPr>
              <w:t>（壬基酚聚氧乙烯醚）、乙醇、异丙醇、乙二醇、三十烷醇、环己酮、吲哚丁酸、等</w:t>
            </w:r>
          </w:p>
        </w:tc>
        <w:tc>
          <w:tcPr>
            <w:tcW w:w="707"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丙</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正常环境</w:t>
            </w:r>
          </w:p>
        </w:tc>
        <w:tc>
          <w:tcPr>
            <w:tcW w:w="708"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Ⅲ</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腐蚀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vAlign w:val="center"/>
          </w:tcPr>
          <w:p>
            <w:pPr>
              <w:pStyle w:val="72"/>
              <w:adjustRightInd w:val="0"/>
              <w:snapToGrid w:val="0"/>
              <w:ind w:firstLine="0" w:firstLineChars="0"/>
              <w:jc w:val="left"/>
              <w:rPr>
                <w:rFonts w:cs="Times New Roman"/>
                <w:color w:val="auto"/>
                <w:sz w:val="21"/>
                <w:szCs w:val="21"/>
              </w:rPr>
            </w:pPr>
            <w:r>
              <w:rPr>
                <w:rFonts w:hint="eastAsia" w:cs="Times New Roman"/>
                <w:color w:val="auto"/>
                <w:sz w:val="21"/>
                <w:szCs w:val="21"/>
              </w:rPr>
              <w:t>1</w:t>
            </w:r>
            <w:r>
              <w:rPr>
                <w:rFonts w:cs="Times New Roman"/>
                <w:color w:val="auto"/>
                <w:sz w:val="21"/>
                <w:szCs w:val="21"/>
              </w:rPr>
              <w:t>04</w:t>
            </w:r>
            <w:r>
              <w:rPr>
                <w:rFonts w:hint="eastAsia" w:cs="Times New Roman"/>
                <w:color w:val="auto"/>
                <w:sz w:val="21"/>
                <w:szCs w:val="21"/>
              </w:rPr>
              <w:t>颗粒剂车间</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color w:val="auto"/>
                <w:sz w:val="18"/>
                <w:szCs w:val="18"/>
              </w:rPr>
              <w:t>NP</w:t>
            </w:r>
            <w:r>
              <w:rPr>
                <w:color w:val="auto"/>
                <w:sz w:val="18"/>
                <w:szCs w:val="18"/>
              </w:rPr>
              <w:t>-10</w:t>
            </w:r>
            <w:r>
              <w:rPr>
                <w:rFonts w:hint="eastAsia"/>
                <w:color w:val="auto"/>
                <w:sz w:val="18"/>
                <w:szCs w:val="18"/>
              </w:rPr>
              <w:t>（壬基酚聚氧乙烯醚）、乙醇、异丙醇、乙二醇、三十烷醇、环己酮、吲哚丁酸、等</w:t>
            </w:r>
          </w:p>
        </w:tc>
        <w:tc>
          <w:tcPr>
            <w:tcW w:w="707"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丙</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正常环境</w:t>
            </w:r>
          </w:p>
        </w:tc>
        <w:tc>
          <w:tcPr>
            <w:tcW w:w="708"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Ⅲ</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腐蚀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tcPr>
          <w:p>
            <w:pPr>
              <w:widowControl/>
              <w:jc w:val="left"/>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ascii="宋体" w:hAnsi="宋体"/>
                <w:color w:val="auto"/>
              </w:rPr>
              <w:t>四氢呋喃、三乙胺、丙酮、乙酸乙酯、叔丁醇、石油醚、硫酸、双氧水、丁酮、DMF、二氯甲烷、甲醇等</w:t>
            </w:r>
          </w:p>
        </w:tc>
        <w:tc>
          <w:tcPr>
            <w:tcW w:w="707"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甲</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rFonts w:hint="eastAsia" w:ascii="宋体" w:hAnsi="宋体"/>
                <w:color w:val="auto"/>
              </w:rPr>
              <w:t>区爆炸危险场所</w:t>
            </w:r>
          </w:p>
        </w:tc>
        <w:tc>
          <w:tcPr>
            <w:tcW w:w="708"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Ⅱ</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腐蚀、有毒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color w:val="auto"/>
              </w:rPr>
              <w:t>02</w:t>
            </w:r>
            <w:r>
              <w:rPr>
                <w:rFonts w:hint="eastAsia"/>
                <w:color w:val="auto"/>
              </w:rPr>
              <w:t>甲类仓库二</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ascii="宋体" w:hAnsi="宋体"/>
                <w:color w:val="auto"/>
              </w:rPr>
              <w:t>乙醇、甲基磺酰氯</w:t>
            </w:r>
          </w:p>
        </w:tc>
        <w:tc>
          <w:tcPr>
            <w:tcW w:w="707"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甲</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rFonts w:hint="eastAsia" w:ascii="宋体" w:hAnsi="宋体"/>
                <w:color w:val="auto"/>
              </w:rPr>
              <w:t>区爆炸危险场所</w:t>
            </w:r>
          </w:p>
        </w:tc>
        <w:tc>
          <w:tcPr>
            <w:tcW w:w="708"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Ⅱ</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腐蚀、有毒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color w:val="auto"/>
              </w:rPr>
              <w:t>03</w:t>
            </w:r>
            <w:r>
              <w:rPr>
                <w:rFonts w:hint="eastAsia"/>
                <w:color w:val="auto"/>
              </w:rPr>
              <w:t>丙类仓库一</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ascii="宋体" w:hAnsi="宋体"/>
                <w:color w:val="auto"/>
              </w:rPr>
              <w:t>DMF、NP</w:t>
            </w:r>
            <w:r>
              <w:rPr>
                <w:rFonts w:ascii="宋体" w:hAnsi="宋体"/>
                <w:color w:val="auto"/>
              </w:rPr>
              <w:t>-10</w:t>
            </w:r>
            <w:r>
              <w:rPr>
                <w:rFonts w:hint="eastAsia" w:ascii="宋体" w:hAnsi="宋体"/>
                <w:color w:val="auto"/>
              </w:rPr>
              <w:t>、环己酮、三十烷醇、乙二醇、异丙醇、吲哚丁酸</w:t>
            </w:r>
            <w:r>
              <w:rPr>
                <w:rFonts w:hint="eastAsia" w:ascii="宋体" w:hAnsi="宋体"/>
                <w:color w:val="auto"/>
                <w:lang w:eastAsia="zh-CN"/>
              </w:rPr>
              <w:t>、</w:t>
            </w:r>
            <w:r>
              <w:rPr>
                <w:rFonts w:hint="eastAsia" w:ascii="宋体" w:hAnsi="宋体"/>
                <w:color w:val="auto"/>
              </w:rPr>
              <w:t>氨基寡糖素等</w:t>
            </w:r>
          </w:p>
        </w:tc>
        <w:tc>
          <w:tcPr>
            <w:tcW w:w="707"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丙</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正常环境</w:t>
            </w:r>
          </w:p>
        </w:tc>
        <w:tc>
          <w:tcPr>
            <w:tcW w:w="708"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Ⅲ</w:t>
            </w:r>
          </w:p>
        </w:tc>
        <w:tc>
          <w:tcPr>
            <w:tcW w:w="1134"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腐蚀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color w:val="auto"/>
              </w:rPr>
              <w:t>05</w:t>
            </w:r>
            <w:r>
              <w:rPr>
                <w:rFonts w:hint="eastAsia"/>
                <w:color w:val="auto"/>
              </w:rPr>
              <w:t>甲类仓库三</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ascii="宋体" w:hAnsi="宋体"/>
                <w:color w:val="auto"/>
              </w:rPr>
              <w:t>金属锂</w:t>
            </w:r>
          </w:p>
        </w:tc>
        <w:tc>
          <w:tcPr>
            <w:tcW w:w="707"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甲</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2</w:t>
            </w:r>
            <w:r>
              <w:rPr>
                <w:rFonts w:hint="eastAsia" w:ascii="宋体" w:hAnsi="宋体"/>
                <w:color w:val="auto"/>
              </w:rPr>
              <w:t>区爆炸危险场所</w:t>
            </w:r>
          </w:p>
        </w:tc>
        <w:tc>
          <w:tcPr>
            <w:tcW w:w="708"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Ⅲ</w:t>
            </w:r>
          </w:p>
        </w:tc>
        <w:tc>
          <w:tcPr>
            <w:tcW w:w="1134" w:type="dxa"/>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公用工程车间</w:t>
            </w:r>
          </w:p>
        </w:tc>
        <w:tc>
          <w:tcPr>
            <w:tcW w:w="35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宋体" w:hAnsi="宋体"/>
                <w:color w:val="auto"/>
              </w:rPr>
            </w:pPr>
            <w:r>
              <w:rPr>
                <w:rFonts w:hint="eastAsia" w:ascii="宋体" w:hAnsi="宋体"/>
                <w:color w:val="auto"/>
              </w:rPr>
              <w:t>柴油</w:t>
            </w:r>
          </w:p>
        </w:tc>
        <w:tc>
          <w:tcPr>
            <w:tcW w:w="707"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丙</w:t>
            </w:r>
          </w:p>
        </w:tc>
        <w:tc>
          <w:tcPr>
            <w:tcW w:w="1843"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正常环境</w:t>
            </w:r>
          </w:p>
        </w:tc>
        <w:tc>
          <w:tcPr>
            <w:tcW w:w="708"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Ⅲ</w:t>
            </w:r>
          </w:p>
        </w:tc>
        <w:tc>
          <w:tcPr>
            <w:tcW w:w="1134" w:type="dxa"/>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bl>
    <w:p>
      <w:pPr>
        <w:keepNext/>
        <w:keepLines/>
        <w:spacing w:line="600" w:lineRule="exact"/>
        <w:jc w:val="left"/>
        <w:outlineLvl w:val="2"/>
        <w:rPr>
          <w:rFonts w:ascii="Calibri" w:hAnsi="Calibri"/>
          <w:b/>
          <w:color w:val="auto"/>
          <w:sz w:val="28"/>
          <w:szCs w:val="32"/>
        </w:rPr>
      </w:pPr>
      <w:bookmarkStart w:id="144" w:name="_Toc109631506"/>
      <w:bookmarkEnd w:id="144"/>
      <w:bookmarkStart w:id="145" w:name="_Toc144109193"/>
      <w:r>
        <w:rPr>
          <w:rFonts w:hint="eastAsia" w:ascii="Calibri" w:hAnsi="Calibri"/>
          <w:b/>
          <w:color w:val="auto"/>
          <w:sz w:val="28"/>
          <w:szCs w:val="32"/>
        </w:rPr>
        <w:t>6.1.2各单元固有危险程度定量分析</w:t>
      </w:r>
      <w:bookmarkEnd w:id="145"/>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6.1.2.1 具有爆炸性的化学品的质量及相当于梯恩梯（TNT）的摩尔量</w:t>
      </w:r>
    </w:p>
    <w:p>
      <w:pPr>
        <w:widowControl/>
        <w:spacing w:line="360" w:lineRule="auto"/>
        <w:ind w:firstLine="560" w:firstLineChars="200"/>
        <w:jc w:val="left"/>
        <w:rPr>
          <w:color w:val="auto"/>
          <w:kern w:val="0"/>
          <w:sz w:val="28"/>
          <w:szCs w:val="28"/>
        </w:rPr>
      </w:pPr>
      <w:r>
        <w:rPr>
          <w:rFonts w:ascii="宋体" w:hAnsi="宋体"/>
          <w:color w:val="auto"/>
          <w:kern w:val="0"/>
          <w:sz w:val="28"/>
          <w:szCs w:val="28"/>
        </w:rPr>
        <w:t>爆炸性化学品的</w:t>
      </w:r>
      <w:r>
        <w:rPr>
          <w:color w:val="auto"/>
          <w:kern w:val="0"/>
          <w:sz w:val="28"/>
          <w:szCs w:val="28"/>
        </w:rPr>
        <w:t>TNT</w:t>
      </w:r>
      <w:r>
        <w:rPr>
          <w:rFonts w:ascii="宋体" w:hAnsi="宋体"/>
          <w:color w:val="auto"/>
          <w:kern w:val="0"/>
          <w:sz w:val="28"/>
          <w:szCs w:val="28"/>
        </w:rPr>
        <w:t>当量的公式</w:t>
      </w:r>
    </w:p>
    <w:p>
      <w:pPr>
        <w:widowControl/>
        <w:spacing w:line="360" w:lineRule="auto"/>
        <w:ind w:firstLine="1050" w:firstLineChars="500"/>
        <w:jc w:val="left"/>
        <w:rPr>
          <w:color w:val="auto"/>
          <w:kern w:val="0"/>
        </w:rPr>
      </w:pPr>
      <w:r>
        <w:rPr>
          <w:color w:val="auto"/>
        </w:rPr>
        <w:drawing>
          <wp:inline distT="0" distB="0" distL="0" distR="0">
            <wp:extent cx="2018665" cy="605790"/>
            <wp:effectExtent l="0" t="0" r="635"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018665" cy="605790"/>
                    </a:xfrm>
                    <a:prstGeom prst="rect">
                      <a:avLst/>
                    </a:prstGeom>
                    <a:noFill/>
                    <a:ln>
                      <a:noFill/>
                    </a:ln>
                  </pic:spPr>
                </pic:pic>
              </a:graphicData>
            </a:graphic>
          </wp:inline>
        </w:drawing>
      </w:r>
    </w:p>
    <w:p>
      <w:pPr>
        <w:widowControl/>
        <w:spacing w:line="360" w:lineRule="auto"/>
        <w:jc w:val="left"/>
        <w:rPr>
          <w:rFonts w:ascii="宋体" w:hAnsi="宋体"/>
          <w:color w:val="auto"/>
          <w:kern w:val="0"/>
          <w:sz w:val="28"/>
          <w:szCs w:val="28"/>
        </w:rPr>
      </w:pPr>
      <w:r>
        <w:rPr>
          <w:rFonts w:ascii="宋体" w:hAnsi="宋体"/>
          <w:color w:val="auto"/>
          <w:kern w:val="0"/>
          <w:sz w:val="28"/>
          <w:szCs w:val="28"/>
        </w:rPr>
        <w:t>式中</w:t>
      </w:r>
      <w:r>
        <w:rPr>
          <w:rFonts w:hint="eastAsia" w:ascii="宋体" w:hAnsi="宋体"/>
          <w:color w:val="auto"/>
          <w:kern w:val="0"/>
          <w:sz w:val="28"/>
          <w:szCs w:val="28"/>
        </w:rPr>
        <w:t>：</w:t>
      </w:r>
      <w:r>
        <w:rPr>
          <w:rFonts w:hint="eastAsia" w:ascii="宋体" w:hAnsi="宋体"/>
          <w:i/>
          <w:color w:val="auto"/>
          <w:kern w:val="0"/>
          <w:sz w:val="28"/>
          <w:szCs w:val="28"/>
        </w:rPr>
        <w:t>A</w:t>
      </w:r>
      <w:r>
        <w:rPr>
          <w:rFonts w:hint="eastAsia" w:ascii="宋体" w:hAnsi="宋体"/>
          <w:color w:val="auto"/>
          <w:kern w:val="0"/>
          <w:sz w:val="28"/>
          <w:szCs w:val="28"/>
        </w:rPr>
        <w:t>——蒸气云的TNT当量系数，取值为</w:t>
      </w:r>
      <w:r>
        <w:rPr>
          <w:rFonts w:hint="eastAsia" w:ascii="宋体" w:hAnsi="宋体"/>
          <w:color w:val="auto"/>
          <w:sz w:val="28"/>
          <w:szCs w:val="28"/>
        </w:rPr>
        <w:t>4％</w:t>
      </w:r>
      <w:r>
        <w:rPr>
          <w:rFonts w:hint="eastAsia" w:ascii="宋体" w:hAnsi="宋体"/>
          <w:color w:val="auto"/>
          <w:kern w:val="0"/>
          <w:sz w:val="28"/>
          <w:szCs w:val="28"/>
        </w:rPr>
        <w:t>；</w:t>
      </w:r>
    </w:p>
    <w:p>
      <w:pPr>
        <w:widowControl/>
        <w:spacing w:line="360" w:lineRule="auto"/>
        <w:ind w:firstLine="840" w:firstLineChars="300"/>
        <w:jc w:val="left"/>
        <w:rPr>
          <w:rFonts w:ascii="宋体" w:hAnsi="宋体"/>
          <w:color w:val="auto"/>
          <w:kern w:val="0"/>
          <w:sz w:val="28"/>
          <w:szCs w:val="28"/>
        </w:rPr>
      </w:pPr>
      <w:r>
        <w:rPr>
          <w:rFonts w:hint="eastAsia" w:ascii="宋体" w:hAnsi="宋体"/>
          <w:i/>
          <w:color w:val="auto"/>
          <w:kern w:val="0"/>
          <w:sz w:val="28"/>
          <w:szCs w:val="28"/>
        </w:rPr>
        <w:t>W</w:t>
      </w:r>
      <w:r>
        <w:rPr>
          <w:rFonts w:hint="eastAsia" w:ascii="宋体" w:hAnsi="宋体"/>
          <w:color w:val="auto"/>
          <w:kern w:val="0"/>
          <w:sz w:val="28"/>
          <w:szCs w:val="28"/>
          <w:vertAlign w:val="subscript"/>
        </w:rPr>
        <w:t>TNT</w:t>
      </w:r>
      <w:r>
        <w:rPr>
          <w:rFonts w:hint="eastAsia" w:ascii="宋体" w:hAnsi="宋体"/>
          <w:color w:val="auto"/>
          <w:kern w:val="0"/>
          <w:sz w:val="28"/>
          <w:szCs w:val="28"/>
        </w:rPr>
        <w:t>——蒸气云的TNT当量，kg；</w:t>
      </w:r>
    </w:p>
    <w:p>
      <w:pPr>
        <w:widowControl/>
        <w:spacing w:line="360" w:lineRule="auto"/>
        <w:ind w:firstLine="840" w:firstLineChars="300"/>
        <w:jc w:val="left"/>
        <w:rPr>
          <w:rFonts w:ascii="宋体" w:hAnsi="宋体"/>
          <w:color w:val="auto"/>
          <w:kern w:val="0"/>
          <w:sz w:val="28"/>
          <w:szCs w:val="28"/>
        </w:rPr>
      </w:pPr>
      <w:r>
        <w:rPr>
          <w:rFonts w:hint="eastAsia" w:ascii="宋体" w:hAnsi="宋体"/>
          <w:i/>
          <w:color w:val="auto"/>
          <w:kern w:val="0"/>
          <w:sz w:val="28"/>
          <w:szCs w:val="28"/>
        </w:rPr>
        <w:t>W</w:t>
      </w:r>
      <w:r>
        <w:rPr>
          <w:rFonts w:hint="eastAsia" w:ascii="宋体" w:hAnsi="宋体"/>
          <w:color w:val="auto"/>
          <w:kern w:val="0"/>
          <w:sz w:val="28"/>
          <w:szCs w:val="28"/>
          <w:vertAlign w:val="subscript"/>
        </w:rPr>
        <w:t>f</w:t>
      </w:r>
      <w:r>
        <w:rPr>
          <w:rFonts w:hint="eastAsia" w:ascii="宋体" w:hAnsi="宋体"/>
          <w:color w:val="auto"/>
          <w:kern w:val="0"/>
          <w:sz w:val="28"/>
          <w:szCs w:val="28"/>
        </w:rPr>
        <w:t>——蒸气云中燃料的总质量，kg；</w:t>
      </w:r>
    </w:p>
    <w:p>
      <w:pPr>
        <w:widowControl/>
        <w:spacing w:line="360" w:lineRule="auto"/>
        <w:ind w:firstLine="840" w:firstLineChars="300"/>
        <w:jc w:val="left"/>
        <w:rPr>
          <w:rFonts w:ascii="宋体" w:hAnsi="宋体"/>
          <w:color w:val="auto"/>
          <w:kern w:val="0"/>
          <w:sz w:val="28"/>
          <w:szCs w:val="28"/>
        </w:rPr>
      </w:pPr>
      <w:r>
        <w:rPr>
          <w:rFonts w:hint="eastAsia" w:ascii="宋体" w:hAnsi="宋体"/>
          <w:i/>
          <w:color w:val="auto"/>
          <w:kern w:val="0"/>
          <w:sz w:val="28"/>
          <w:szCs w:val="28"/>
        </w:rPr>
        <w:t>Q</w:t>
      </w:r>
      <w:r>
        <w:rPr>
          <w:rFonts w:hint="eastAsia" w:ascii="宋体" w:hAnsi="宋体"/>
          <w:color w:val="auto"/>
          <w:kern w:val="0"/>
          <w:sz w:val="28"/>
          <w:szCs w:val="28"/>
          <w:vertAlign w:val="subscript"/>
        </w:rPr>
        <w:t>f</w:t>
      </w:r>
      <w:r>
        <w:rPr>
          <w:rFonts w:hint="eastAsia" w:ascii="宋体" w:hAnsi="宋体"/>
          <w:color w:val="auto"/>
          <w:kern w:val="0"/>
          <w:sz w:val="28"/>
          <w:szCs w:val="28"/>
        </w:rPr>
        <w:t xml:space="preserve">——燃料的燃烧值，kJ/kg； </w:t>
      </w:r>
    </w:p>
    <w:p>
      <w:pPr>
        <w:spacing w:line="360" w:lineRule="auto"/>
        <w:ind w:firstLine="840" w:firstLineChars="300"/>
        <w:rPr>
          <w:rFonts w:ascii="宋体" w:hAnsi="宋体"/>
          <w:b/>
          <w:color w:val="auto"/>
          <w:sz w:val="28"/>
          <w:szCs w:val="28"/>
        </w:rPr>
      </w:pPr>
      <w:r>
        <w:rPr>
          <w:rFonts w:hint="eastAsia" w:ascii="宋体" w:hAnsi="宋体"/>
          <w:i/>
          <w:color w:val="auto"/>
          <w:kern w:val="0"/>
          <w:sz w:val="28"/>
          <w:szCs w:val="28"/>
        </w:rPr>
        <w:t>Q</w:t>
      </w:r>
      <w:r>
        <w:rPr>
          <w:rFonts w:hint="eastAsia" w:ascii="宋体" w:hAnsi="宋体"/>
          <w:color w:val="auto"/>
          <w:kern w:val="0"/>
          <w:sz w:val="28"/>
          <w:szCs w:val="28"/>
          <w:vertAlign w:val="subscript"/>
        </w:rPr>
        <w:t>TNT</w:t>
      </w:r>
      <w:r>
        <w:rPr>
          <w:rFonts w:hint="eastAsia" w:ascii="宋体" w:hAnsi="宋体"/>
          <w:color w:val="auto"/>
          <w:kern w:val="0"/>
          <w:sz w:val="28"/>
          <w:szCs w:val="28"/>
        </w:rPr>
        <w:t>——TNT的爆热，</w:t>
      </w:r>
      <w:r>
        <w:rPr>
          <w:rFonts w:hint="eastAsia" w:ascii="宋体" w:hAnsi="宋体"/>
          <w:i/>
          <w:color w:val="auto"/>
          <w:kern w:val="0"/>
          <w:sz w:val="28"/>
          <w:szCs w:val="28"/>
        </w:rPr>
        <w:t>Q</w:t>
      </w:r>
      <w:r>
        <w:rPr>
          <w:rFonts w:hint="eastAsia" w:ascii="宋体" w:hAnsi="宋体"/>
          <w:color w:val="auto"/>
          <w:kern w:val="0"/>
          <w:sz w:val="28"/>
          <w:szCs w:val="28"/>
          <w:vertAlign w:val="subscript"/>
        </w:rPr>
        <w:t>TNT</w:t>
      </w:r>
      <w:r>
        <w:rPr>
          <w:rFonts w:hint="eastAsia" w:ascii="宋体" w:hAnsi="宋体"/>
          <w:color w:val="auto"/>
          <w:kern w:val="0"/>
          <w:sz w:val="28"/>
          <w:szCs w:val="28"/>
        </w:rPr>
        <w:t>＝（4.12～4.69）×10</w:t>
      </w:r>
      <w:r>
        <w:rPr>
          <w:rFonts w:hint="eastAsia" w:ascii="宋体" w:hAnsi="宋体"/>
          <w:color w:val="auto"/>
          <w:kern w:val="0"/>
          <w:sz w:val="28"/>
          <w:szCs w:val="28"/>
          <w:vertAlign w:val="superscript"/>
        </w:rPr>
        <w:t>3</w:t>
      </w:r>
      <w:r>
        <w:rPr>
          <w:rFonts w:hint="eastAsia" w:ascii="宋体" w:hAnsi="宋体"/>
          <w:color w:val="auto"/>
          <w:kern w:val="0"/>
          <w:sz w:val="28"/>
          <w:szCs w:val="28"/>
        </w:rPr>
        <w:t>kJ/kg，</w:t>
      </w:r>
      <w:r>
        <w:rPr>
          <w:rFonts w:hint="eastAsia" w:ascii="宋体" w:hAnsi="宋体"/>
          <w:color w:val="auto"/>
          <w:sz w:val="28"/>
          <w:szCs w:val="28"/>
        </w:rPr>
        <w:t>取值为4500 kJ/kg。</w:t>
      </w:r>
    </w:p>
    <w:p>
      <w:pPr>
        <w:pStyle w:val="8"/>
        <w:ind w:firstLine="560"/>
        <w:rPr>
          <w:rFonts w:ascii="宋体" w:hAnsi="宋体"/>
          <w:color w:val="auto"/>
          <w:sz w:val="28"/>
          <w:szCs w:val="28"/>
          <w:highlight w:val="yellow"/>
        </w:rPr>
      </w:pPr>
      <w:bookmarkStart w:id="146" w:name="_Toc306444724"/>
      <w:bookmarkEnd w:id="146"/>
      <w:r>
        <w:rPr>
          <w:rFonts w:hint="eastAsia" w:ascii="宋体" w:hAnsi="宋体"/>
          <w:color w:val="auto"/>
          <w:sz w:val="28"/>
          <w:szCs w:val="28"/>
        </w:rPr>
        <w:t>该项目不涉及爆炸品；四氢呋喃、三乙胺、丙酮、甲苯、乙酸乙酯、液氨、叔丁醇、石油醚、丁酮、DMF、甲醇、乙醇、异丙醇、环己酮、柴</w:t>
      </w:r>
      <w:r>
        <w:rPr>
          <w:rFonts w:hint="eastAsia" w:ascii="宋体" w:hAnsi="宋体"/>
          <w:color w:val="auto"/>
          <w:spacing w:val="-6"/>
          <w:sz w:val="28"/>
          <w:szCs w:val="28"/>
        </w:rPr>
        <w:t>油等属于易燃物质，气体状态下具有爆炸性。本报告按挥发</w:t>
      </w:r>
      <w:r>
        <w:rPr>
          <w:rFonts w:hint="eastAsia"/>
          <w:color w:val="auto"/>
          <w:spacing w:val="-6"/>
          <w:sz w:val="28"/>
          <w:szCs w:val="28"/>
        </w:rPr>
        <w:t>100%</w:t>
      </w:r>
      <w:r>
        <w:rPr>
          <w:rFonts w:hint="eastAsia" w:ascii="宋体" w:hAnsi="宋体"/>
          <w:color w:val="auto"/>
          <w:spacing w:val="-6"/>
          <w:sz w:val="28"/>
          <w:szCs w:val="28"/>
        </w:rPr>
        <w:t>予以计算。</w:t>
      </w:r>
    </w:p>
    <w:p>
      <w:pPr>
        <w:pStyle w:val="8"/>
        <w:jc w:val="center"/>
        <w:rPr>
          <w:rFonts w:ascii="宋体" w:hAnsi="宋体"/>
          <w:color w:val="auto"/>
        </w:rPr>
      </w:pPr>
      <w:r>
        <w:rPr>
          <w:rFonts w:hint="eastAsia" w:ascii="宋体" w:hAnsi="宋体"/>
          <w:color w:val="auto"/>
        </w:rPr>
        <w:t>表6.1-2该项目爆炸性化学品的质量及相当于TNT的摩尔量一览表</w:t>
      </w:r>
    </w:p>
    <w:tbl>
      <w:tblPr>
        <w:tblStyle w:val="31"/>
        <w:tblW w:w="8896"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478"/>
        <w:gridCol w:w="1561"/>
        <w:gridCol w:w="1251"/>
        <w:gridCol w:w="1411"/>
        <w:gridCol w:w="1209"/>
        <w:gridCol w:w="1507"/>
        <w:gridCol w:w="1479"/>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07" w:hRule="atLeast"/>
          <w:jc w:val="center"/>
        </w:trPr>
        <w:tc>
          <w:tcPr>
            <w:tcW w:w="478" w:type="dxa"/>
            <w:tcBorders>
              <w:top w:val="single" w:color="000000" w:sz="4" w:space="0"/>
              <w:left w:val="single" w:color="000000" w:sz="4" w:space="0"/>
              <w:bottom w:val="single" w:color="000000" w:sz="6" w:space="0"/>
              <w:right w:val="single" w:color="000000" w:sz="6" w:space="0"/>
            </w:tcBorders>
          </w:tcPr>
          <w:p>
            <w:pPr>
              <w:jc w:val="center"/>
              <w:rPr>
                <w:rFonts w:ascii="宋体" w:hAnsi="宋体"/>
                <w:color w:val="auto"/>
                <w:sz w:val="21"/>
                <w:szCs w:val="21"/>
              </w:rPr>
            </w:pPr>
            <w:r>
              <w:rPr>
                <w:rFonts w:hint="eastAsia" w:ascii="宋体" w:hAnsi="宋体"/>
                <w:color w:val="auto"/>
                <w:sz w:val="21"/>
                <w:szCs w:val="21"/>
              </w:rPr>
              <w:t>序号</w:t>
            </w:r>
          </w:p>
        </w:tc>
        <w:tc>
          <w:tcPr>
            <w:tcW w:w="1561"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sz w:val="21"/>
                <w:szCs w:val="21"/>
              </w:rPr>
            </w:pPr>
            <w:r>
              <w:rPr>
                <w:rFonts w:hint="eastAsia" w:ascii="宋体" w:hAnsi="宋体"/>
                <w:color w:val="auto"/>
                <w:sz w:val="21"/>
                <w:szCs w:val="21"/>
              </w:rPr>
              <w:t>存在物质</w:t>
            </w:r>
          </w:p>
        </w:tc>
        <w:tc>
          <w:tcPr>
            <w:tcW w:w="1251" w:type="dxa"/>
            <w:tcBorders>
              <w:top w:val="single" w:color="000000" w:sz="4" w:space="0"/>
              <w:left w:val="single" w:color="000000" w:sz="6" w:space="0"/>
              <w:bottom w:val="single" w:color="000000" w:sz="6" w:space="0"/>
              <w:right w:val="single" w:color="000000" w:sz="6" w:space="0"/>
            </w:tcBorders>
          </w:tcPr>
          <w:p>
            <w:pPr>
              <w:jc w:val="center"/>
              <w:rPr>
                <w:rFonts w:ascii="宋体" w:hAnsi="宋体"/>
                <w:color w:val="auto"/>
                <w:sz w:val="21"/>
                <w:szCs w:val="21"/>
              </w:rPr>
            </w:pPr>
            <w:r>
              <w:rPr>
                <w:rFonts w:hint="eastAsia" w:ascii="宋体" w:hAnsi="宋体"/>
                <w:color w:val="auto"/>
                <w:sz w:val="21"/>
                <w:szCs w:val="21"/>
              </w:rPr>
              <w:t>燃烧值（kJ/kg）</w:t>
            </w:r>
          </w:p>
        </w:tc>
        <w:tc>
          <w:tcPr>
            <w:tcW w:w="1411" w:type="dxa"/>
            <w:tcBorders>
              <w:top w:val="single" w:color="000000" w:sz="4" w:space="0"/>
              <w:left w:val="single" w:color="000000" w:sz="6" w:space="0"/>
              <w:bottom w:val="single" w:color="000000" w:sz="6" w:space="0"/>
              <w:right w:val="single" w:color="000000" w:sz="6" w:space="0"/>
            </w:tcBorders>
          </w:tcPr>
          <w:p>
            <w:pPr>
              <w:jc w:val="center"/>
              <w:rPr>
                <w:rFonts w:ascii="宋体" w:hAnsi="宋体"/>
                <w:color w:val="auto"/>
                <w:sz w:val="21"/>
                <w:szCs w:val="21"/>
              </w:rPr>
            </w:pPr>
            <w:r>
              <w:rPr>
                <w:rFonts w:hint="eastAsia" w:ascii="宋体" w:hAnsi="宋体"/>
                <w:color w:val="auto"/>
                <w:sz w:val="21"/>
                <w:szCs w:val="21"/>
              </w:rPr>
              <w:t>存在场所</w:t>
            </w:r>
          </w:p>
        </w:tc>
        <w:tc>
          <w:tcPr>
            <w:tcW w:w="1209"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sz w:val="21"/>
                <w:szCs w:val="21"/>
              </w:rPr>
            </w:pPr>
            <w:r>
              <w:rPr>
                <w:rFonts w:hint="eastAsia" w:ascii="宋体" w:hAnsi="宋体"/>
                <w:color w:val="auto"/>
                <w:sz w:val="21"/>
                <w:szCs w:val="21"/>
              </w:rPr>
              <w:t>最大在线量（t）</w:t>
            </w:r>
          </w:p>
        </w:tc>
        <w:tc>
          <w:tcPr>
            <w:tcW w:w="1507"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sz w:val="21"/>
                <w:szCs w:val="21"/>
              </w:rPr>
            </w:pPr>
            <w:r>
              <w:rPr>
                <w:rFonts w:hint="eastAsia" w:ascii="宋体" w:hAnsi="宋体"/>
                <w:color w:val="auto"/>
                <w:sz w:val="21"/>
                <w:szCs w:val="21"/>
              </w:rPr>
              <w:t>TNT当量（kg）</w:t>
            </w:r>
          </w:p>
        </w:tc>
        <w:tc>
          <w:tcPr>
            <w:tcW w:w="1479" w:type="dxa"/>
            <w:tcBorders>
              <w:top w:val="single" w:color="000000" w:sz="4" w:space="0"/>
              <w:left w:val="single" w:color="000000" w:sz="6" w:space="0"/>
              <w:bottom w:val="single" w:color="000000" w:sz="6" w:space="0"/>
              <w:right w:val="single" w:color="000000" w:sz="4" w:space="0"/>
            </w:tcBorders>
          </w:tcPr>
          <w:p>
            <w:pPr>
              <w:jc w:val="center"/>
              <w:rPr>
                <w:rFonts w:ascii="宋体" w:hAnsi="宋体"/>
                <w:color w:val="auto"/>
                <w:sz w:val="21"/>
                <w:szCs w:val="21"/>
              </w:rPr>
            </w:pPr>
            <w:r>
              <w:rPr>
                <w:rFonts w:hint="eastAsia" w:ascii="宋体" w:hAnsi="宋体"/>
                <w:color w:val="auto"/>
                <w:sz w:val="21"/>
                <w:szCs w:val="21"/>
              </w:rPr>
              <w:t>TNT的摩尔量（mol）</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四氢呋喃</w:t>
            </w:r>
          </w:p>
        </w:tc>
        <w:tc>
          <w:tcPr>
            <w:tcW w:w="1251" w:type="dxa"/>
            <w:vMerge w:val="restart"/>
            <w:tcBorders>
              <w:top w:val="single" w:color="000000" w:sz="6" w:space="0"/>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4880.04</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1</w:t>
            </w:r>
            <w:r>
              <w:rPr>
                <w:rFonts w:ascii="宋体" w:hAnsi="宋体"/>
                <w:color w:val="auto"/>
                <w:sz w:val="21"/>
                <w:szCs w:val="21"/>
              </w:rPr>
              <w:t>2.75857</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3955.7283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17416.1418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spacing w:line="320" w:lineRule="exact"/>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310.0448</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1365.0544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三乙胺</w:t>
            </w:r>
          </w:p>
        </w:tc>
        <w:tc>
          <w:tcPr>
            <w:tcW w:w="1251" w:type="dxa"/>
            <w:vMerge w:val="restart"/>
            <w:tcBorders>
              <w:top w:val="single" w:color="000000" w:sz="6" w:space="0"/>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2836.25</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1</w:t>
            </w:r>
            <w:r>
              <w:rPr>
                <w:rFonts w:ascii="宋体" w:hAnsi="宋体"/>
                <w:color w:val="auto"/>
                <w:sz w:val="21"/>
                <w:szCs w:val="21"/>
              </w:rPr>
              <w:t>.22873</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467.8594</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2059.8751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spacing w:line="320" w:lineRule="exact"/>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hint="eastAsia" w:ascii="宋体" w:hAnsi="宋体" w:eastAsia="宋体"/>
                <w:color w:val="auto"/>
                <w:sz w:val="21"/>
                <w:szCs w:val="21"/>
                <w:lang w:eastAsia="zh-CN"/>
              </w:rPr>
            </w:pPr>
            <w:r>
              <w:rPr>
                <w:rFonts w:hint="eastAsia" w:ascii="宋体" w:hAnsi="宋体"/>
                <w:color w:val="auto"/>
                <w:sz w:val="21"/>
                <w:szCs w:val="21"/>
                <w:lang w:val="en-US" w:eastAsia="zh-CN"/>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380.7667</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1676.4261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丙酮</w:t>
            </w:r>
          </w:p>
        </w:tc>
        <w:tc>
          <w:tcPr>
            <w:tcW w:w="1251" w:type="dxa"/>
            <w:vMerge w:val="restart"/>
            <w:tcBorders>
              <w:top w:val="single" w:color="000000" w:sz="6" w:space="0"/>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0797.18</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.36</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919.8091</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4049.7033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spacing w:line="320" w:lineRule="exact"/>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hint="eastAsia" w:ascii="宋体" w:hAnsi="宋体" w:eastAsia="宋体"/>
                <w:color w:val="auto"/>
                <w:sz w:val="21"/>
                <w:szCs w:val="21"/>
                <w:lang w:eastAsia="zh-CN"/>
              </w:rPr>
            </w:pPr>
            <w:r>
              <w:rPr>
                <w:rFonts w:hint="eastAsia" w:ascii="宋体" w:hAnsi="宋体"/>
                <w:color w:val="auto"/>
                <w:sz w:val="21"/>
                <w:szCs w:val="21"/>
              </w:rPr>
              <w:t>0</w:t>
            </w:r>
            <w:r>
              <w:rPr>
                <w:rFonts w:ascii="宋体" w:hAnsi="宋体"/>
                <w:color w:val="auto"/>
                <w:sz w:val="21"/>
                <w:szCs w:val="21"/>
              </w:rPr>
              <w:t>.</w:t>
            </w:r>
            <w:r>
              <w:rPr>
                <w:rFonts w:hint="eastAsia" w:ascii="宋体" w:hAnsi="宋体"/>
                <w:color w:val="auto"/>
                <w:sz w:val="21"/>
                <w:szCs w:val="21"/>
                <w:lang w:val="en-US" w:eastAsia="zh-CN"/>
              </w:rPr>
              <w:t>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136.8763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602.6344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甲苯</w:t>
            </w:r>
          </w:p>
        </w:tc>
        <w:tc>
          <w:tcPr>
            <w:tcW w:w="1251" w:type="dxa"/>
            <w:vMerge w:val="restart"/>
            <w:tcBorders>
              <w:top w:val="single" w:color="000000" w:sz="6" w:space="0"/>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2438.68</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.07712</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1538.023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6771.5539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spacing w:line="320" w:lineRule="exact"/>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hint="eastAsia" w:ascii="宋体" w:hAnsi="宋体" w:eastAsia="宋体"/>
                <w:color w:val="auto"/>
                <w:sz w:val="21"/>
                <w:szCs w:val="21"/>
                <w:lang w:eastAsia="zh-CN"/>
              </w:rPr>
            </w:pPr>
            <w:r>
              <w:rPr>
                <w:rFonts w:hint="eastAsia" w:ascii="宋体" w:hAnsi="宋体"/>
                <w:color w:val="auto"/>
                <w:sz w:val="21"/>
                <w:szCs w:val="21"/>
              </w:rPr>
              <w:t>0</w:t>
            </w:r>
            <w:r>
              <w:rPr>
                <w:rFonts w:ascii="宋体" w:hAnsi="宋体"/>
                <w:color w:val="auto"/>
                <w:sz w:val="21"/>
                <w:szCs w:val="21"/>
              </w:rPr>
              <w:t>.</w:t>
            </w:r>
            <w:r>
              <w:rPr>
                <w:rFonts w:hint="eastAsia" w:ascii="宋体" w:hAnsi="宋体"/>
                <w:color w:val="auto"/>
                <w:sz w:val="21"/>
                <w:szCs w:val="21"/>
                <w:lang w:val="en-US" w:eastAsia="zh-CN"/>
              </w:rPr>
              <w:t>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188.6163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830.43348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乙酸乙酯</w:t>
            </w:r>
          </w:p>
        </w:tc>
        <w:tc>
          <w:tcPr>
            <w:tcW w:w="1251" w:type="dxa"/>
            <w:vMerge w:val="restart"/>
            <w:tcBorders>
              <w:top w:val="single" w:color="000000" w:sz="6" w:space="0"/>
              <w:left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3516.06</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1</w:t>
            </w:r>
            <w:r>
              <w:rPr>
                <w:rFonts w:ascii="宋体" w:hAnsi="宋体"/>
                <w:color w:val="auto"/>
                <w:sz w:val="21"/>
                <w:szCs w:val="21"/>
              </w:rPr>
              <w:t>1.25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2351.606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10353.5684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left w:val="single" w:color="000000" w:sz="4" w:space="0"/>
              <w:bottom w:val="single" w:color="000000" w:sz="6" w:space="0"/>
              <w:right w:val="single" w:color="000000" w:sz="6" w:space="0"/>
            </w:tcBorders>
          </w:tcPr>
          <w:p>
            <w:pPr>
              <w:pStyle w:val="57"/>
              <w:numPr>
                <w:ilvl w:val="0"/>
                <w:numId w:val="14"/>
              </w:numPr>
              <w:spacing w:line="320" w:lineRule="exact"/>
              <w:ind w:firstLineChars="0"/>
              <w:jc w:val="center"/>
              <w:rPr>
                <w:rFonts w:ascii="宋体" w:hAnsi="宋体"/>
                <w:color w:val="auto"/>
                <w:sz w:val="21"/>
                <w:szCs w:val="21"/>
              </w:rPr>
            </w:pPr>
          </w:p>
        </w:tc>
        <w:tc>
          <w:tcPr>
            <w:tcW w:w="1561" w:type="dxa"/>
            <w:vMerge w:val="continue"/>
            <w:tcBorders>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p>
        </w:tc>
        <w:tc>
          <w:tcPr>
            <w:tcW w:w="1251" w:type="dxa"/>
            <w:vMerge w:val="continue"/>
            <w:tcBorders>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418.0633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1840.6344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spacing w:line="320" w:lineRule="exact"/>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spacing w:line="320" w:lineRule="exact"/>
              <w:rPr>
                <w:rFonts w:ascii="宋体" w:hAnsi="宋体"/>
                <w:color w:val="auto"/>
                <w:sz w:val="21"/>
                <w:szCs w:val="21"/>
              </w:rPr>
            </w:pPr>
            <w:r>
              <w:rPr>
                <w:rFonts w:hint="eastAsia" w:ascii="宋体" w:hAnsi="宋体"/>
                <w:color w:val="auto"/>
                <w:sz w:val="21"/>
                <w:szCs w:val="21"/>
              </w:rPr>
              <w:t>液氨</w:t>
            </w:r>
          </w:p>
        </w:tc>
        <w:tc>
          <w:tcPr>
            <w:tcW w:w="1251" w:type="dxa"/>
            <w:vMerge w:val="restart"/>
            <w:tcBorders>
              <w:top w:val="single" w:color="000000" w:sz="6" w:space="0"/>
              <w:left w:val="single" w:color="000000" w:sz="6" w:space="0"/>
              <w:bottom w:val="single" w:color="000000" w:sz="6" w:space="0"/>
              <w:right w:val="single" w:color="000000" w:sz="6" w:space="0"/>
            </w:tcBorders>
          </w:tcPr>
          <w:p>
            <w:pPr>
              <w:spacing w:line="320" w:lineRule="exact"/>
              <w:jc w:val="center"/>
              <w:rPr>
                <w:rFonts w:ascii="宋体" w:hAnsi="宋体"/>
                <w:color w:val="auto"/>
                <w:sz w:val="21"/>
                <w:szCs w:val="21"/>
              </w:rPr>
            </w:pPr>
            <w:r>
              <w:rPr>
                <w:rFonts w:hint="eastAsia" w:ascii="宋体" w:hAnsi="宋体"/>
                <w:color w:val="auto"/>
                <w:sz w:val="21"/>
                <w:szCs w:val="21"/>
              </w:rPr>
              <w:t>1</w:t>
            </w:r>
            <w:r>
              <w:rPr>
                <w:rFonts w:ascii="宋体" w:hAnsi="宋体"/>
                <w:color w:val="auto"/>
                <w:sz w:val="21"/>
                <w:szCs w:val="21"/>
              </w:rPr>
              <w:t>8570.17</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0</w:t>
            </w:r>
            <w:r>
              <w:rPr>
                <w:rFonts w:ascii="宋体" w:hAnsi="宋体"/>
                <w:color w:val="auto"/>
                <w:sz w:val="21"/>
                <w:szCs w:val="21"/>
              </w:rPr>
              <w:t>.2</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33.0136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145.3513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31"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spacing w:line="320" w:lineRule="exact"/>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spacing w:line="320" w:lineRule="exact"/>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line="320" w:lineRule="exact"/>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line="320" w:lineRule="exact"/>
              <w:ind w:left="0" w:leftChars="0"/>
              <w:jc w:val="left"/>
              <w:rPr>
                <w:rFonts w:hint="default" w:ascii="宋体" w:hAnsi="宋体" w:eastAsia="宋体"/>
                <w:color w:val="auto"/>
                <w:sz w:val="21"/>
                <w:szCs w:val="21"/>
                <w:lang w:val="en-US" w:eastAsia="zh-CN"/>
              </w:rPr>
            </w:pPr>
            <w:r>
              <w:rPr>
                <w:rFonts w:hint="eastAsia" w:ascii="宋体" w:hAnsi="宋体"/>
                <w:color w:val="auto"/>
                <w:sz w:val="21"/>
                <w:szCs w:val="21"/>
                <w:lang w:val="en-US" w:eastAsia="zh-CN"/>
              </w:rPr>
              <w:t>2.4</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396.1636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1744.2153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3" w:hRule="atLeast"/>
          <w:jc w:val="center"/>
        </w:trPr>
        <w:tc>
          <w:tcPr>
            <w:tcW w:w="478" w:type="dxa"/>
            <w:vMerge w:val="restart"/>
            <w:tcBorders>
              <w:top w:val="single" w:color="000000" w:sz="6" w:space="0"/>
              <w:left w:val="single" w:color="000000" w:sz="4" w:space="0"/>
              <w:bottom w:val="single" w:color="000000" w:sz="6" w:space="0"/>
              <w:right w:val="single" w:color="000000" w:sz="6" w:space="0"/>
            </w:tcBorders>
          </w:tcPr>
          <w:p>
            <w:pPr>
              <w:pStyle w:val="57"/>
              <w:numPr>
                <w:ilvl w:val="0"/>
                <w:numId w:val="14"/>
              </w:numPr>
              <w:ind w:firstLineChars="0"/>
              <w:rPr>
                <w:rFonts w:ascii="宋体" w:hAnsi="宋体"/>
                <w:color w:val="auto"/>
                <w:sz w:val="21"/>
                <w:szCs w:val="21"/>
              </w:rPr>
            </w:pPr>
          </w:p>
        </w:tc>
        <w:tc>
          <w:tcPr>
            <w:tcW w:w="1561" w:type="dxa"/>
            <w:vMerge w:val="restart"/>
            <w:tcBorders>
              <w:top w:val="single" w:color="000000" w:sz="6" w:space="0"/>
              <w:left w:val="single" w:color="000000" w:sz="6" w:space="0"/>
              <w:bottom w:val="single" w:color="000000" w:sz="6" w:space="0"/>
              <w:right w:val="single" w:color="000000" w:sz="6" w:space="0"/>
            </w:tcBorders>
          </w:tcPr>
          <w:p>
            <w:pPr>
              <w:rPr>
                <w:rFonts w:ascii="宋体" w:hAnsi="宋体"/>
                <w:color w:val="auto"/>
                <w:sz w:val="21"/>
                <w:szCs w:val="21"/>
              </w:rPr>
            </w:pPr>
            <w:r>
              <w:rPr>
                <w:rFonts w:hint="eastAsia" w:ascii="宋体" w:hAnsi="宋体"/>
                <w:color w:val="auto"/>
                <w:sz w:val="21"/>
                <w:szCs w:val="21"/>
              </w:rPr>
              <w:t>叔丁醇</w:t>
            </w:r>
          </w:p>
        </w:tc>
        <w:tc>
          <w:tcPr>
            <w:tcW w:w="1251" w:type="dxa"/>
            <w:vMerge w:val="restart"/>
            <w:tcBorders>
              <w:top w:val="single" w:color="000000" w:sz="6" w:space="0"/>
              <w:left w:val="single" w:color="000000" w:sz="6" w:space="0"/>
              <w:bottom w:val="single" w:color="000000" w:sz="6" w:space="0"/>
              <w:right w:val="single" w:color="000000" w:sz="6" w:space="0"/>
            </w:tcBorders>
          </w:tcPr>
          <w:p>
            <w:pPr>
              <w:jc w:val="center"/>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5547.3</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6</w:t>
            </w:r>
            <w:r>
              <w:rPr>
                <w:rFonts w:ascii="宋体" w:hAnsi="宋体"/>
                <w:color w:val="auto"/>
                <w:sz w:val="21"/>
                <w:szCs w:val="21"/>
              </w:rPr>
              <w:t>.23283</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1969.4247</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8670.914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top w:val="single" w:color="000000" w:sz="6" w:space="0"/>
              <w:left w:val="single" w:color="000000" w:sz="4" w:space="0"/>
              <w:bottom w:val="single" w:color="000000" w:sz="6"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top w:val="single" w:color="000000" w:sz="6" w:space="0"/>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top w:val="single" w:color="000000" w:sz="6" w:space="0"/>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315.976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1391.1681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3" w:hRule="atLeast"/>
          <w:jc w:val="center"/>
        </w:trPr>
        <w:tc>
          <w:tcPr>
            <w:tcW w:w="478" w:type="dxa"/>
            <w:vMerge w:val="restart"/>
            <w:tcBorders>
              <w:top w:val="single" w:color="000000" w:sz="6" w:space="0"/>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石油醚</w:t>
            </w:r>
          </w:p>
        </w:tc>
        <w:tc>
          <w:tcPr>
            <w:tcW w:w="125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7000</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.99</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1249.1555</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5499.7383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left w:val="single" w:color="000000" w:sz="4" w:space="0"/>
              <w:bottom w:val="single" w:color="000000" w:sz="6"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417.7778</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1839.3773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3" w:hRule="atLeast"/>
          <w:jc w:val="center"/>
        </w:trPr>
        <w:tc>
          <w:tcPr>
            <w:tcW w:w="478" w:type="dxa"/>
            <w:vMerge w:val="restart"/>
            <w:tcBorders>
              <w:top w:val="single" w:color="000000" w:sz="6" w:space="0"/>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丁酮</w:t>
            </w:r>
          </w:p>
        </w:tc>
        <w:tc>
          <w:tcPr>
            <w:tcW w:w="125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1364.58</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.77118</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1330.1872</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5856.5014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left w:val="single" w:color="000000" w:sz="4" w:space="0"/>
              <w:bottom w:val="single" w:color="000000" w:sz="6"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eastAsia" w:ascii="宋体" w:hAnsi="宋体" w:eastAsia="宋体"/>
                <w:color w:val="auto"/>
                <w:sz w:val="21"/>
                <w:szCs w:val="21"/>
                <w:lang w:eastAsia="zh-CN"/>
              </w:rPr>
            </w:pPr>
            <w:r>
              <w:rPr>
                <w:rFonts w:hint="eastAsia" w:ascii="宋体" w:hAnsi="宋体"/>
                <w:color w:val="auto"/>
                <w:sz w:val="21"/>
                <w:szCs w:val="21"/>
                <w:lang w:val="en-US" w:eastAsia="zh-CN"/>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278.7963</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1227.4744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3" w:hRule="atLeast"/>
          <w:jc w:val="center"/>
        </w:trPr>
        <w:tc>
          <w:tcPr>
            <w:tcW w:w="478" w:type="dxa"/>
            <w:vMerge w:val="restart"/>
            <w:tcBorders>
              <w:top w:val="single" w:color="000000" w:sz="6" w:space="0"/>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DMF</w:t>
            </w:r>
          </w:p>
        </w:tc>
        <w:tc>
          <w:tcPr>
            <w:tcW w:w="125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6315.07</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4</w:t>
            </w:r>
            <w:r>
              <w:rPr>
                <w:rFonts w:ascii="宋体" w:hAnsi="宋体"/>
                <w:color w:val="auto"/>
                <w:sz w:val="21"/>
                <w:szCs w:val="21"/>
              </w:rPr>
              <w:t>.35943</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1019.7219</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4489.5955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left w:val="single" w:color="000000" w:sz="4" w:space="0"/>
              <w:bottom w:val="single" w:color="000000" w:sz="6"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left w:val="single" w:color="000000" w:sz="6" w:space="0"/>
              <w:bottom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02</w:t>
            </w:r>
            <w:r>
              <w:rPr>
                <w:rFonts w:hint="eastAsia" w:ascii="宋体" w:hAnsi="宋体"/>
                <w:color w:val="auto"/>
                <w:sz w:val="21"/>
                <w:szCs w:val="21"/>
              </w:rPr>
              <w:t>甲类仓库二</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eastAsia" w:ascii="宋体" w:hAnsi="宋体" w:eastAsia="宋体"/>
                <w:color w:val="auto"/>
                <w:sz w:val="21"/>
                <w:szCs w:val="21"/>
                <w:lang w:eastAsia="zh-CN"/>
              </w:rPr>
            </w:pPr>
            <w:r>
              <w:rPr>
                <w:rFonts w:hint="eastAsia" w:ascii="宋体" w:hAnsi="宋体"/>
                <w:color w:val="auto"/>
                <w:sz w:val="21"/>
                <w:szCs w:val="21"/>
                <w:lang w:val="en-US" w:eastAsia="zh-CN"/>
              </w:rPr>
              <w:t>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1169.5587</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5149.2919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3" w:hRule="atLeast"/>
          <w:jc w:val="center"/>
        </w:trPr>
        <w:tc>
          <w:tcPr>
            <w:tcW w:w="478" w:type="dxa"/>
            <w:vMerge w:val="restart"/>
            <w:tcBorders>
              <w:top w:val="single" w:color="000000" w:sz="6" w:space="0"/>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甲醇</w:t>
            </w:r>
          </w:p>
        </w:tc>
        <w:tc>
          <w:tcPr>
            <w:tcW w:w="1251" w:type="dxa"/>
            <w:vMerge w:val="restart"/>
            <w:tcBorders>
              <w:top w:val="single" w:color="000000" w:sz="6" w:space="0"/>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2565.54</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0</w:t>
            </w:r>
            <w:r>
              <w:rPr>
                <w:rFonts w:ascii="宋体" w:hAnsi="宋体"/>
                <w:color w:val="auto"/>
                <w:sz w:val="21"/>
                <w:szCs w:val="21"/>
              </w:rPr>
              <w:t>.87961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176.4344</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776.7994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left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left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eastAsia" w:ascii="宋体" w:hAnsi="宋体" w:eastAsia="宋体"/>
                <w:color w:val="auto"/>
                <w:sz w:val="21"/>
                <w:szCs w:val="21"/>
                <w:lang w:val="en-US" w:eastAsia="zh-CN"/>
              </w:rPr>
            </w:pPr>
            <w:r>
              <w:rPr>
                <w:rFonts w:hint="eastAsia" w:ascii="宋体" w:hAnsi="宋体"/>
                <w:color w:val="auto"/>
                <w:sz w:val="21"/>
                <w:szCs w:val="21"/>
              </w:rPr>
              <w:t>0</w:t>
            </w:r>
            <w:r>
              <w:rPr>
                <w:rFonts w:ascii="宋体" w:hAnsi="宋体"/>
                <w:color w:val="auto"/>
                <w:sz w:val="21"/>
                <w:szCs w:val="21"/>
              </w:rPr>
              <w:t>.2</w:t>
            </w:r>
            <w:r>
              <w:rPr>
                <w:rFonts w:hint="eastAsia" w:ascii="宋体" w:hAnsi="宋体"/>
                <w:color w:val="auto"/>
                <w:sz w:val="21"/>
                <w:szCs w:val="21"/>
                <w:lang w:val="en-US" w:eastAsia="zh-CN"/>
              </w:rPr>
              <w:t>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50.1456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220.7795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restart"/>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restart"/>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乙醇</w:t>
            </w:r>
          </w:p>
        </w:tc>
        <w:tc>
          <w:tcPr>
            <w:tcW w:w="1251" w:type="dxa"/>
            <w:vMerge w:val="restart"/>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9639.68</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生产装置</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1</w:t>
            </w:r>
            <w:r>
              <w:rPr>
                <w:rFonts w:ascii="宋体" w:hAnsi="宋体"/>
                <w:color w:val="auto"/>
                <w:sz w:val="21"/>
                <w:szCs w:val="21"/>
              </w:rPr>
              <w:t>3.574745</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3576.4542</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15746.2872</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vMerge w:val="continue"/>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vMerge w:val="continue"/>
            <w:tcBorders>
              <w:left w:val="single" w:color="000000" w:sz="6" w:space="0"/>
              <w:right w:val="single" w:color="000000" w:sz="6" w:space="0"/>
            </w:tcBorders>
            <w:vAlign w:val="center"/>
          </w:tcPr>
          <w:p>
            <w:pPr>
              <w:widowControl/>
              <w:jc w:val="left"/>
              <w:rPr>
                <w:rFonts w:ascii="宋体" w:hAnsi="宋体"/>
                <w:color w:val="auto"/>
                <w:sz w:val="21"/>
                <w:szCs w:val="21"/>
              </w:rPr>
            </w:pPr>
          </w:p>
        </w:tc>
        <w:tc>
          <w:tcPr>
            <w:tcW w:w="1251" w:type="dxa"/>
            <w:vMerge w:val="continue"/>
            <w:tcBorders>
              <w:left w:val="single" w:color="000000" w:sz="6" w:space="0"/>
              <w:right w:val="single" w:color="000000" w:sz="6" w:space="0"/>
            </w:tcBorders>
            <w:vAlign w:val="center"/>
          </w:tcPr>
          <w:p>
            <w:pPr>
              <w:widowControl/>
              <w:jc w:val="left"/>
              <w:rPr>
                <w:rFonts w:ascii="宋体" w:hAnsi="宋体"/>
                <w:color w:val="auto"/>
                <w:sz w:val="21"/>
                <w:szCs w:val="21"/>
              </w:rPr>
            </w:pP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02</w:t>
            </w:r>
            <w:r>
              <w:rPr>
                <w:rFonts w:hint="eastAsia" w:ascii="宋体" w:hAnsi="宋体"/>
                <w:color w:val="auto"/>
                <w:sz w:val="21"/>
                <w:szCs w:val="21"/>
              </w:rPr>
              <w:t>甲类仓库二</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default" w:ascii="宋体" w:hAnsi="宋体" w:eastAsia="宋体"/>
                <w:color w:val="auto"/>
                <w:sz w:val="21"/>
                <w:szCs w:val="21"/>
                <w:lang w:val="en-US" w:eastAsia="zh-CN"/>
              </w:rPr>
            </w:pPr>
            <w:r>
              <w:rPr>
                <w:rFonts w:hint="eastAsia" w:ascii="宋体" w:hAnsi="宋体"/>
                <w:color w:val="auto"/>
                <w:sz w:val="21"/>
                <w:szCs w:val="21"/>
                <w:lang w:val="en-US" w:eastAsia="zh-CN"/>
              </w:rPr>
              <w:t>10</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2634.6382</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11599.6928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异丙醇</w:t>
            </w:r>
          </w:p>
        </w:tc>
        <w:tc>
          <w:tcPr>
            <w:tcW w:w="125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3202.99</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02</w:t>
            </w:r>
            <w:r>
              <w:rPr>
                <w:rFonts w:hint="eastAsia" w:ascii="宋体" w:hAnsi="宋体"/>
                <w:color w:val="auto"/>
                <w:sz w:val="21"/>
                <w:szCs w:val="21"/>
              </w:rPr>
              <w:t>甲类仓库二</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default" w:ascii="宋体" w:hAnsi="宋体" w:eastAsia="宋体"/>
                <w:color w:val="auto"/>
                <w:sz w:val="21"/>
                <w:szCs w:val="21"/>
                <w:lang w:val="en-US" w:eastAsia="zh-CN"/>
              </w:rPr>
            </w:pPr>
            <w:r>
              <w:rPr>
                <w:rFonts w:hint="eastAsia" w:ascii="宋体" w:hAnsi="宋体"/>
                <w:color w:val="auto"/>
                <w:sz w:val="21"/>
                <w:szCs w:val="21"/>
                <w:lang w:val="en-US" w:eastAsia="zh-CN"/>
              </w:rPr>
              <w:t>10</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2951.3769</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12994.2187</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16" w:hRule="atLeast"/>
          <w:jc w:val="center"/>
        </w:trPr>
        <w:tc>
          <w:tcPr>
            <w:tcW w:w="478" w:type="dxa"/>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环己酮</w:t>
            </w:r>
          </w:p>
        </w:tc>
        <w:tc>
          <w:tcPr>
            <w:tcW w:w="125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3</w:t>
            </w:r>
            <w:r>
              <w:rPr>
                <w:rFonts w:ascii="宋体" w:hAnsi="宋体"/>
                <w:color w:val="auto"/>
                <w:sz w:val="21"/>
                <w:szCs w:val="21"/>
              </w:rPr>
              <w:t>5880.37</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r>
              <w:rPr>
                <w:rFonts w:ascii="宋体" w:hAnsi="宋体"/>
                <w:color w:val="auto"/>
                <w:sz w:val="21"/>
                <w:szCs w:val="21"/>
              </w:rPr>
              <w:t>01</w:t>
            </w:r>
            <w:r>
              <w:rPr>
                <w:rFonts w:hint="eastAsia" w:ascii="宋体" w:hAnsi="宋体"/>
                <w:color w:val="auto"/>
                <w:sz w:val="21"/>
                <w:szCs w:val="21"/>
              </w:rPr>
              <w:t>甲类仓库一</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ascii="宋体" w:hAnsi="宋体"/>
                <w:color w:val="auto"/>
                <w:sz w:val="21"/>
                <w:szCs w:val="21"/>
              </w:rPr>
            </w:pPr>
            <w:r>
              <w:rPr>
                <w:rFonts w:hint="eastAsia" w:ascii="宋体" w:hAnsi="宋体"/>
                <w:color w:val="auto"/>
                <w:sz w:val="21"/>
                <w:szCs w:val="21"/>
              </w:rPr>
              <w:t>2</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637.8732</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2808.406</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44" w:hRule="atLeast"/>
          <w:jc w:val="center"/>
        </w:trPr>
        <w:tc>
          <w:tcPr>
            <w:tcW w:w="478" w:type="dxa"/>
            <w:tcBorders>
              <w:left w:val="single" w:color="000000" w:sz="4" w:space="0"/>
              <w:right w:val="single" w:color="000000" w:sz="6" w:space="0"/>
            </w:tcBorders>
            <w:vAlign w:val="center"/>
          </w:tcPr>
          <w:p>
            <w:pPr>
              <w:pStyle w:val="57"/>
              <w:widowControl/>
              <w:numPr>
                <w:ilvl w:val="0"/>
                <w:numId w:val="14"/>
              </w:numPr>
              <w:ind w:firstLineChars="0"/>
              <w:jc w:val="left"/>
              <w:rPr>
                <w:rFonts w:ascii="宋体" w:hAnsi="宋体"/>
                <w:color w:val="auto"/>
                <w:sz w:val="21"/>
                <w:szCs w:val="21"/>
              </w:rPr>
            </w:pPr>
          </w:p>
        </w:tc>
        <w:tc>
          <w:tcPr>
            <w:tcW w:w="156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柴油</w:t>
            </w:r>
          </w:p>
        </w:tc>
        <w:tc>
          <w:tcPr>
            <w:tcW w:w="1251" w:type="dxa"/>
            <w:tcBorders>
              <w:left w:val="single" w:color="000000" w:sz="6" w:space="0"/>
              <w:right w:val="single" w:color="000000" w:sz="6" w:space="0"/>
            </w:tcBorders>
            <w:vAlign w:val="center"/>
          </w:tcPr>
          <w:p>
            <w:pPr>
              <w:widowControl/>
              <w:jc w:val="left"/>
              <w:rPr>
                <w:rFonts w:ascii="宋体" w:hAnsi="宋体"/>
                <w:color w:val="auto"/>
                <w:sz w:val="21"/>
                <w:szCs w:val="21"/>
              </w:rPr>
            </w:pPr>
            <w:r>
              <w:rPr>
                <w:rFonts w:hint="eastAsia" w:ascii="宋体" w:hAnsi="宋体"/>
                <w:color w:val="auto"/>
                <w:sz w:val="21"/>
                <w:szCs w:val="21"/>
              </w:rPr>
              <w:t>42705</w:t>
            </w:r>
          </w:p>
        </w:tc>
        <w:tc>
          <w:tcPr>
            <w:tcW w:w="1411" w:type="dxa"/>
            <w:tcBorders>
              <w:top w:val="single" w:color="000000" w:sz="6" w:space="0"/>
              <w:left w:val="single" w:color="000000" w:sz="6" w:space="0"/>
              <w:bottom w:val="single" w:color="000000" w:sz="6" w:space="0"/>
              <w:right w:val="single" w:color="000000" w:sz="6" w:space="0"/>
            </w:tcBorders>
          </w:tcPr>
          <w:p>
            <w:pPr>
              <w:pStyle w:val="12"/>
              <w:spacing w:after="0"/>
              <w:ind w:left="0" w:leftChars="0"/>
              <w:jc w:val="left"/>
              <w:rPr>
                <w:rFonts w:ascii="宋体" w:hAnsi="宋体"/>
                <w:color w:val="auto"/>
                <w:sz w:val="21"/>
                <w:szCs w:val="21"/>
              </w:rPr>
            </w:pPr>
            <w:r>
              <w:rPr>
                <w:rFonts w:hint="eastAsia" w:ascii="宋体" w:hAnsi="宋体"/>
                <w:color w:val="auto"/>
                <w:sz w:val="21"/>
                <w:szCs w:val="21"/>
              </w:rPr>
              <w:t>公用工程车间发电间</w:t>
            </w:r>
          </w:p>
        </w:tc>
        <w:tc>
          <w:tcPr>
            <w:tcW w:w="1209" w:type="dxa"/>
            <w:tcBorders>
              <w:top w:val="single" w:color="000000" w:sz="6" w:space="0"/>
              <w:left w:val="single" w:color="000000" w:sz="6" w:space="0"/>
              <w:bottom w:val="single" w:color="000000" w:sz="6" w:space="0"/>
              <w:right w:val="single" w:color="000000" w:sz="6" w:space="0"/>
            </w:tcBorders>
            <w:vAlign w:val="center"/>
          </w:tcPr>
          <w:p>
            <w:pPr>
              <w:pStyle w:val="12"/>
              <w:spacing w:after="0"/>
              <w:ind w:left="0" w:leftChars="0"/>
              <w:jc w:val="left"/>
              <w:rPr>
                <w:rFonts w:hint="eastAsia" w:ascii="宋体" w:hAnsi="宋体" w:eastAsia="宋体"/>
                <w:color w:val="auto"/>
                <w:sz w:val="21"/>
                <w:szCs w:val="21"/>
                <w:lang w:eastAsia="zh-CN"/>
              </w:rPr>
            </w:pPr>
            <w:r>
              <w:rPr>
                <w:rFonts w:hint="eastAsia" w:ascii="宋体" w:hAnsi="宋体"/>
                <w:color w:val="auto"/>
                <w:sz w:val="21"/>
                <w:szCs w:val="21"/>
                <w:lang w:val="en-US" w:eastAsia="zh-CN"/>
              </w:rPr>
              <w:t>1</w:t>
            </w:r>
          </w:p>
        </w:tc>
        <w:tc>
          <w:tcPr>
            <w:tcW w:w="1507"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379.6</w:t>
            </w:r>
          </w:p>
        </w:tc>
        <w:tc>
          <w:tcPr>
            <w:tcW w:w="1479" w:type="dxa"/>
            <w:tcBorders>
              <w:top w:val="single" w:color="000000" w:sz="6" w:space="0"/>
              <w:left w:val="single" w:color="000000" w:sz="6" w:space="0"/>
              <w:bottom w:val="single" w:color="000000" w:sz="6" w:space="0"/>
              <w:right w:val="single" w:color="000000" w:sz="4" w:space="0"/>
            </w:tcBorders>
            <w:vAlign w:val="center"/>
          </w:tcPr>
          <w:p>
            <w:pPr>
              <w:keepNext w:val="0"/>
              <w:keepLines w:val="0"/>
              <w:widowControl/>
              <w:suppressLineNumbers w:val="0"/>
              <w:jc w:val="right"/>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1671.29</w:t>
            </w:r>
          </w:p>
        </w:tc>
      </w:tr>
    </w:tbl>
    <w:p>
      <w:pPr>
        <w:pStyle w:val="8"/>
        <w:jc w:val="center"/>
        <w:rPr>
          <w:rFonts w:ascii="宋体" w:hAnsi="宋体"/>
          <w:color w:val="auto"/>
        </w:rPr>
      </w:pPr>
      <w:r>
        <w:rPr>
          <w:rFonts w:hint="eastAsia" w:ascii="宋体" w:hAnsi="宋体"/>
          <w:color w:val="auto"/>
        </w:rPr>
        <w:t xml:space="preserve"> </w:t>
      </w:r>
    </w:p>
    <w:p>
      <w:pPr>
        <w:keepNext/>
        <w:keepLines/>
        <w:spacing w:line="600" w:lineRule="exact"/>
        <w:jc w:val="left"/>
        <w:outlineLvl w:val="3"/>
        <w:rPr>
          <w:rFonts w:ascii="Calibri" w:hAnsi="Calibri"/>
          <w:b/>
          <w:color w:val="auto"/>
          <w:sz w:val="28"/>
          <w:szCs w:val="32"/>
        </w:rPr>
      </w:pPr>
      <w:bookmarkStart w:id="147" w:name="_Toc53083868"/>
      <w:bookmarkEnd w:id="147"/>
      <w:bookmarkStart w:id="148" w:name="_Toc336214897"/>
      <w:r>
        <w:rPr>
          <w:rFonts w:hint="eastAsia" w:ascii="Calibri" w:hAnsi="Calibri"/>
          <w:b/>
          <w:color w:val="auto"/>
          <w:sz w:val="28"/>
          <w:szCs w:val="32"/>
        </w:rPr>
        <w:t>6.1.2.2 具有可燃性的化学品的质量及燃烧后放出的热量</w:t>
      </w:r>
      <w:bookmarkEnd w:id="148"/>
    </w:p>
    <w:p>
      <w:pPr>
        <w:widowControl/>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具有可燃性的化学品燃烧后放出的热量为：</w:t>
      </w:r>
    </w:p>
    <w:p>
      <w:pPr>
        <w:widowControl/>
        <w:spacing w:line="360" w:lineRule="auto"/>
        <w:ind w:left="3079" w:firstLine="700" w:firstLineChars="250"/>
        <w:jc w:val="left"/>
        <w:rPr>
          <w:rFonts w:ascii="宋体" w:hAnsi="宋体"/>
          <w:color w:val="auto"/>
          <w:kern w:val="0"/>
          <w:sz w:val="28"/>
          <w:szCs w:val="28"/>
        </w:rPr>
      </w:pPr>
      <w:r>
        <w:rPr>
          <w:rFonts w:hint="eastAsia" w:ascii="宋体" w:hAnsi="宋体"/>
          <w:i/>
          <w:color w:val="auto"/>
          <w:kern w:val="0"/>
          <w:sz w:val="28"/>
          <w:szCs w:val="28"/>
        </w:rPr>
        <w:t>Q</w:t>
      </w:r>
      <w:r>
        <w:rPr>
          <w:rFonts w:hint="eastAsia" w:ascii="宋体" w:hAnsi="宋体"/>
          <w:color w:val="auto"/>
          <w:kern w:val="0"/>
          <w:sz w:val="28"/>
          <w:szCs w:val="28"/>
        </w:rPr>
        <w:t>=</w:t>
      </w:r>
      <w:r>
        <w:rPr>
          <w:rFonts w:hint="eastAsia" w:ascii="宋体" w:hAnsi="宋体"/>
          <w:i/>
          <w:color w:val="auto"/>
          <w:kern w:val="0"/>
          <w:sz w:val="28"/>
          <w:szCs w:val="28"/>
        </w:rPr>
        <w:t>qm</w:t>
      </w:r>
      <w:r>
        <w:rPr>
          <w:rFonts w:hint="eastAsia" w:ascii="宋体" w:hAnsi="宋体"/>
          <w:color w:val="auto"/>
          <w:kern w:val="0"/>
          <w:sz w:val="28"/>
          <w:szCs w:val="28"/>
        </w:rPr>
        <w:tab/>
      </w:r>
    </w:p>
    <w:p>
      <w:pPr>
        <w:spacing w:line="360" w:lineRule="auto"/>
        <w:ind w:firstLine="1260" w:firstLineChars="450"/>
        <w:rPr>
          <w:rFonts w:ascii="宋体" w:hAnsi="宋体"/>
          <w:color w:val="auto"/>
          <w:kern w:val="0"/>
          <w:sz w:val="28"/>
          <w:szCs w:val="28"/>
        </w:rPr>
      </w:pPr>
      <w:r>
        <w:rPr>
          <w:rFonts w:hint="eastAsia" w:ascii="宋体" w:hAnsi="宋体"/>
          <w:i/>
          <w:color w:val="auto"/>
          <w:kern w:val="0"/>
          <w:sz w:val="28"/>
          <w:szCs w:val="28"/>
        </w:rPr>
        <w:t>q</w:t>
      </w:r>
      <w:r>
        <w:rPr>
          <w:rFonts w:hint="eastAsia" w:ascii="宋体" w:hAnsi="宋体"/>
          <w:color w:val="auto"/>
          <w:kern w:val="0"/>
          <w:sz w:val="28"/>
          <w:szCs w:val="28"/>
        </w:rPr>
        <w:t xml:space="preserve"> — 燃料的燃烧值，kJ/kg；</w:t>
      </w:r>
    </w:p>
    <w:p>
      <w:pPr>
        <w:spacing w:line="360" w:lineRule="auto"/>
        <w:ind w:firstLine="1260" w:firstLineChars="450"/>
        <w:rPr>
          <w:rFonts w:ascii="宋体" w:hAnsi="宋体"/>
          <w:color w:val="auto"/>
          <w:kern w:val="0"/>
          <w:sz w:val="28"/>
          <w:szCs w:val="28"/>
        </w:rPr>
      </w:pPr>
      <w:r>
        <w:rPr>
          <w:rFonts w:hint="eastAsia" w:ascii="宋体" w:hAnsi="宋体"/>
          <w:i/>
          <w:color w:val="auto"/>
          <w:kern w:val="0"/>
          <w:sz w:val="28"/>
          <w:szCs w:val="28"/>
        </w:rPr>
        <w:t>m</w:t>
      </w:r>
      <w:r>
        <w:rPr>
          <w:rFonts w:hint="eastAsia" w:ascii="宋体" w:hAnsi="宋体"/>
          <w:color w:val="auto"/>
          <w:kern w:val="0"/>
          <w:sz w:val="28"/>
          <w:szCs w:val="28"/>
        </w:rPr>
        <w:t xml:space="preserve"> — 物质的质量，kg。</w:t>
      </w:r>
    </w:p>
    <w:p>
      <w:pPr>
        <w:spacing w:line="360" w:lineRule="auto"/>
        <w:ind w:firstLine="560" w:firstLineChars="200"/>
        <w:jc w:val="left"/>
        <w:rPr>
          <w:rFonts w:ascii="宋体" w:hAnsi="宋体"/>
          <w:color w:val="auto"/>
          <w:sz w:val="28"/>
          <w:szCs w:val="28"/>
          <w:highlight w:val="yellow"/>
        </w:rPr>
      </w:pPr>
      <w:r>
        <w:rPr>
          <w:rFonts w:ascii="宋体" w:hAnsi="宋体"/>
          <w:color w:val="auto"/>
          <w:kern w:val="0"/>
          <w:sz w:val="28"/>
          <w:szCs w:val="28"/>
        </w:rPr>
        <w:t>该</w:t>
      </w:r>
      <w:r>
        <w:rPr>
          <w:rFonts w:hint="eastAsia" w:ascii="宋体" w:hAnsi="宋体"/>
          <w:color w:val="auto"/>
          <w:sz w:val="28"/>
          <w:szCs w:val="28"/>
        </w:rPr>
        <w:t>项目存在的可燃性化学品主要为四氢呋喃、三乙胺、丙酮、甲苯、乙酸乙酯、液氨、叔丁醇、石油醚、丁酮、DMF、甲醇、乙醇、异丙醇、环己酮、柴油等属于易燃物质。</w:t>
      </w:r>
    </w:p>
    <w:p>
      <w:pPr>
        <w:adjustRightInd w:val="0"/>
        <w:snapToGrid w:val="0"/>
        <w:ind w:firstLine="420" w:firstLineChars="200"/>
        <w:jc w:val="center"/>
        <w:rPr>
          <w:rFonts w:ascii="宋体" w:hAnsi="宋体"/>
          <w:color w:val="auto"/>
        </w:rPr>
      </w:pPr>
      <w:r>
        <w:rPr>
          <w:rFonts w:hint="eastAsia" w:ascii="宋体" w:hAnsi="宋体"/>
          <w:color w:val="auto"/>
        </w:rPr>
        <w:t>表6.1-3该项目可燃性化学品的质量及燃烧后放出热量一览表</w:t>
      </w:r>
    </w:p>
    <w:tbl>
      <w:tblPr>
        <w:tblStyle w:val="31"/>
        <w:tblW w:w="8236"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459"/>
        <w:gridCol w:w="1237"/>
        <w:gridCol w:w="1134"/>
        <w:gridCol w:w="1676"/>
        <w:gridCol w:w="1275"/>
        <w:gridCol w:w="2455"/>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tcBorders>
              <w:top w:val="single" w:color="000000" w:sz="4" w:space="0"/>
              <w:left w:val="single" w:color="000000" w:sz="4"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序号</w:t>
            </w:r>
          </w:p>
        </w:tc>
        <w:tc>
          <w:tcPr>
            <w:tcW w:w="1237"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存在物质</w:t>
            </w:r>
          </w:p>
        </w:tc>
        <w:tc>
          <w:tcPr>
            <w:tcW w:w="1134"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燃烧值（kJ/kg）</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存在场所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最大在线量（t）</w:t>
            </w:r>
          </w:p>
        </w:tc>
        <w:tc>
          <w:tcPr>
            <w:tcW w:w="2455" w:type="dxa"/>
            <w:tcBorders>
              <w:top w:val="single" w:color="000000" w:sz="4" w:space="0"/>
              <w:left w:val="single" w:color="000000" w:sz="6" w:space="0"/>
              <w:bottom w:val="single" w:color="000000" w:sz="6" w:space="0"/>
              <w:right w:val="single" w:color="000000" w:sz="4" w:space="0"/>
            </w:tcBorders>
            <w:vAlign w:val="center"/>
          </w:tcPr>
          <w:p>
            <w:pPr>
              <w:jc w:val="center"/>
              <w:rPr>
                <w:rFonts w:ascii="宋体" w:hAnsi="宋体"/>
                <w:color w:val="auto"/>
              </w:rPr>
            </w:pPr>
            <w:r>
              <w:rPr>
                <w:rFonts w:hint="eastAsia" w:ascii="宋体" w:hAnsi="宋体"/>
                <w:color w:val="auto"/>
              </w:rPr>
              <w:t>放出的热量（10</w:t>
            </w:r>
            <w:r>
              <w:rPr>
                <w:rFonts w:hint="eastAsia" w:ascii="宋体" w:hAnsi="宋体"/>
                <w:color w:val="auto"/>
                <w:vertAlign w:val="superscript"/>
              </w:rPr>
              <w:t>6</w:t>
            </w:r>
            <w:r>
              <w:rPr>
                <w:rFonts w:hint="eastAsia" w:ascii="宋体" w:hAnsi="宋体"/>
                <w:color w:val="auto"/>
              </w:rPr>
              <w:t>kJ）</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四氢呋喃</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34880.04</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12.75857</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445.0194319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60" w:hRule="atLeast"/>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34.88004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三乙胺</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42836.25</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1.22873</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52.63418546</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lang w:val="en-US" w:eastAsia="zh-CN"/>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42.83625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丙酮</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30797.18</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3.36</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103.4785248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rPr>
              <w:t>0.</w:t>
            </w:r>
            <w:r>
              <w:rPr>
                <w:rFonts w:hint="eastAsia" w:ascii="宋体" w:hAnsi="宋体"/>
                <w:color w:val="auto"/>
                <w:lang w:val="en-US" w:eastAsia="zh-CN"/>
              </w:rPr>
              <w:t>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15.39859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甲苯</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42438.68</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4.07712</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173.027591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rPr>
              <w:t>0.</w:t>
            </w:r>
            <w:r>
              <w:rPr>
                <w:rFonts w:hint="eastAsia" w:ascii="宋体" w:hAnsi="宋体"/>
                <w:color w:val="auto"/>
                <w:lang w:val="en-US" w:eastAsia="zh-CN"/>
              </w:rPr>
              <w:t>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21.21934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乙酸乙酯</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23516.06</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11.25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264.555675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47.03212</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液氨</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18570.17</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0.2</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3.714034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default" w:ascii="宋体" w:hAnsi="宋体" w:eastAsia="宋体"/>
                <w:color w:val="auto"/>
                <w:lang w:val="en-US" w:eastAsia="zh-CN"/>
              </w:rPr>
            </w:pPr>
            <w:r>
              <w:rPr>
                <w:rFonts w:hint="eastAsia" w:ascii="宋体" w:hAnsi="宋体"/>
                <w:color w:val="auto"/>
                <w:lang w:val="en-US" w:eastAsia="zh-CN"/>
              </w:rPr>
              <w:t>2.4</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hint="default" w:ascii="宋体" w:hAnsi="宋体"/>
                <w:color w:val="auto"/>
                <w:sz w:val="21"/>
                <w:szCs w:val="21"/>
                <w:lang w:val="en-US"/>
              </w:rPr>
            </w:pPr>
            <w:r>
              <w:rPr>
                <w:rFonts w:hint="eastAsia" w:ascii="宋体" w:hAnsi="宋体" w:eastAsia="宋体" w:cs="宋体"/>
                <w:i w:val="0"/>
                <w:iCs w:val="0"/>
                <w:color w:val="auto"/>
                <w:kern w:val="0"/>
                <w:sz w:val="21"/>
                <w:szCs w:val="21"/>
                <w:u w:val="none"/>
                <w:lang w:val="en-US" w:eastAsia="zh-CN" w:bidi="ar"/>
              </w:rPr>
              <w:t>44.5684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widowControl w:val="0"/>
              <w:numPr>
                <w:ilvl w:val="0"/>
                <w:numId w:val="15"/>
              </w:numPr>
              <w:spacing w:before="0" w:beforeAutospacing="0" w:after="0" w:afterAutospacing="0"/>
              <w:jc w:val="both"/>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叔丁醇</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35547.3</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6.23283</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221.5602779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35.5473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left w:val="single" w:color="000000" w:sz="4"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restart"/>
            <w:tcBorders>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石油醚</w:t>
            </w:r>
          </w:p>
        </w:tc>
        <w:tc>
          <w:tcPr>
            <w:tcW w:w="1134" w:type="dxa"/>
            <w:vMerge w:val="restart"/>
            <w:tcBorders>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w:t>
            </w:r>
            <w:r>
              <w:rPr>
                <w:rFonts w:ascii="宋体" w:hAnsi="宋体"/>
                <w:color w:val="auto"/>
              </w:rPr>
              <w:t>7000</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w:t>
            </w:r>
            <w:r>
              <w:rPr>
                <w:rFonts w:ascii="宋体" w:hAnsi="宋体"/>
                <w:color w:val="auto"/>
              </w:rPr>
              <w:t>.99</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140.53</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47</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丁酮</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31364.58</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4.77118</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149.6460568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lang w:val="en-US" w:eastAsia="zh-CN"/>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31.36458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DMF</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26315.07</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4.35943</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114.7187056</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202甲类仓库二</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lang w:val="en-US" w:eastAsia="zh-CN"/>
              </w:rPr>
              <w:t>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131.57535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甲醇</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22565.54</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0.87961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19.84887464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val="en-US" w:eastAsia="zh-CN"/>
              </w:rPr>
            </w:pPr>
            <w:r>
              <w:rPr>
                <w:rFonts w:hint="eastAsia" w:ascii="宋体" w:hAnsi="宋体"/>
                <w:color w:val="auto"/>
              </w:rPr>
              <w:t>0.2</w:t>
            </w:r>
            <w:r>
              <w:rPr>
                <w:rFonts w:hint="eastAsia" w:ascii="宋体" w:hAnsi="宋体"/>
                <w:color w:val="auto"/>
                <w:lang w:val="en-US" w:eastAsia="zh-CN"/>
              </w:rPr>
              <w:t>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5.641385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restart"/>
            <w:tcBorders>
              <w:top w:val="single" w:color="000000" w:sz="4" w:space="0"/>
              <w:left w:val="single" w:color="000000" w:sz="4"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乙醇</w:t>
            </w:r>
          </w:p>
        </w:tc>
        <w:tc>
          <w:tcPr>
            <w:tcW w:w="1134" w:type="dxa"/>
            <w:vMerge w:val="restart"/>
            <w:tcBorders>
              <w:top w:val="single" w:color="000000" w:sz="4" w:space="0"/>
              <w:left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29639.68</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生产装置</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13.574745</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402.3510979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vMerge w:val="continue"/>
            <w:tcBorders>
              <w:left w:val="single" w:color="000000" w:sz="4" w:space="0"/>
              <w:bottom w:val="single" w:color="000000" w:sz="6" w:space="0"/>
              <w:right w:val="single" w:color="000000" w:sz="6" w:space="0"/>
            </w:tcBorders>
            <w:vAlign w:val="center"/>
          </w:tcPr>
          <w:p>
            <w:pPr>
              <w:pStyle w:val="57"/>
              <w:numPr>
                <w:ilvl w:val="0"/>
                <w:numId w:val="15"/>
              </w:numPr>
              <w:ind w:firstLineChars="0"/>
              <w:jc w:val="center"/>
              <w:rPr>
                <w:rFonts w:ascii="宋体" w:hAnsi="宋体"/>
                <w:color w:val="auto"/>
              </w:rPr>
            </w:pPr>
          </w:p>
        </w:tc>
        <w:tc>
          <w:tcPr>
            <w:tcW w:w="1237"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134" w:type="dxa"/>
            <w:vMerge w:val="continue"/>
            <w:tcBorders>
              <w:left w:val="single" w:color="000000" w:sz="6" w:space="0"/>
              <w:bottom w:val="single" w:color="000000" w:sz="6" w:space="0"/>
              <w:right w:val="single" w:color="000000" w:sz="6" w:space="0"/>
            </w:tcBorders>
            <w:vAlign w:val="center"/>
          </w:tcPr>
          <w:p>
            <w:pPr>
              <w:jc w:val="center"/>
              <w:rPr>
                <w:rFonts w:ascii="宋体" w:hAnsi="宋体"/>
                <w:color w:val="auto"/>
              </w:rPr>
            </w:pP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202甲类仓库二</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default" w:ascii="宋体" w:hAnsi="宋体" w:eastAsia="宋体"/>
                <w:color w:val="auto"/>
                <w:lang w:val="en-US" w:eastAsia="zh-CN"/>
              </w:rPr>
            </w:pPr>
            <w:r>
              <w:rPr>
                <w:rFonts w:hint="eastAsia" w:ascii="宋体" w:hAnsi="宋体"/>
                <w:color w:val="auto"/>
                <w:lang w:val="en-US" w:eastAsia="zh-CN"/>
              </w:rPr>
              <w:t>10</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296.3968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tcBorders>
              <w:top w:val="single" w:color="000000" w:sz="4" w:space="0"/>
              <w:left w:val="single" w:color="000000" w:sz="4" w:space="0"/>
              <w:bottom w:val="single" w:color="000000" w:sz="6"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异丙醇</w:t>
            </w:r>
          </w:p>
        </w:tc>
        <w:tc>
          <w:tcPr>
            <w:tcW w:w="1134"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33202.99</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202甲类仓库二</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default" w:ascii="宋体" w:hAnsi="宋体" w:eastAsia="宋体"/>
                <w:color w:val="auto"/>
                <w:lang w:val="en-US" w:eastAsia="zh-CN"/>
              </w:rPr>
            </w:pPr>
            <w:r>
              <w:rPr>
                <w:rFonts w:hint="eastAsia" w:ascii="宋体" w:hAnsi="宋体"/>
                <w:color w:val="auto"/>
                <w:lang w:val="en-US" w:eastAsia="zh-CN"/>
              </w:rPr>
              <w:t>10</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332.0299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tcBorders>
              <w:top w:val="single" w:color="000000" w:sz="4" w:space="0"/>
              <w:left w:val="single" w:color="000000" w:sz="4" w:space="0"/>
              <w:bottom w:val="single" w:color="000000" w:sz="4"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tcBorders>
              <w:top w:val="single" w:color="000000" w:sz="4"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环己酮</w:t>
            </w:r>
          </w:p>
        </w:tc>
        <w:tc>
          <w:tcPr>
            <w:tcW w:w="1134" w:type="dxa"/>
            <w:tcBorders>
              <w:top w:val="single" w:color="000000" w:sz="4"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35880.37</w:t>
            </w:r>
          </w:p>
        </w:tc>
        <w:tc>
          <w:tcPr>
            <w:tcW w:w="1676" w:type="dxa"/>
            <w:tcBorders>
              <w:top w:val="single" w:color="000000" w:sz="4"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201甲类仓库一</w:t>
            </w:r>
          </w:p>
        </w:tc>
        <w:tc>
          <w:tcPr>
            <w:tcW w:w="1275" w:type="dxa"/>
            <w:tcBorders>
              <w:top w:val="single" w:color="000000" w:sz="4" w:space="0"/>
              <w:left w:val="single" w:color="000000" w:sz="6"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2</w:t>
            </w:r>
          </w:p>
        </w:tc>
        <w:tc>
          <w:tcPr>
            <w:tcW w:w="2455" w:type="dxa"/>
            <w:tcBorders>
              <w:top w:val="single" w:color="000000" w:sz="4" w:space="0"/>
              <w:left w:val="single" w:color="000000" w:sz="6" w:space="0"/>
              <w:bottom w:val="single" w:color="000000" w:sz="4"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71.76074</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jc w:val="center"/>
        </w:trPr>
        <w:tc>
          <w:tcPr>
            <w:tcW w:w="459" w:type="dxa"/>
            <w:tcBorders>
              <w:top w:val="single" w:color="000000" w:sz="4" w:space="0"/>
              <w:left w:val="single" w:color="000000" w:sz="4" w:space="0"/>
              <w:bottom w:val="single" w:color="000000" w:sz="6" w:space="0"/>
              <w:right w:val="single" w:color="000000" w:sz="6" w:space="0"/>
            </w:tcBorders>
            <w:vAlign w:val="center"/>
          </w:tcPr>
          <w:p>
            <w:pPr>
              <w:pStyle w:val="27"/>
              <w:numPr>
                <w:ilvl w:val="0"/>
                <w:numId w:val="15"/>
              </w:numPr>
              <w:spacing w:before="0" w:beforeAutospacing="0" w:after="0" w:afterAutospacing="0"/>
              <w:rPr>
                <w:color w:val="auto"/>
                <w:kern w:val="2"/>
                <w:sz w:val="21"/>
              </w:rPr>
            </w:pPr>
          </w:p>
        </w:tc>
        <w:tc>
          <w:tcPr>
            <w:tcW w:w="1237"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柴油</w:t>
            </w:r>
          </w:p>
        </w:tc>
        <w:tc>
          <w:tcPr>
            <w:tcW w:w="1134"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42705</w:t>
            </w:r>
          </w:p>
        </w:tc>
        <w:tc>
          <w:tcPr>
            <w:tcW w:w="1676" w:type="dxa"/>
            <w:tcBorders>
              <w:top w:val="single" w:color="000000" w:sz="4" w:space="0"/>
              <w:left w:val="single" w:color="000000" w:sz="6" w:space="0"/>
              <w:bottom w:val="single" w:color="000000" w:sz="6" w:space="0"/>
              <w:right w:val="single" w:color="000000" w:sz="6" w:space="0"/>
            </w:tcBorders>
            <w:vAlign w:val="center"/>
          </w:tcPr>
          <w:p>
            <w:pPr>
              <w:jc w:val="center"/>
              <w:rPr>
                <w:rFonts w:ascii="宋体" w:hAnsi="宋体"/>
                <w:color w:val="auto"/>
              </w:rPr>
            </w:pPr>
            <w:r>
              <w:rPr>
                <w:rFonts w:hint="eastAsia" w:ascii="宋体" w:hAnsi="宋体"/>
                <w:color w:val="auto"/>
              </w:rPr>
              <w:t>公用工程车间</w:t>
            </w:r>
          </w:p>
        </w:tc>
        <w:tc>
          <w:tcPr>
            <w:tcW w:w="1275" w:type="dxa"/>
            <w:tcBorders>
              <w:top w:val="single" w:color="000000" w:sz="4" w:space="0"/>
              <w:left w:val="single" w:color="000000" w:sz="6" w:space="0"/>
              <w:bottom w:val="single" w:color="000000" w:sz="6" w:space="0"/>
              <w:right w:val="single" w:color="000000" w:sz="6" w:space="0"/>
            </w:tcBorders>
            <w:vAlign w:val="center"/>
          </w:tcPr>
          <w:p>
            <w:pPr>
              <w:jc w:val="center"/>
              <w:rPr>
                <w:rFonts w:hint="eastAsia" w:ascii="宋体" w:hAnsi="宋体" w:eastAsia="宋体"/>
                <w:color w:val="auto"/>
                <w:lang w:eastAsia="zh-CN"/>
              </w:rPr>
            </w:pPr>
            <w:r>
              <w:rPr>
                <w:rFonts w:hint="eastAsia" w:ascii="宋体" w:hAnsi="宋体"/>
                <w:color w:val="auto"/>
                <w:lang w:val="en-US" w:eastAsia="zh-CN"/>
              </w:rPr>
              <w:t>1</w:t>
            </w:r>
          </w:p>
        </w:tc>
        <w:tc>
          <w:tcPr>
            <w:tcW w:w="2455" w:type="dxa"/>
            <w:tcBorders>
              <w:top w:val="single" w:color="000000" w:sz="4" w:space="0"/>
              <w:left w:val="single" w:color="000000" w:sz="6" w:space="0"/>
              <w:bottom w:val="single" w:color="000000" w:sz="6" w:space="0"/>
              <w:right w:val="single" w:color="000000" w:sz="4" w:space="0"/>
            </w:tcBorders>
            <w:vAlign w:val="center"/>
          </w:tcPr>
          <w:p>
            <w:pPr>
              <w:keepNext w:val="0"/>
              <w:keepLines w:val="0"/>
              <w:widowControl/>
              <w:suppressLineNumbers w:val="0"/>
              <w:jc w:val="center"/>
              <w:textAlignment w:val="center"/>
              <w:rPr>
                <w:rFonts w:ascii="宋体" w:hAnsi="宋体"/>
                <w:color w:val="auto"/>
                <w:sz w:val="21"/>
                <w:szCs w:val="21"/>
              </w:rPr>
            </w:pPr>
            <w:r>
              <w:rPr>
                <w:rFonts w:hint="eastAsia" w:ascii="宋体" w:hAnsi="宋体" w:eastAsia="宋体" w:cs="宋体"/>
                <w:i w:val="0"/>
                <w:iCs w:val="0"/>
                <w:color w:val="auto"/>
                <w:kern w:val="0"/>
                <w:sz w:val="21"/>
                <w:szCs w:val="21"/>
                <w:u w:val="none"/>
                <w:lang w:val="en-US" w:eastAsia="zh-CN" w:bidi="ar"/>
              </w:rPr>
              <w:t>42.705</w:t>
            </w:r>
          </w:p>
        </w:tc>
      </w:tr>
    </w:tbl>
    <w:p>
      <w:pPr>
        <w:adjustRightInd w:val="0"/>
        <w:snapToGrid w:val="0"/>
        <w:ind w:firstLine="420" w:firstLineChars="200"/>
        <w:jc w:val="center"/>
        <w:rPr>
          <w:rFonts w:ascii="宋体" w:hAnsi="宋体"/>
          <w:color w:val="auto"/>
        </w:rPr>
      </w:pPr>
      <w:r>
        <w:rPr>
          <w:rFonts w:hint="eastAsia" w:ascii="宋体" w:hAnsi="宋体"/>
          <w:color w:val="auto"/>
        </w:rPr>
        <w:t xml:space="preserve"> </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6.1.2.3 具有毒性的化学品的浓度及质量</w:t>
      </w:r>
    </w:p>
    <w:p>
      <w:pPr>
        <w:pStyle w:val="8"/>
        <w:ind w:firstLine="560"/>
        <w:rPr>
          <w:rFonts w:ascii="宋体" w:hAnsi="宋体"/>
          <w:color w:val="auto"/>
          <w:sz w:val="28"/>
          <w:szCs w:val="28"/>
        </w:rPr>
      </w:pPr>
      <w:r>
        <w:rPr>
          <w:rFonts w:hint="eastAsia" w:ascii="宋体" w:hAnsi="宋体"/>
          <w:bCs/>
          <w:color w:val="auto"/>
          <w:sz w:val="28"/>
          <w:szCs w:val="28"/>
        </w:rPr>
        <w:t>依据《职业性接触毒物危害程度分级》，该项目依据《职业性接触毒物危害程度分级》，该项目物料</w:t>
      </w:r>
      <w:r>
        <w:rPr>
          <w:rFonts w:hint="eastAsia" w:ascii="宋体" w:hAnsi="宋体"/>
          <w:color w:val="auto"/>
          <w:sz w:val="28"/>
          <w:szCs w:val="28"/>
        </w:rPr>
        <w:t>甲基磺酰氯危害程度属于Ⅰ级（极度危害）；液氨、DMF、硫酸危害程度属于Ⅱ级（高度危害），二氯甲烷、二氧化硫、甲苯、甲醇、氢溴酸危害程度属于Ⅲ级（中度危害）。其他物质属于Ⅳ级(轻度危害)，本报告不予以列出。</w:t>
      </w:r>
    </w:p>
    <w:p>
      <w:pPr>
        <w:adjustRightInd w:val="0"/>
        <w:snapToGrid w:val="0"/>
        <w:ind w:firstLine="420" w:firstLineChars="200"/>
        <w:jc w:val="center"/>
        <w:rPr>
          <w:rFonts w:ascii="宋体" w:hAnsi="宋体"/>
          <w:color w:val="auto"/>
        </w:rPr>
      </w:pPr>
      <w:r>
        <w:rPr>
          <w:rFonts w:hint="eastAsia" w:ascii="宋体" w:hAnsi="宋体"/>
          <w:color w:val="auto"/>
        </w:rPr>
        <w:t>表6.1-4  具有毒性的化学品的浓度及质量</w:t>
      </w:r>
    </w:p>
    <w:tbl>
      <w:tblPr>
        <w:tblStyle w:val="31"/>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752"/>
        <w:gridCol w:w="1752"/>
        <w:gridCol w:w="1752"/>
        <w:gridCol w:w="1752"/>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tcBorders>
              <w:top w:val="single" w:color="auto" w:sz="4" w:space="0"/>
              <w:left w:val="single" w:color="auto" w:sz="4" w:space="0"/>
              <w:bottom w:val="single" w:color="auto" w:sz="4" w:space="0"/>
              <w:right w:val="single" w:color="auto" w:sz="4" w:space="0"/>
            </w:tcBorders>
          </w:tcPr>
          <w:p>
            <w:pPr>
              <w:spacing w:line="240" w:lineRule="exact"/>
              <w:jc w:val="center"/>
              <w:rPr>
                <w:rFonts w:ascii="宋体" w:hAnsi="宋体"/>
                <w:color w:val="auto"/>
              </w:rPr>
            </w:pPr>
            <w:r>
              <w:rPr>
                <w:rFonts w:hint="eastAsia" w:ascii="宋体" w:hAnsi="宋体"/>
                <w:color w:val="auto"/>
              </w:rPr>
              <w:t>序号</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宋体" w:hAnsi="宋体"/>
                <w:color w:val="auto"/>
              </w:rPr>
            </w:pPr>
            <w:r>
              <w:rPr>
                <w:rFonts w:hint="eastAsia" w:ascii="宋体" w:hAnsi="宋体"/>
                <w:color w:val="auto"/>
              </w:rPr>
              <w:t>存在物质</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jc w:val="center"/>
              <w:rPr>
                <w:rFonts w:ascii="宋体" w:hAnsi="宋体"/>
                <w:color w:val="auto"/>
              </w:rPr>
            </w:pPr>
            <w:r>
              <w:rPr>
                <w:rFonts w:hint="eastAsia" w:ascii="宋体" w:hAnsi="宋体"/>
                <w:color w:val="auto"/>
              </w:rPr>
              <w:t>存在场所</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宋体" w:hAnsi="宋体"/>
                <w:color w:val="auto"/>
              </w:rPr>
            </w:pPr>
            <w:r>
              <w:rPr>
                <w:rFonts w:hint="eastAsia" w:ascii="宋体" w:hAnsi="宋体"/>
                <w:color w:val="auto"/>
              </w:rPr>
              <w:t>最大在线量（t）</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宋体" w:hAnsi="宋体"/>
                <w:color w:val="auto"/>
              </w:rPr>
            </w:pPr>
            <w:r>
              <w:rPr>
                <w:rFonts w:hint="eastAsia" w:ascii="宋体" w:hAnsi="宋体"/>
                <w:color w:val="auto"/>
              </w:rPr>
              <w:t>浓度%</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宋体" w:hAnsi="宋体"/>
                <w:color w:val="auto"/>
              </w:rPr>
            </w:pPr>
            <w:r>
              <w:rPr>
                <w:rFonts w:hint="eastAsia" w:ascii="宋体" w:hAnsi="宋体"/>
                <w:color w:val="auto"/>
              </w:rPr>
              <w:t>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single" w:color="auto" w:sz="4" w:space="0"/>
              <w:left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single" w:color="auto" w:sz="4" w:space="0"/>
              <w:left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甲基磺酰氯</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ascii="宋体" w:hAnsi="宋体"/>
                <w:color w:val="auto"/>
              </w:rPr>
            </w:pPr>
            <w:r>
              <w:rPr>
                <w:rFonts w:hint="eastAsia" w:ascii="宋体" w:hAnsi="宋体"/>
                <w:color w:val="auto"/>
              </w:rPr>
              <w:t>0</w:t>
            </w:r>
            <w:r>
              <w:rPr>
                <w:rFonts w:ascii="宋体" w:hAnsi="宋体"/>
                <w:color w:val="auto"/>
              </w:rPr>
              <w:t>.2275</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color w:val="auto"/>
                <w:sz w:val="18"/>
                <w:szCs w:val="18"/>
              </w:rPr>
            </w:pPr>
            <w:r>
              <w:rPr>
                <w:rFonts w:hint="eastAsia" w:ascii="宋体" w:hAnsi="宋体"/>
                <w:color w:val="auto"/>
                <w:sz w:val="18"/>
                <w:szCs w:val="18"/>
              </w:rPr>
              <w:t>9</w:t>
            </w:r>
            <w:r>
              <w:rPr>
                <w:rFonts w:ascii="宋体" w:hAnsi="宋体"/>
                <w:color w:val="auto"/>
                <w:sz w:val="18"/>
                <w:szCs w:val="18"/>
              </w:rPr>
              <w:t>9.5</w:t>
            </w:r>
          </w:p>
        </w:tc>
        <w:tc>
          <w:tcPr>
            <w:tcW w:w="1752" w:type="dxa"/>
            <w:vMerge w:val="restart"/>
            <w:tcBorders>
              <w:top w:val="single" w:color="auto" w:sz="4" w:space="0"/>
              <w:left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Ⅰ级（极度危害）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continue"/>
            <w:tcBorders>
              <w:left w:val="single" w:color="auto" w:sz="4" w:space="0"/>
              <w:bottom w:val="single" w:color="auto" w:sz="4" w:space="0"/>
              <w:right w:val="single" w:color="auto" w:sz="4" w:space="0"/>
            </w:tcBorders>
          </w:tcPr>
          <w:p>
            <w:pPr>
              <w:spacing w:line="240" w:lineRule="exac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02</w:t>
            </w:r>
            <w:r>
              <w:rPr>
                <w:rFonts w:hint="eastAsia" w:ascii="宋体" w:hAnsi="宋体"/>
                <w:color w:val="auto"/>
              </w:rPr>
              <w:t>甲类仓库二</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eastAsia" w:ascii="宋体" w:hAnsi="宋体" w:eastAsia="宋体"/>
                <w:color w:val="auto"/>
                <w:lang w:eastAsia="zh-CN"/>
              </w:rPr>
            </w:pPr>
            <w:r>
              <w:rPr>
                <w:rFonts w:hint="eastAsia" w:ascii="宋体" w:hAnsi="宋体"/>
                <w:color w:val="auto"/>
                <w:lang w:val="en-US" w:eastAsia="zh-CN"/>
              </w:rPr>
              <w:t>1</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rFonts w:ascii="宋体" w:hAnsi="宋体"/>
                <w:color w:val="auto"/>
                <w:sz w:val="18"/>
                <w:szCs w:val="18"/>
              </w:rPr>
            </w:pPr>
            <w:r>
              <w:rPr>
                <w:rFonts w:hint="eastAsia" w:ascii="宋体" w:hAnsi="宋体"/>
                <w:color w:val="auto"/>
                <w:sz w:val="18"/>
                <w:szCs w:val="18"/>
              </w:rPr>
              <w:t>9</w:t>
            </w:r>
            <w:r>
              <w:rPr>
                <w:rFonts w:ascii="宋体" w:hAnsi="宋体"/>
                <w:color w:val="auto"/>
                <w:sz w:val="18"/>
                <w:szCs w:val="18"/>
              </w:rPr>
              <w:t>9.5</w:t>
            </w:r>
          </w:p>
        </w:tc>
        <w:tc>
          <w:tcPr>
            <w:tcW w:w="1752" w:type="dxa"/>
            <w:vMerge w:val="continue"/>
            <w:tcBorders>
              <w:left w:val="single" w:color="auto" w:sz="4" w:space="0"/>
              <w:bottom w:val="single" w:color="auto" w:sz="4" w:space="0"/>
              <w:right w:val="single" w:color="auto" w:sz="4" w:space="0"/>
            </w:tcBorders>
          </w:tcPr>
          <w:p>
            <w:pPr>
              <w:spacing w:line="240" w:lineRule="exact"/>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single" w:color="auto" w:sz="4" w:space="0"/>
              <w:left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single" w:color="auto" w:sz="4" w:space="0"/>
              <w:left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液氨</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ascii="宋体" w:hAnsi="宋体"/>
                <w:color w:val="auto"/>
              </w:rPr>
            </w:pPr>
            <w:r>
              <w:rPr>
                <w:rFonts w:hint="eastAsia" w:ascii="宋体" w:hAnsi="宋体"/>
                <w:color w:val="auto"/>
              </w:rPr>
              <w:t>0</w:t>
            </w:r>
            <w:r>
              <w:rPr>
                <w:rFonts w:ascii="宋体" w:hAnsi="宋体"/>
                <w:color w:val="auto"/>
              </w:rPr>
              <w:t>.2</w:t>
            </w:r>
          </w:p>
        </w:tc>
        <w:tc>
          <w:tcPr>
            <w:tcW w:w="1752" w:type="dxa"/>
            <w:vMerge w:val="restart"/>
            <w:tcBorders>
              <w:top w:val="single" w:color="auto" w:sz="4" w:space="0"/>
              <w:left w:val="single" w:color="auto" w:sz="4" w:space="0"/>
              <w:right w:val="single" w:color="auto" w:sz="4" w:space="0"/>
            </w:tcBorders>
          </w:tcPr>
          <w:p>
            <w:pPr>
              <w:spacing w:line="240" w:lineRule="exact"/>
              <w:rPr>
                <w:color w:val="auto"/>
                <w:sz w:val="18"/>
                <w:szCs w:val="18"/>
              </w:rPr>
            </w:pPr>
            <w:r>
              <w:rPr>
                <w:rFonts w:hint="eastAsia"/>
                <w:color w:val="auto"/>
                <w:sz w:val="18"/>
                <w:szCs w:val="18"/>
              </w:rPr>
              <w:t>9</w:t>
            </w:r>
            <w:r>
              <w:rPr>
                <w:color w:val="auto"/>
                <w:sz w:val="18"/>
                <w:szCs w:val="18"/>
              </w:rPr>
              <w:t>5</w:t>
            </w:r>
          </w:p>
        </w:tc>
        <w:tc>
          <w:tcPr>
            <w:tcW w:w="1752" w:type="dxa"/>
            <w:vMerge w:val="restart"/>
            <w:tcBorders>
              <w:top w:val="single" w:color="auto" w:sz="4" w:space="0"/>
              <w:left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Ⅱ级（高度危害）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continue"/>
            <w:tcBorders>
              <w:left w:val="single" w:color="auto" w:sz="4" w:space="0"/>
              <w:bottom w:val="single" w:color="auto" w:sz="4" w:space="0"/>
              <w:right w:val="single" w:color="auto" w:sz="4" w:space="0"/>
            </w:tcBorders>
          </w:tcPr>
          <w:p>
            <w:pPr>
              <w:spacing w:line="240" w:lineRule="exac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default" w:ascii="宋体" w:hAnsi="宋体" w:eastAsia="宋体"/>
                <w:color w:val="auto"/>
                <w:lang w:val="en-US" w:eastAsia="zh-CN"/>
              </w:rPr>
            </w:pPr>
            <w:r>
              <w:rPr>
                <w:rFonts w:hint="eastAsia" w:ascii="宋体" w:hAnsi="宋体"/>
                <w:color w:val="auto"/>
                <w:lang w:val="en-US" w:eastAsia="zh-CN"/>
              </w:rPr>
              <w:t>2.4</w:t>
            </w:r>
          </w:p>
        </w:tc>
        <w:tc>
          <w:tcPr>
            <w:tcW w:w="1752" w:type="dxa"/>
            <w:vMerge w:val="continue"/>
            <w:tcBorders>
              <w:left w:val="single" w:color="auto" w:sz="4" w:space="0"/>
              <w:bottom w:val="single" w:color="auto" w:sz="4" w:space="0"/>
              <w:right w:val="single" w:color="auto" w:sz="4" w:space="0"/>
            </w:tcBorders>
          </w:tcPr>
          <w:p>
            <w:pPr>
              <w:spacing w:line="240" w:lineRule="exact"/>
              <w:rPr>
                <w:rFonts w:ascii="宋体" w:hAnsi="宋体"/>
                <w:color w:val="auto"/>
              </w:rPr>
            </w:pPr>
          </w:p>
        </w:tc>
        <w:tc>
          <w:tcPr>
            <w:tcW w:w="1752" w:type="dxa"/>
            <w:vMerge w:val="continue"/>
            <w:tcBorders>
              <w:left w:val="single" w:color="auto" w:sz="4" w:space="0"/>
              <w:bottom w:val="single" w:color="auto" w:sz="4" w:space="0"/>
              <w:right w:val="single" w:color="auto" w:sz="4" w:space="0"/>
            </w:tcBorders>
          </w:tcPr>
          <w:p>
            <w:pPr>
              <w:spacing w:line="240" w:lineRule="exact"/>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nil"/>
              <w:left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nil"/>
              <w:left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DMF</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rPr>
                <w:color w:val="auto"/>
              </w:rPr>
            </w:pPr>
            <w:r>
              <w:rPr>
                <w:rFonts w:hint="eastAsia" w:ascii="宋体" w:hAnsi="宋体"/>
                <w:color w:val="auto"/>
                <w:sz w:val="18"/>
                <w:szCs w:val="18"/>
              </w:rPr>
              <w:t>4.35943</w:t>
            </w:r>
          </w:p>
        </w:tc>
        <w:tc>
          <w:tcPr>
            <w:tcW w:w="1752" w:type="dxa"/>
            <w:vMerge w:val="restart"/>
            <w:tcBorders>
              <w:top w:val="nil"/>
              <w:left w:val="single" w:color="auto" w:sz="4" w:space="0"/>
              <w:right w:val="single" w:color="auto" w:sz="4" w:space="0"/>
            </w:tcBorders>
          </w:tcPr>
          <w:p>
            <w:pPr>
              <w:spacing w:line="240" w:lineRule="exact"/>
              <w:rPr>
                <w:color w:val="auto"/>
                <w:sz w:val="18"/>
                <w:szCs w:val="18"/>
              </w:rPr>
            </w:pPr>
            <w:r>
              <w:rPr>
                <w:color w:val="auto"/>
                <w:sz w:val="18"/>
                <w:szCs w:val="18"/>
              </w:rPr>
              <w:t>99.9</w:t>
            </w:r>
          </w:p>
        </w:tc>
        <w:tc>
          <w:tcPr>
            <w:tcW w:w="1752" w:type="dxa"/>
            <w:vMerge w:val="restart"/>
            <w:tcBorders>
              <w:top w:val="nil"/>
              <w:left w:val="single" w:color="auto" w:sz="4" w:space="0"/>
              <w:right w:val="single" w:color="auto" w:sz="4" w:space="0"/>
            </w:tcBorders>
          </w:tcPr>
          <w:p>
            <w:pPr>
              <w:spacing w:line="240" w:lineRule="exact"/>
              <w:rPr>
                <w:color w:val="auto"/>
              </w:rPr>
            </w:pPr>
            <w:r>
              <w:rPr>
                <w:rFonts w:hint="eastAsia" w:ascii="宋体" w:hAnsi="宋体"/>
                <w:color w:val="auto"/>
              </w:rPr>
              <w:t>Ⅱ级（高度危害）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vMerge w:val="continue"/>
            <w:tcBorders>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02</w:t>
            </w:r>
            <w:r>
              <w:rPr>
                <w:rFonts w:hint="eastAsia" w:ascii="宋体" w:hAnsi="宋体"/>
                <w:color w:val="auto"/>
              </w:rPr>
              <w:t>甲类仓库二</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eastAsia" w:ascii="宋体" w:hAnsi="宋体" w:eastAsia="宋体"/>
                <w:color w:val="auto"/>
                <w:lang w:eastAsia="zh-CN"/>
              </w:rPr>
            </w:pPr>
            <w:r>
              <w:rPr>
                <w:rFonts w:hint="eastAsia" w:ascii="宋体" w:hAnsi="宋体"/>
                <w:color w:val="auto"/>
                <w:lang w:val="en-US" w:eastAsia="zh-CN"/>
              </w:rPr>
              <w:t>5</w:t>
            </w:r>
          </w:p>
        </w:tc>
        <w:tc>
          <w:tcPr>
            <w:tcW w:w="1752" w:type="dxa"/>
            <w:vMerge w:val="continue"/>
            <w:tcBorders>
              <w:left w:val="single" w:color="auto" w:sz="4" w:space="0"/>
              <w:bottom w:val="single" w:color="auto" w:sz="4" w:space="0"/>
              <w:right w:val="single" w:color="auto" w:sz="4" w:space="0"/>
            </w:tcBorders>
            <w:vAlign w:val="center"/>
          </w:tcPr>
          <w:p>
            <w:pPr>
              <w:widowControl/>
              <w:spacing w:line="240" w:lineRule="exact"/>
              <w:jc w:val="left"/>
              <w:rPr>
                <w:color w:val="auto"/>
                <w:sz w:val="18"/>
                <w:szCs w:val="18"/>
              </w:rPr>
            </w:pPr>
          </w:p>
        </w:tc>
        <w:tc>
          <w:tcPr>
            <w:tcW w:w="1752" w:type="dxa"/>
            <w:vMerge w:val="continue"/>
            <w:tcBorders>
              <w:left w:val="single" w:color="auto" w:sz="4" w:space="0"/>
              <w:bottom w:val="single" w:color="auto" w:sz="4" w:space="0"/>
              <w:right w:val="single" w:color="auto" w:sz="4" w:space="0"/>
            </w:tcBorders>
            <w:vAlign w:val="center"/>
          </w:tcPr>
          <w:p>
            <w:pPr>
              <w:widowControl/>
              <w:spacing w:line="240" w:lineRule="exact"/>
              <w:jc w:val="lef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nil"/>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nil"/>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硫酸</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ascii="宋体" w:hAnsi="宋体"/>
                <w:color w:val="auto"/>
              </w:rPr>
            </w:pPr>
            <w:r>
              <w:rPr>
                <w:rFonts w:hint="eastAsia" w:ascii="宋体" w:hAnsi="宋体"/>
                <w:color w:val="auto"/>
              </w:rPr>
              <w:t>1</w:t>
            </w:r>
            <w:r>
              <w:rPr>
                <w:rFonts w:ascii="宋体" w:hAnsi="宋体"/>
                <w:color w:val="auto"/>
              </w:rPr>
              <w:t>.8394</w:t>
            </w:r>
          </w:p>
        </w:tc>
        <w:tc>
          <w:tcPr>
            <w:tcW w:w="1752" w:type="dxa"/>
            <w:vMerge w:val="restart"/>
            <w:tcBorders>
              <w:top w:val="nil"/>
              <w:left w:val="single" w:color="auto" w:sz="4" w:space="0"/>
              <w:bottom w:val="single" w:color="auto" w:sz="4" w:space="0"/>
              <w:right w:val="single" w:color="auto" w:sz="4" w:space="0"/>
            </w:tcBorders>
          </w:tcPr>
          <w:p>
            <w:pPr>
              <w:spacing w:line="240" w:lineRule="exact"/>
              <w:rPr>
                <w:color w:val="auto"/>
                <w:sz w:val="18"/>
                <w:szCs w:val="18"/>
              </w:rPr>
            </w:pPr>
            <w:r>
              <w:rPr>
                <w:color w:val="auto"/>
                <w:sz w:val="18"/>
                <w:szCs w:val="18"/>
              </w:rPr>
              <w:t>98</w:t>
            </w:r>
          </w:p>
        </w:tc>
        <w:tc>
          <w:tcPr>
            <w:tcW w:w="1752" w:type="dxa"/>
            <w:vMerge w:val="restart"/>
            <w:tcBorders>
              <w:top w:val="nil"/>
              <w:left w:val="single" w:color="auto" w:sz="4" w:space="0"/>
              <w:bottom w:val="single" w:color="auto" w:sz="4" w:space="0"/>
              <w:right w:val="single" w:color="auto" w:sz="4" w:space="0"/>
            </w:tcBorders>
          </w:tcPr>
          <w:p>
            <w:pPr>
              <w:spacing w:line="240" w:lineRule="exact"/>
              <w:rPr>
                <w:color w:val="auto"/>
              </w:rPr>
            </w:pPr>
            <w:r>
              <w:rPr>
                <w:rFonts w:hint="eastAsia" w:ascii="宋体" w:hAnsi="宋体"/>
                <w:color w:val="auto"/>
              </w:rPr>
              <w:t>Ⅱ级（高度危害）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default" w:ascii="宋体" w:hAnsi="宋体" w:eastAsia="宋体"/>
                <w:color w:val="auto"/>
                <w:lang w:val="en-US" w:eastAsia="zh-CN"/>
              </w:rPr>
            </w:pPr>
            <w:r>
              <w:rPr>
                <w:rFonts w:hint="eastAsia" w:ascii="宋体" w:hAnsi="宋体"/>
                <w:color w:val="auto"/>
                <w:lang w:val="en-US" w:eastAsia="zh-CN"/>
              </w:rPr>
              <w:t>0.5</w:t>
            </w: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color w:val="auto"/>
                <w:sz w:val="18"/>
                <w:szCs w:val="18"/>
              </w:rPr>
            </w:pP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nil"/>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nil"/>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二氯甲烷</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ascii="宋体" w:hAnsi="宋体"/>
                <w:color w:val="auto"/>
              </w:rPr>
            </w:pPr>
            <w:r>
              <w:rPr>
                <w:rFonts w:ascii="宋体" w:hAnsi="宋体"/>
                <w:color w:val="auto"/>
              </w:rPr>
              <w:t>14.63</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color w:val="auto"/>
                <w:sz w:val="18"/>
                <w:szCs w:val="18"/>
              </w:rPr>
            </w:pPr>
            <w:r>
              <w:rPr>
                <w:rFonts w:hint="eastAsia" w:ascii="宋体" w:hAnsi="宋体"/>
                <w:color w:val="auto"/>
                <w:sz w:val="18"/>
                <w:szCs w:val="18"/>
              </w:rPr>
              <w:t>9</w:t>
            </w:r>
            <w:r>
              <w:rPr>
                <w:rFonts w:ascii="宋体" w:hAnsi="宋体"/>
                <w:color w:val="auto"/>
                <w:sz w:val="18"/>
                <w:szCs w:val="18"/>
              </w:rPr>
              <w:t>9.9</w:t>
            </w:r>
          </w:p>
        </w:tc>
        <w:tc>
          <w:tcPr>
            <w:tcW w:w="1752" w:type="dxa"/>
            <w:vMerge w:val="restart"/>
            <w:tcBorders>
              <w:top w:val="nil"/>
              <w:left w:val="single" w:color="auto" w:sz="4" w:space="0"/>
              <w:bottom w:val="single" w:color="auto" w:sz="4" w:space="0"/>
              <w:right w:val="single" w:color="auto" w:sz="4" w:space="0"/>
            </w:tcBorders>
          </w:tcPr>
          <w:p>
            <w:pPr>
              <w:spacing w:line="240" w:lineRule="exact"/>
              <w:rPr>
                <w:color w:val="auto"/>
              </w:rPr>
            </w:pPr>
            <w:r>
              <w:rPr>
                <w:rFonts w:hint="eastAsia" w:ascii="宋体" w:hAnsi="宋体"/>
                <w:color w:val="auto"/>
              </w:rPr>
              <w:t>Ⅲ级（中度危害）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eastAsia" w:ascii="宋体" w:hAnsi="宋体" w:eastAsia="宋体"/>
                <w:color w:val="auto"/>
                <w:lang w:eastAsia="zh-CN"/>
              </w:rPr>
            </w:pPr>
            <w:r>
              <w:rPr>
                <w:rFonts w:hint="eastAsia" w:ascii="宋体" w:hAnsi="宋体"/>
                <w:color w:val="auto"/>
                <w:lang w:val="en-US" w:eastAsia="zh-CN"/>
              </w:rPr>
              <w:t>2</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color w:val="auto"/>
                <w:sz w:val="18"/>
                <w:szCs w:val="18"/>
              </w:rPr>
            </w:pPr>
            <w:r>
              <w:rPr>
                <w:rFonts w:hint="eastAsia" w:ascii="宋体" w:hAnsi="宋体"/>
                <w:color w:val="auto"/>
              </w:rPr>
              <w:t>9</w:t>
            </w:r>
            <w:r>
              <w:rPr>
                <w:rFonts w:ascii="宋体" w:hAnsi="宋体"/>
                <w:color w:val="auto"/>
              </w:rPr>
              <w:t>9.9</w:t>
            </w: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nil"/>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nil"/>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甲苯</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rPr>
                <w:color w:val="auto"/>
              </w:rPr>
            </w:pPr>
            <w:r>
              <w:rPr>
                <w:rFonts w:hint="eastAsia" w:ascii="宋体" w:hAnsi="宋体"/>
                <w:color w:val="auto"/>
                <w:sz w:val="18"/>
                <w:szCs w:val="18"/>
              </w:rPr>
              <w:t>4.07712</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color w:val="auto"/>
                <w:sz w:val="18"/>
                <w:szCs w:val="18"/>
              </w:rPr>
            </w:pPr>
            <w:r>
              <w:rPr>
                <w:rFonts w:hint="eastAsia" w:ascii="宋体" w:hAnsi="宋体"/>
                <w:color w:val="auto"/>
                <w:sz w:val="18"/>
                <w:szCs w:val="18"/>
              </w:rPr>
              <w:t>9</w:t>
            </w:r>
            <w:r>
              <w:rPr>
                <w:rFonts w:ascii="宋体" w:hAnsi="宋体"/>
                <w:color w:val="auto"/>
                <w:sz w:val="18"/>
                <w:szCs w:val="18"/>
              </w:rPr>
              <w:t>9.5</w:t>
            </w:r>
          </w:p>
        </w:tc>
        <w:tc>
          <w:tcPr>
            <w:tcW w:w="1752" w:type="dxa"/>
            <w:vMerge w:val="restart"/>
            <w:tcBorders>
              <w:top w:val="nil"/>
              <w:left w:val="single" w:color="auto" w:sz="4" w:space="0"/>
              <w:bottom w:val="single" w:color="auto" w:sz="4" w:space="0"/>
              <w:right w:val="single" w:color="auto" w:sz="4" w:space="0"/>
            </w:tcBorders>
          </w:tcPr>
          <w:p>
            <w:pPr>
              <w:spacing w:line="240" w:lineRule="exact"/>
              <w:rPr>
                <w:color w:val="auto"/>
              </w:rPr>
            </w:pPr>
            <w:r>
              <w:rPr>
                <w:rFonts w:hint="eastAsia" w:ascii="宋体" w:hAnsi="宋体"/>
                <w:color w:val="auto"/>
              </w:rPr>
              <w:t>Ⅲ级（中度危害）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default" w:ascii="宋体" w:hAnsi="宋体" w:eastAsia="宋体"/>
                <w:color w:val="auto"/>
                <w:lang w:val="en-US" w:eastAsia="zh-CN"/>
              </w:rPr>
            </w:pPr>
            <w:r>
              <w:rPr>
                <w:rFonts w:hint="eastAsia" w:ascii="宋体" w:hAnsi="宋体"/>
                <w:color w:val="auto"/>
                <w:lang w:val="en-US" w:eastAsia="zh-CN"/>
              </w:rPr>
              <w:t>0.5</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color w:val="auto"/>
                <w:sz w:val="18"/>
                <w:szCs w:val="18"/>
              </w:rPr>
            </w:pPr>
            <w:r>
              <w:rPr>
                <w:rFonts w:hint="eastAsia" w:ascii="宋体" w:hAnsi="宋体"/>
                <w:color w:val="auto"/>
              </w:rPr>
              <w:t>9</w:t>
            </w:r>
            <w:r>
              <w:rPr>
                <w:rFonts w:ascii="宋体" w:hAnsi="宋体"/>
                <w:color w:val="auto"/>
              </w:rPr>
              <w:t>9.5</w:t>
            </w: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Borders>
              <w:top w:val="nil"/>
              <w:left w:val="single" w:color="auto" w:sz="4" w:space="0"/>
              <w:bottom w:val="single" w:color="auto" w:sz="4" w:space="0"/>
              <w:right w:val="single" w:color="auto" w:sz="4" w:space="0"/>
            </w:tcBorders>
          </w:tcPr>
          <w:p>
            <w:pPr>
              <w:numPr>
                <w:ilvl w:val="0"/>
                <w:numId w:val="16"/>
              </w:numPr>
              <w:spacing w:line="240" w:lineRule="exact"/>
              <w:rPr>
                <w:rFonts w:ascii="宋体" w:hAnsi="宋体"/>
                <w:color w:val="auto"/>
              </w:rPr>
            </w:pPr>
          </w:p>
        </w:tc>
        <w:tc>
          <w:tcPr>
            <w:tcW w:w="1752" w:type="dxa"/>
            <w:vMerge w:val="restart"/>
            <w:tcBorders>
              <w:top w:val="nil"/>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甲醇</w:t>
            </w: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生产装置</w:t>
            </w:r>
          </w:p>
        </w:tc>
        <w:tc>
          <w:tcPr>
            <w:tcW w:w="1752" w:type="dxa"/>
            <w:tcBorders>
              <w:top w:val="single" w:color="auto" w:sz="4" w:space="0"/>
              <w:left w:val="single" w:color="auto" w:sz="4" w:space="0"/>
              <w:bottom w:val="single" w:color="auto" w:sz="4" w:space="0"/>
              <w:right w:val="single" w:color="auto" w:sz="4" w:space="0"/>
            </w:tcBorders>
            <w:vAlign w:val="center"/>
          </w:tcPr>
          <w:p>
            <w:pPr>
              <w:spacing w:line="240" w:lineRule="exact"/>
              <w:rPr>
                <w:color w:val="auto"/>
              </w:rPr>
            </w:pPr>
            <w:r>
              <w:rPr>
                <w:rFonts w:hint="eastAsia" w:ascii="宋体" w:hAnsi="宋体"/>
                <w:color w:val="auto"/>
                <w:sz w:val="18"/>
                <w:szCs w:val="18"/>
              </w:rPr>
              <w:t>0.87961</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9</w:t>
            </w:r>
            <w:r>
              <w:rPr>
                <w:rFonts w:ascii="宋体" w:hAnsi="宋体"/>
                <w:color w:val="auto"/>
              </w:rPr>
              <w:t>9</w:t>
            </w:r>
          </w:p>
        </w:tc>
        <w:tc>
          <w:tcPr>
            <w:tcW w:w="1752" w:type="dxa"/>
            <w:vMerge w:val="restart"/>
            <w:tcBorders>
              <w:top w:val="nil"/>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Ⅲ级（中度危害）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c>
          <w:tcPr>
            <w:tcW w:w="1752" w:type="dxa"/>
            <w:tcBorders>
              <w:top w:val="single" w:color="auto" w:sz="4" w:space="0"/>
              <w:left w:val="single" w:color="auto" w:sz="4" w:space="0"/>
              <w:bottom w:val="single" w:color="auto" w:sz="4" w:space="0"/>
              <w:right w:val="single" w:color="auto" w:sz="4" w:space="0"/>
            </w:tcBorders>
          </w:tcPr>
          <w:p>
            <w:pPr>
              <w:pStyle w:val="12"/>
              <w:spacing w:after="0" w:line="240" w:lineRule="exact"/>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tcBorders>
              <w:top w:val="single" w:color="auto" w:sz="4" w:space="0"/>
              <w:left w:val="single" w:color="auto" w:sz="4" w:space="0"/>
              <w:bottom w:val="single" w:color="auto" w:sz="4" w:space="0"/>
              <w:right w:val="single" w:color="auto" w:sz="4" w:space="0"/>
            </w:tcBorders>
            <w:vAlign w:val="center"/>
          </w:tcPr>
          <w:p>
            <w:pPr>
              <w:pStyle w:val="12"/>
              <w:spacing w:after="0" w:line="240" w:lineRule="exact"/>
              <w:ind w:left="0" w:leftChars="0"/>
              <w:jc w:val="left"/>
              <w:rPr>
                <w:rFonts w:hint="default" w:ascii="宋体" w:hAnsi="宋体" w:eastAsia="宋体"/>
                <w:color w:val="auto"/>
                <w:lang w:val="en-US" w:eastAsia="zh-CN"/>
              </w:rPr>
            </w:pPr>
            <w:r>
              <w:rPr>
                <w:rFonts w:hint="eastAsia" w:ascii="宋体" w:hAnsi="宋体"/>
                <w:color w:val="auto"/>
                <w:lang w:val="en-US" w:eastAsia="zh-CN"/>
              </w:rPr>
              <w:t>0.25</w:t>
            </w:r>
          </w:p>
        </w:tc>
        <w:tc>
          <w:tcPr>
            <w:tcW w:w="1752" w:type="dxa"/>
            <w:tcBorders>
              <w:top w:val="single" w:color="auto" w:sz="4" w:space="0"/>
              <w:left w:val="single" w:color="auto" w:sz="4" w:space="0"/>
              <w:bottom w:val="single" w:color="auto" w:sz="4" w:space="0"/>
              <w:right w:val="single" w:color="auto" w:sz="4" w:space="0"/>
            </w:tcBorders>
          </w:tcPr>
          <w:p>
            <w:pPr>
              <w:spacing w:line="240" w:lineRule="exact"/>
              <w:rPr>
                <w:rFonts w:ascii="宋体" w:hAnsi="宋体"/>
                <w:color w:val="auto"/>
              </w:rPr>
            </w:pPr>
            <w:r>
              <w:rPr>
                <w:rFonts w:hint="eastAsia" w:ascii="宋体" w:hAnsi="宋体"/>
                <w:color w:val="auto"/>
              </w:rPr>
              <w:t>9</w:t>
            </w:r>
            <w:r>
              <w:rPr>
                <w:rFonts w:ascii="宋体" w:hAnsi="宋体"/>
                <w:color w:val="auto"/>
              </w:rPr>
              <w:t>9</w:t>
            </w:r>
          </w:p>
        </w:tc>
        <w:tc>
          <w:tcPr>
            <w:tcW w:w="1752" w:type="dxa"/>
            <w:vMerge w:val="continue"/>
            <w:tcBorders>
              <w:top w:val="nil"/>
              <w:left w:val="single" w:color="auto" w:sz="4" w:space="0"/>
              <w:bottom w:val="single" w:color="auto" w:sz="4" w:space="0"/>
              <w:right w:val="single" w:color="auto" w:sz="4" w:space="0"/>
            </w:tcBorders>
            <w:vAlign w:val="center"/>
          </w:tcPr>
          <w:p>
            <w:pPr>
              <w:widowControl/>
              <w:spacing w:line="240" w:lineRule="exact"/>
              <w:jc w:val="left"/>
              <w:rPr>
                <w:rFonts w:ascii="宋体" w:hAnsi="宋体"/>
                <w:color w:val="auto"/>
              </w:rPr>
            </w:pPr>
          </w:p>
        </w:tc>
      </w:tr>
    </w:tbl>
    <w:p>
      <w:pPr>
        <w:adjustRightInd w:val="0"/>
        <w:snapToGrid w:val="0"/>
        <w:ind w:firstLine="420" w:firstLineChars="200"/>
        <w:jc w:val="center"/>
        <w:rPr>
          <w:rFonts w:ascii="宋体" w:hAnsi="宋体"/>
          <w:color w:val="auto"/>
        </w:rPr>
      </w:pPr>
      <w:r>
        <w:rPr>
          <w:rFonts w:hint="eastAsia" w:ascii="宋体" w:hAnsi="宋体"/>
          <w:color w:val="auto"/>
        </w:rPr>
        <w:t xml:space="preserve"> </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6.1.2.4 具有腐蚀性的化学品的浓度及质量</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该项目涉及腐蚀性化学品为三乙胺、甲基磺酰氯、液氨、锂、硫酸、氢溴酸、三氟乙酸酐、亚硫酸氢钠、丙酸酐、NP</w:t>
      </w:r>
      <w:r>
        <w:rPr>
          <w:rFonts w:ascii="宋体" w:hAnsi="宋体"/>
          <w:color w:val="auto"/>
          <w:sz w:val="28"/>
          <w:szCs w:val="28"/>
        </w:rPr>
        <w:t>-10</w:t>
      </w:r>
      <w:r>
        <w:rPr>
          <w:rFonts w:hint="eastAsia" w:ascii="宋体" w:hAnsi="宋体"/>
          <w:color w:val="auto"/>
          <w:sz w:val="28"/>
          <w:szCs w:val="28"/>
        </w:rPr>
        <w:t>、吲哚丁酸等。</w:t>
      </w:r>
    </w:p>
    <w:p>
      <w:pPr>
        <w:adjustRightInd w:val="0"/>
        <w:snapToGrid w:val="0"/>
        <w:ind w:firstLine="420" w:firstLineChars="200"/>
        <w:jc w:val="center"/>
        <w:rPr>
          <w:rFonts w:ascii="宋体" w:hAnsi="宋体"/>
          <w:color w:val="auto"/>
        </w:rPr>
      </w:pPr>
      <w:r>
        <w:rPr>
          <w:rFonts w:hint="eastAsia" w:ascii="宋体" w:hAnsi="宋体"/>
          <w:color w:val="auto"/>
        </w:rPr>
        <w:t>表6.1-5 具有腐蚀性的化学品的浓度及质量</w:t>
      </w:r>
    </w:p>
    <w:tbl>
      <w:tblPr>
        <w:tblStyle w:val="31"/>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752"/>
        <w:gridCol w:w="1752"/>
        <w:gridCol w:w="1752"/>
        <w:gridCol w:w="1752"/>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tcPr>
          <w:p>
            <w:pPr>
              <w:jc w:val="center"/>
              <w:rPr>
                <w:rFonts w:ascii="宋体" w:hAnsi="宋体"/>
                <w:color w:val="auto"/>
              </w:rPr>
            </w:pPr>
            <w:r>
              <w:rPr>
                <w:rFonts w:hint="eastAsia" w:ascii="宋体" w:hAnsi="宋体"/>
                <w:color w:val="auto"/>
              </w:rPr>
              <w:t>序号</w:t>
            </w:r>
          </w:p>
        </w:tc>
        <w:tc>
          <w:tcPr>
            <w:tcW w:w="1752" w:type="dxa"/>
            <w:vAlign w:val="center"/>
          </w:tcPr>
          <w:p>
            <w:pPr>
              <w:jc w:val="center"/>
              <w:rPr>
                <w:rFonts w:ascii="宋体" w:hAnsi="宋体"/>
                <w:color w:val="auto"/>
              </w:rPr>
            </w:pPr>
            <w:r>
              <w:rPr>
                <w:rFonts w:hint="eastAsia" w:ascii="宋体" w:hAnsi="宋体"/>
                <w:color w:val="auto"/>
              </w:rPr>
              <w:t>存在物质</w:t>
            </w:r>
          </w:p>
        </w:tc>
        <w:tc>
          <w:tcPr>
            <w:tcW w:w="1752" w:type="dxa"/>
            <w:vAlign w:val="center"/>
          </w:tcPr>
          <w:p>
            <w:pPr>
              <w:jc w:val="center"/>
              <w:rPr>
                <w:rFonts w:ascii="宋体" w:hAnsi="宋体"/>
                <w:color w:val="auto"/>
              </w:rPr>
            </w:pPr>
            <w:r>
              <w:rPr>
                <w:rFonts w:hint="eastAsia" w:ascii="宋体" w:hAnsi="宋体"/>
                <w:color w:val="auto"/>
              </w:rPr>
              <w:t>存在场所</w:t>
            </w:r>
          </w:p>
        </w:tc>
        <w:tc>
          <w:tcPr>
            <w:tcW w:w="1752" w:type="dxa"/>
            <w:vAlign w:val="center"/>
          </w:tcPr>
          <w:p>
            <w:pPr>
              <w:jc w:val="center"/>
              <w:rPr>
                <w:rFonts w:ascii="宋体" w:hAnsi="宋体"/>
                <w:color w:val="auto"/>
              </w:rPr>
            </w:pPr>
            <w:r>
              <w:rPr>
                <w:rFonts w:hint="eastAsia" w:ascii="宋体" w:hAnsi="宋体"/>
                <w:color w:val="auto"/>
              </w:rPr>
              <w:t>最大在线量（t）</w:t>
            </w:r>
          </w:p>
        </w:tc>
        <w:tc>
          <w:tcPr>
            <w:tcW w:w="1752" w:type="dxa"/>
            <w:vAlign w:val="center"/>
          </w:tcPr>
          <w:p>
            <w:pPr>
              <w:jc w:val="center"/>
              <w:rPr>
                <w:rFonts w:ascii="宋体" w:hAnsi="宋体"/>
                <w:color w:val="auto"/>
              </w:rPr>
            </w:pPr>
            <w:r>
              <w:rPr>
                <w:rFonts w:hint="eastAsia" w:ascii="宋体" w:hAnsi="宋体"/>
                <w:color w:val="auto"/>
              </w:rPr>
              <w:t>浓度%</w:t>
            </w:r>
          </w:p>
        </w:tc>
        <w:tc>
          <w:tcPr>
            <w:tcW w:w="1752" w:type="dxa"/>
            <w:vAlign w:val="center"/>
          </w:tcPr>
          <w:p>
            <w:pPr>
              <w:jc w:val="center"/>
              <w:rPr>
                <w:rFonts w:ascii="宋体" w:hAnsi="宋体"/>
                <w:color w:val="auto"/>
              </w:rPr>
            </w:pPr>
            <w:r>
              <w:rPr>
                <w:rFonts w:hint="eastAsia"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Pr>
          <w:p>
            <w:pPr>
              <w:pStyle w:val="57"/>
              <w:numPr>
                <w:ilvl w:val="0"/>
                <w:numId w:val="17"/>
              </w:numPr>
              <w:ind w:firstLineChars="0"/>
              <w:rPr>
                <w:rFonts w:ascii="宋体" w:hAnsi="宋体"/>
                <w:color w:val="auto"/>
              </w:rPr>
            </w:pPr>
          </w:p>
        </w:tc>
        <w:tc>
          <w:tcPr>
            <w:tcW w:w="1752" w:type="dxa"/>
            <w:vMerge w:val="restart"/>
            <w:vAlign w:val="center"/>
          </w:tcPr>
          <w:p>
            <w:pPr>
              <w:jc w:val="center"/>
              <w:rPr>
                <w:rFonts w:ascii="宋体" w:hAnsi="宋体"/>
                <w:color w:val="auto"/>
              </w:rPr>
            </w:pPr>
            <w:r>
              <w:rPr>
                <w:rFonts w:hint="eastAsia" w:ascii="宋体" w:hAnsi="宋体"/>
                <w:color w:val="auto"/>
              </w:rPr>
              <w:t>三乙胺</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1.22873</w:t>
            </w:r>
          </w:p>
        </w:tc>
        <w:tc>
          <w:tcPr>
            <w:tcW w:w="1752" w:type="dxa"/>
          </w:tcPr>
          <w:p>
            <w:pPr>
              <w:rPr>
                <w:rFonts w:ascii="宋体" w:hAnsi="宋体"/>
                <w:color w:val="auto"/>
              </w:rPr>
            </w:pPr>
            <w:r>
              <w:rPr>
                <w:rFonts w:hint="eastAsia" w:ascii="宋体" w:hAnsi="宋体"/>
                <w:color w:val="auto"/>
              </w:rPr>
              <w:t>9</w:t>
            </w:r>
            <w:r>
              <w:rPr>
                <w:rFonts w:ascii="宋体" w:hAnsi="宋体"/>
                <w:color w:val="auto"/>
              </w:rPr>
              <w:t>9.5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left"/>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hint="eastAsia" w:ascii="宋体" w:hAnsi="宋体" w:eastAsia="宋体"/>
                <w:color w:val="auto"/>
                <w:lang w:eastAsia="zh-CN"/>
              </w:rPr>
            </w:pPr>
            <w:r>
              <w:rPr>
                <w:rFonts w:hint="eastAsia" w:ascii="宋体" w:hAnsi="宋体"/>
                <w:color w:val="auto"/>
                <w:lang w:val="en-US" w:eastAsia="zh-CN"/>
              </w:rPr>
              <w:t>1</w:t>
            </w:r>
          </w:p>
        </w:tc>
        <w:tc>
          <w:tcPr>
            <w:tcW w:w="1752" w:type="dxa"/>
          </w:tcPr>
          <w:p>
            <w:pPr>
              <w:rPr>
                <w:rFonts w:ascii="宋体" w:hAnsi="宋体"/>
                <w:color w:val="auto"/>
              </w:rPr>
            </w:pPr>
            <w:r>
              <w:rPr>
                <w:rFonts w:hint="eastAsia" w:ascii="宋体" w:hAnsi="宋体"/>
                <w:color w:val="auto"/>
              </w:rPr>
              <w:t>9</w:t>
            </w:r>
            <w:r>
              <w:rPr>
                <w:rFonts w:ascii="宋体" w:hAnsi="宋体"/>
                <w:color w:val="auto"/>
              </w:rPr>
              <w:t>9.5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Pr>
          <w:p>
            <w:pPr>
              <w:pStyle w:val="57"/>
              <w:numPr>
                <w:ilvl w:val="0"/>
                <w:numId w:val="17"/>
              </w:numPr>
              <w:ind w:firstLineChars="0"/>
              <w:rPr>
                <w:rFonts w:ascii="宋体" w:hAnsi="宋体"/>
                <w:color w:val="auto"/>
              </w:rPr>
            </w:pPr>
          </w:p>
        </w:tc>
        <w:tc>
          <w:tcPr>
            <w:tcW w:w="1752" w:type="dxa"/>
            <w:vMerge w:val="restart"/>
            <w:vAlign w:val="center"/>
          </w:tcPr>
          <w:p>
            <w:pPr>
              <w:jc w:val="center"/>
              <w:rPr>
                <w:rFonts w:ascii="宋体" w:hAnsi="宋体"/>
                <w:color w:val="auto"/>
              </w:rPr>
            </w:pPr>
            <w:r>
              <w:rPr>
                <w:rFonts w:hint="eastAsia" w:ascii="宋体" w:hAnsi="宋体"/>
                <w:color w:val="auto"/>
              </w:rPr>
              <w:t>甲基磺酰氯</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.2275</w:t>
            </w:r>
          </w:p>
        </w:tc>
        <w:tc>
          <w:tcPr>
            <w:tcW w:w="1752" w:type="dxa"/>
          </w:tcPr>
          <w:p>
            <w:pPr>
              <w:rPr>
                <w:rFonts w:ascii="宋体" w:hAnsi="宋体"/>
                <w:color w:val="auto"/>
              </w:rPr>
            </w:pPr>
            <w:r>
              <w:rPr>
                <w:rFonts w:hint="eastAsia" w:ascii="宋体" w:hAnsi="宋体"/>
                <w:color w:val="auto"/>
              </w:rPr>
              <w:t>9</w:t>
            </w:r>
            <w:r>
              <w:rPr>
                <w:rFonts w:ascii="宋体" w:hAnsi="宋体"/>
                <w:color w:val="auto"/>
              </w:rPr>
              <w:t>9.5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left"/>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02</w:t>
            </w:r>
            <w:r>
              <w:rPr>
                <w:rFonts w:hint="eastAsia" w:ascii="宋体" w:hAnsi="宋体"/>
                <w:color w:val="auto"/>
              </w:rPr>
              <w:t>甲类仓库二</w:t>
            </w:r>
          </w:p>
        </w:tc>
        <w:tc>
          <w:tcPr>
            <w:tcW w:w="1752" w:type="dxa"/>
            <w:vAlign w:val="center"/>
          </w:tcPr>
          <w:p>
            <w:pPr>
              <w:pStyle w:val="12"/>
              <w:spacing w:after="0"/>
              <w:ind w:left="0" w:leftChars="0"/>
              <w:jc w:val="left"/>
              <w:rPr>
                <w:rFonts w:hint="eastAsia" w:ascii="宋体" w:hAnsi="宋体" w:eastAsia="宋体"/>
                <w:color w:val="auto"/>
                <w:lang w:eastAsia="zh-CN"/>
              </w:rPr>
            </w:pPr>
            <w:r>
              <w:rPr>
                <w:rFonts w:hint="eastAsia" w:ascii="宋体" w:hAnsi="宋体"/>
                <w:color w:val="auto"/>
                <w:lang w:val="en-US" w:eastAsia="zh-CN"/>
              </w:rPr>
              <w:t>1</w:t>
            </w:r>
          </w:p>
        </w:tc>
        <w:tc>
          <w:tcPr>
            <w:tcW w:w="1752" w:type="dxa"/>
          </w:tcPr>
          <w:p>
            <w:pPr>
              <w:rPr>
                <w:rFonts w:ascii="宋体" w:hAnsi="宋体"/>
                <w:color w:val="auto"/>
              </w:rPr>
            </w:pPr>
            <w:r>
              <w:rPr>
                <w:rFonts w:hint="eastAsia" w:ascii="宋体" w:hAnsi="宋体"/>
                <w:color w:val="auto"/>
              </w:rPr>
              <w:t>9</w:t>
            </w:r>
            <w:r>
              <w:rPr>
                <w:rFonts w:ascii="宋体" w:hAnsi="宋体"/>
                <w:color w:val="auto"/>
              </w:rPr>
              <w:t>9.5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Pr>
          <w:p>
            <w:pPr>
              <w:pStyle w:val="57"/>
              <w:numPr>
                <w:ilvl w:val="0"/>
                <w:numId w:val="17"/>
              </w:numPr>
              <w:ind w:firstLineChars="0"/>
              <w:rPr>
                <w:rFonts w:ascii="宋体" w:hAnsi="宋体"/>
                <w:color w:val="auto"/>
              </w:rPr>
            </w:pPr>
          </w:p>
        </w:tc>
        <w:tc>
          <w:tcPr>
            <w:tcW w:w="1752" w:type="dxa"/>
            <w:vMerge w:val="restart"/>
            <w:vAlign w:val="center"/>
          </w:tcPr>
          <w:p>
            <w:pPr>
              <w:jc w:val="center"/>
              <w:rPr>
                <w:rFonts w:ascii="宋体" w:hAnsi="宋体"/>
                <w:color w:val="auto"/>
              </w:rPr>
            </w:pPr>
            <w:r>
              <w:rPr>
                <w:rFonts w:hint="eastAsia" w:ascii="宋体" w:hAnsi="宋体"/>
                <w:color w:val="auto"/>
              </w:rPr>
              <w:t>液氨</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.2</w:t>
            </w:r>
          </w:p>
        </w:tc>
        <w:tc>
          <w:tcPr>
            <w:tcW w:w="1752" w:type="dxa"/>
          </w:tcPr>
          <w:p>
            <w:pPr>
              <w:rPr>
                <w:rFonts w:ascii="宋体" w:hAnsi="宋体"/>
                <w:color w:val="auto"/>
              </w:rPr>
            </w:pPr>
            <w:r>
              <w:rPr>
                <w:rFonts w:hint="eastAsia" w:ascii="宋体" w:hAnsi="宋体"/>
                <w:color w:val="auto"/>
              </w:rPr>
              <w:t>9</w:t>
            </w:r>
            <w:r>
              <w:rPr>
                <w:rFonts w:ascii="宋体" w:hAnsi="宋体"/>
                <w:color w:val="auto"/>
              </w:rPr>
              <w:t>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left"/>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hint="default" w:ascii="宋体" w:hAnsi="宋体" w:eastAsia="宋体"/>
                <w:color w:val="auto"/>
                <w:lang w:val="en-US" w:eastAsia="zh-CN"/>
              </w:rPr>
            </w:pPr>
            <w:r>
              <w:rPr>
                <w:rFonts w:hint="eastAsia" w:ascii="宋体" w:hAnsi="宋体"/>
                <w:color w:val="auto"/>
                <w:lang w:val="en-US" w:eastAsia="zh-CN"/>
              </w:rPr>
              <w:t>2.4</w:t>
            </w:r>
          </w:p>
        </w:tc>
        <w:tc>
          <w:tcPr>
            <w:tcW w:w="1752" w:type="dxa"/>
          </w:tcPr>
          <w:p>
            <w:pPr>
              <w:rPr>
                <w:rFonts w:ascii="宋体" w:hAnsi="宋体"/>
                <w:color w:val="auto"/>
              </w:rPr>
            </w:pPr>
            <w:r>
              <w:rPr>
                <w:rFonts w:hint="eastAsia" w:ascii="宋体" w:hAnsi="宋体"/>
                <w:color w:val="auto"/>
              </w:rPr>
              <w:t>9</w:t>
            </w:r>
            <w:r>
              <w:rPr>
                <w:rFonts w:ascii="宋体" w:hAnsi="宋体"/>
                <w:color w:val="auto"/>
              </w:rPr>
              <w:t>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Pr>
          <w:p>
            <w:pPr>
              <w:pStyle w:val="57"/>
              <w:numPr>
                <w:ilvl w:val="0"/>
                <w:numId w:val="17"/>
              </w:numPr>
              <w:ind w:firstLineChars="0"/>
              <w:rPr>
                <w:rFonts w:ascii="宋体" w:hAnsi="宋体"/>
                <w:color w:val="auto"/>
              </w:rPr>
            </w:pPr>
          </w:p>
        </w:tc>
        <w:tc>
          <w:tcPr>
            <w:tcW w:w="1752" w:type="dxa"/>
            <w:vMerge w:val="restart"/>
            <w:vAlign w:val="center"/>
          </w:tcPr>
          <w:p>
            <w:pPr>
              <w:jc w:val="center"/>
              <w:rPr>
                <w:rFonts w:ascii="宋体" w:hAnsi="宋体"/>
                <w:color w:val="auto"/>
              </w:rPr>
            </w:pPr>
            <w:r>
              <w:rPr>
                <w:rFonts w:hint="eastAsia" w:ascii="宋体" w:hAnsi="宋体"/>
                <w:color w:val="auto"/>
              </w:rPr>
              <w:t>锂</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.004</w:t>
            </w:r>
          </w:p>
        </w:tc>
        <w:tc>
          <w:tcPr>
            <w:tcW w:w="1752" w:type="dxa"/>
          </w:tcPr>
          <w:p>
            <w:pPr>
              <w:rPr>
                <w:rFonts w:ascii="宋体" w:hAnsi="宋体"/>
                <w:color w:val="auto"/>
              </w:rPr>
            </w:pPr>
            <w:r>
              <w:rPr>
                <w:rFonts w:hint="eastAsia" w:ascii="宋体" w:hAnsi="宋体"/>
                <w:color w:val="auto"/>
              </w:rPr>
              <w:t>9</w:t>
            </w:r>
            <w:r>
              <w:rPr>
                <w:rFonts w:ascii="宋体" w:hAnsi="宋体"/>
                <w:color w:val="auto"/>
              </w:rPr>
              <w:t>9</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tcPr>
          <w:p>
            <w:pPr>
              <w:pStyle w:val="57"/>
              <w:numPr>
                <w:ilvl w:val="0"/>
                <w:numId w:val="17"/>
              </w:numPr>
              <w:ind w:firstLineChars="0"/>
              <w:rPr>
                <w:rFonts w:ascii="宋体" w:hAnsi="宋体"/>
                <w:color w:val="auto"/>
              </w:rPr>
            </w:pPr>
          </w:p>
        </w:tc>
        <w:tc>
          <w:tcPr>
            <w:tcW w:w="1752" w:type="dxa"/>
            <w:vMerge w:val="continue"/>
            <w:vAlign w:val="center"/>
          </w:tcPr>
          <w:p>
            <w:pPr>
              <w:jc w:val="center"/>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05</w:t>
            </w:r>
            <w:r>
              <w:rPr>
                <w:rFonts w:hint="eastAsia" w:ascii="宋体" w:hAnsi="宋体"/>
                <w:color w:val="auto"/>
              </w:rPr>
              <w:t>甲类仓库三</w:t>
            </w:r>
          </w:p>
        </w:tc>
        <w:tc>
          <w:tcPr>
            <w:tcW w:w="1752" w:type="dxa"/>
            <w:vAlign w:val="center"/>
          </w:tcPr>
          <w:p>
            <w:pPr>
              <w:pStyle w:val="12"/>
              <w:spacing w:after="0"/>
              <w:ind w:left="0" w:leftChars="0"/>
              <w:jc w:val="left"/>
              <w:rPr>
                <w:rFonts w:hint="default" w:ascii="宋体" w:hAnsi="宋体" w:eastAsia="宋体"/>
                <w:color w:val="auto"/>
                <w:lang w:val="en-US" w:eastAsia="zh-CN"/>
              </w:rPr>
            </w:pPr>
            <w:r>
              <w:rPr>
                <w:rFonts w:hint="eastAsia" w:ascii="宋体" w:hAnsi="宋体"/>
                <w:color w:val="auto"/>
                <w:lang w:val="en-US" w:eastAsia="zh-CN"/>
              </w:rPr>
              <w:t>0.1</w:t>
            </w:r>
          </w:p>
        </w:tc>
        <w:tc>
          <w:tcPr>
            <w:tcW w:w="1752" w:type="dxa"/>
          </w:tcPr>
          <w:p>
            <w:pPr>
              <w:rPr>
                <w:rFonts w:ascii="宋体" w:hAnsi="宋体"/>
                <w:color w:val="auto"/>
              </w:rPr>
            </w:pPr>
            <w:r>
              <w:rPr>
                <w:rFonts w:hint="eastAsia" w:ascii="宋体" w:hAnsi="宋体"/>
                <w:color w:val="auto"/>
              </w:rPr>
              <w:t>9</w:t>
            </w:r>
            <w:r>
              <w:rPr>
                <w:rFonts w:ascii="宋体" w:hAnsi="宋体"/>
                <w:color w:val="auto"/>
              </w:rPr>
              <w:t>9</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tcPr>
          <w:p>
            <w:pPr>
              <w:pStyle w:val="57"/>
              <w:numPr>
                <w:ilvl w:val="0"/>
                <w:numId w:val="17"/>
              </w:numPr>
              <w:ind w:firstLineChars="0"/>
              <w:rPr>
                <w:rFonts w:ascii="宋体" w:hAnsi="宋体"/>
                <w:color w:val="auto"/>
              </w:rPr>
            </w:pPr>
          </w:p>
        </w:tc>
        <w:tc>
          <w:tcPr>
            <w:tcW w:w="1752" w:type="dxa"/>
            <w:vMerge w:val="restart"/>
            <w:vAlign w:val="center"/>
          </w:tcPr>
          <w:p>
            <w:pPr>
              <w:jc w:val="center"/>
              <w:rPr>
                <w:rFonts w:ascii="宋体" w:hAnsi="宋体"/>
                <w:color w:val="auto"/>
              </w:rPr>
            </w:pPr>
            <w:r>
              <w:rPr>
                <w:rFonts w:hint="eastAsia" w:ascii="宋体" w:hAnsi="宋体"/>
                <w:color w:val="auto"/>
              </w:rPr>
              <w:t>硫酸</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1</w:t>
            </w:r>
            <w:r>
              <w:rPr>
                <w:rFonts w:ascii="宋体" w:hAnsi="宋体"/>
                <w:color w:val="auto"/>
              </w:rPr>
              <w:t>.8394</w:t>
            </w:r>
          </w:p>
        </w:tc>
        <w:tc>
          <w:tcPr>
            <w:tcW w:w="1752" w:type="dxa"/>
            <w:vMerge w:val="restart"/>
          </w:tcPr>
          <w:p>
            <w:pPr>
              <w:rPr>
                <w:rFonts w:ascii="宋体" w:hAnsi="宋体"/>
                <w:color w:val="auto"/>
              </w:rPr>
            </w:pPr>
            <w:r>
              <w:rPr>
                <w:rFonts w:hint="eastAsia" w:ascii="宋体" w:hAnsi="宋体"/>
                <w:color w:val="auto"/>
              </w:rPr>
              <w:t>9</w:t>
            </w:r>
            <w:r>
              <w:rPr>
                <w:rFonts w:ascii="宋体" w:hAnsi="宋体"/>
                <w:color w:val="auto"/>
              </w:rPr>
              <w:t>8</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left"/>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hint="default" w:ascii="宋体" w:hAnsi="宋体" w:eastAsia="宋体"/>
                <w:color w:val="auto"/>
                <w:lang w:val="en-US" w:eastAsia="zh-CN"/>
              </w:rPr>
            </w:pPr>
            <w:r>
              <w:rPr>
                <w:rFonts w:hint="eastAsia" w:ascii="宋体" w:hAnsi="宋体"/>
                <w:color w:val="auto"/>
                <w:lang w:val="en-US" w:eastAsia="zh-CN"/>
              </w:rPr>
              <w:t>0.5</w:t>
            </w:r>
          </w:p>
        </w:tc>
        <w:tc>
          <w:tcPr>
            <w:tcW w:w="1752" w:type="dxa"/>
            <w:vMerge w:val="continue"/>
            <w:vAlign w:val="center"/>
          </w:tcPr>
          <w:p>
            <w:pPr>
              <w:widowControl/>
              <w:jc w:val="left"/>
              <w:rPr>
                <w:rFonts w:ascii="宋体" w:hAnsi="宋体"/>
                <w:color w:val="auto"/>
              </w:rPr>
            </w:pP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vAlign w:val="center"/>
          </w:tcPr>
          <w:p>
            <w:pPr>
              <w:pStyle w:val="57"/>
              <w:widowControl/>
              <w:numPr>
                <w:ilvl w:val="0"/>
                <w:numId w:val="17"/>
              </w:numPr>
              <w:ind w:firstLineChars="0"/>
              <w:jc w:val="left"/>
              <w:rPr>
                <w:rFonts w:ascii="宋体" w:hAnsi="宋体"/>
                <w:color w:val="auto"/>
              </w:rPr>
            </w:pPr>
          </w:p>
        </w:tc>
        <w:tc>
          <w:tcPr>
            <w:tcW w:w="1752" w:type="dxa"/>
            <w:vMerge w:val="restart"/>
            <w:vAlign w:val="center"/>
          </w:tcPr>
          <w:p>
            <w:pPr>
              <w:widowControl/>
              <w:jc w:val="center"/>
              <w:rPr>
                <w:rFonts w:ascii="宋体" w:hAnsi="宋体"/>
                <w:color w:val="auto"/>
              </w:rPr>
            </w:pPr>
            <w:r>
              <w:rPr>
                <w:rFonts w:hint="eastAsia" w:ascii="宋体" w:hAnsi="宋体"/>
                <w:color w:val="auto"/>
              </w:rPr>
              <w:t>三氟乙酸酐</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.25</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9</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center"/>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.5</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9</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Align w:val="center"/>
          </w:tcPr>
          <w:p>
            <w:pPr>
              <w:pStyle w:val="57"/>
              <w:widowControl/>
              <w:numPr>
                <w:ilvl w:val="0"/>
                <w:numId w:val="17"/>
              </w:numPr>
              <w:ind w:firstLineChars="0"/>
              <w:jc w:val="left"/>
              <w:rPr>
                <w:rFonts w:ascii="宋体" w:hAnsi="宋体"/>
                <w:color w:val="auto"/>
              </w:rPr>
            </w:pPr>
          </w:p>
        </w:tc>
        <w:tc>
          <w:tcPr>
            <w:tcW w:w="1752" w:type="dxa"/>
            <w:vAlign w:val="center"/>
          </w:tcPr>
          <w:p>
            <w:pPr>
              <w:widowControl/>
              <w:jc w:val="center"/>
              <w:rPr>
                <w:rFonts w:ascii="宋体" w:hAnsi="宋体"/>
                <w:color w:val="auto"/>
              </w:rPr>
            </w:pPr>
            <w:r>
              <w:rPr>
                <w:rFonts w:hint="eastAsia" w:ascii="宋体" w:hAnsi="宋体"/>
                <w:color w:val="auto"/>
              </w:rPr>
              <w:t>亚硫酸氢钠</w:t>
            </w: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hint="eastAsia" w:ascii="宋体" w:hAnsi="宋体" w:eastAsia="宋体"/>
                <w:color w:val="auto"/>
                <w:lang w:eastAsia="zh-CN"/>
              </w:rPr>
            </w:pPr>
            <w:r>
              <w:rPr>
                <w:rFonts w:hint="eastAsia" w:ascii="宋体" w:hAnsi="宋体"/>
                <w:color w:val="auto"/>
                <w:lang w:val="en-US" w:eastAsia="zh-CN"/>
              </w:rPr>
              <w:t>2</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9.5</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restart"/>
            <w:vAlign w:val="center"/>
          </w:tcPr>
          <w:p>
            <w:pPr>
              <w:pStyle w:val="57"/>
              <w:widowControl/>
              <w:numPr>
                <w:ilvl w:val="0"/>
                <w:numId w:val="17"/>
              </w:numPr>
              <w:ind w:firstLineChars="0"/>
              <w:jc w:val="left"/>
              <w:rPr>
                <w:rFonts w:ascii="宋体" w:hAnsi="宋体"/>
                <w:color w:val="auto"/>
              </w:rPr>
            </w:pPr>
          </w:p>
        </w:tc>
        <w:tc>
          <w:tcPr>
            <w:tcW w:w="1752" w:type="dxa"/>
            <w:vMerge w:val="restart"/>
            <w:vAlign w:val="center"/>
          </w:tcPr>
          <w:p>
            <w:pPr>
              <w:widowControl/>
              <w:jc w:val="center"/>
              <w:rPr>
                <w:rFonts w:ascii="宋体" w:hAnsi="宋体"/>
                <w:color w:val="auto"/>
              </w:rPr>
            </w:pPr>
            <w:r>
              <w:rPr>
                <w:rFonts w:hint="eastAsia" w:ascii="宋体" w:hAnsi="宋体"/>
                <w:color w:val="auto"/>
              </w:rPr>
              <w:t>丙酸酐</w:t>
            </w:r>
          </w:p>
        </w:tc>
        <w:tc>
          <w:tcPr>
            <w:tcW w:w="1752" w:type="dxa"/>
          </w:tcPr>
          <w:p>
            <w:pPr>
              <w:pStyle w:val="12"/>
              <w:spacing w:after="0"/>
              <w:ind w:left="0" w:leftChars="0"/>
              <w:jc w:val="left"/>
              <w:rPr>
                <w:rFonts w:ascii="宋体" w:hAnsi="宋体"/>
                <w:color w:val="auto"/>
              </w:rPr>
            </w:pPr>
            <w:r>
              <w:rPr>
                <w:rFonts w:hint="eastAsia" w:ascii="宋体" w:hAnsi="宋体"/>
                <w:color w:val="auto"/>
              </w:rPr>
              <w:t>生产装置</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0</w:t>
            </w:r>
            <w:r>
              <w:rPr>
                <w:rFonts w:ascii="宋体" w:hAnsi="宋体"/>
                <w:color w:val="auto"/>
              </w:rPr>
              <w:t>.023</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8</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Merge w:val="continue"/>
            <w:vAlign w:val="center"/>
          </w:tcPr>
          <w:p>
            <w:pPr>
              <w:pStyle w:val="57"/>
              <w:widowControl/>
              <w:numPr>
                <w:ilvl w:val="0"/>
                <w:numId w:val="17"/>
              </w:numPr>
              <w:ind w:firstLineChars="0"/>
              <w:jc w:val="left"/>
              <w:rPr>
                <w:rFonts w:ascii="宋体" w:hAnsi="宋体"/>
                <w:color w:val="auto"/>
              </w:rPr>
            </w:pPr>
          </w:p>
        </w:tc>
        <w:tc>
          <w:tcPr>
            <w:tcW w:w="1752" w:type="dxa"/>
            <w:vMerge w:val="continue"/>
            <w:vAlign w:val="center"/>
          </w:tcPr>
          <w:p>
            <w:pPr>
              <w:widowControl/>
              <w:jc w:val="center"/>
              <w:rPr>
                <w:rFonts w:ascii="宋体" w:hAnsi="宋体"/>
                <w:color w:val="auto"/>
              </w:rPr>
            </w:pPr>
          </w:p>
        </w:tc>
        <w:tc>
          <w:tcPr>
            <w:tcW w:w="1752" w:type="dxa"/>
          </w:tcPr>
          <w:p>
            <w:pPr>
              <w:pStyle w:val="12"/>
              <w:spacing w:after="0"/>
              <w:ind w:left="0" w:leftChars="0"/>
              <w:jc w:val="left"/>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1752" w:type="dxa"/>
            <w:vAlign w:val="center"/>
          </w:tcPr>
          <w:p>
            <w:pPr>
              <w:pStyle w:val="12"/>
              <w:spacing w:after="0"/>
              <w:ind w:left="0" w:leftChars="0"/>
              <w:jc w:val="left"/>
              <w:rPr>
                <w:rFonts w:hint="default" w:ascii="宋体" w:hAnsi="宋体" w:eastAsia="宋体"/>
                <w:color w:val="auto"/>
                <w:lang w:val="en-US" w:eastAsia="zh-CN"/>
              </w:rPr>
            </w:pPr>
            <w:r>
              <w:rPr>
                <w:rFonts w:hint="eastAsia" w:ascii="宋体" w:hAnsi="宋体"/>
                <w:color w:val="auto"/>
                <w:lang w:val="en-US" w:eastAsia="zh-CN"/>
              </w:rPr>
              <w:t>0.3</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8</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Align w:val="center"/>
          </w:tcPr>
          <w:p>
            <w:pPr>
              <w:pStyle w:val="57"/>
              <w:widowControl/>
              <w:numPr>
                <w:ilvl w:val="0"/>
                <w:numId w:val="17"/>
              </w:numPr>
              <w:ind w:firstLineChars="0"/>
              <w:jc w:val="left"/>
              <w:rPr>
                <w:rFonts w:ascii="宋体" w:hAnsi="宋体"/>
                <w:color w:val="auto"/>
              </w:rPr>
            </w:pPr>
          </w:p>
        </w:tc>
        <w:tc>
          <w:tcPr>
            <w:tcW w:w="1752" w:type="dxa"/>
            <w:vAlign w:val="center"/>
          </w:tcPr>
          <w:p>
            <w:pPr>
              <w:widowControl/>
              <w:jc w:val="center"/>
              <w:rPr>
                <w:rFonts w:ascii="宋体" w:hAnsi="宋体"/>
                <w:color w:val="auto"/>
              </w:rPr>
            </w:pPr>
            <w:r>
              <w:rPr>
                <w:rFonts w:hint="eastAsia" w:ascii="宋体" w:hAnsi="宋体"/>
                <w:color w:val="auto"/>
              </w:rPr>
              <w:t>NP</w:t>
            </w:r>
            <w:r>
              <w:rPr>
                <w:rFonts w:ascii="宋体" w:hAnsi="宋体"/>
                <w:color w:val="auto"/>
              </w:rPr>
              <w:t>-10</w:t>
            </w:r>
          </w:p>
        </w:tc>
        <w:tc>
          <w:tcPr>
            <w:tcW w:w="1752" w:type="dxa"/>
          </w:tcPr>
          <w:p>
            <w:pPr>
              <w:pStyle w:val="12"/>
              <w:spacing w:after="0"/>
              <w:ind w:left="0" w:leftChars="0"/>
              <w:jc w:val="left"/>
              <w:rPr>
                <w:rFonts w:ascii="宋体" w:hAnsi="宋体"/>
                <w:color w:val="auto"/>
              </w:rPr>
            </w:pPr>
            <w:r>
              <w:rPr>
                <w:rFonts w:ascii="宋体" w:hAnsi="宋体"/>
                <w:color w:val="auto"/>
              </w:rPr>
              <w:t>203</w:t>
            </w:r>
            <w:r>
              <w:rPr>
                <w:rFonts w:hint="eastAsia" w:ascii="宋体" w:hAnsi="宋体"/>
                <w:color w:val="auto"/>
              </w:rPr>
              <w:t>丙类仓库一</w:t>
            </w:r>
          </w:p>
        </w:tc>
        <w:tc>
          <w:tcPr>
            <w:tcW w:w="1752" w:type="dxa"/>
            <w:vAlign w:val="center"/>
          </w:tcPr>
          <w:p>
            <w:pPr>
              <w:pStyle w:val="12"/>
              <w:spacing w:after="0"/>
              <w:ind w:left="0" w:leftChars="0"/>
              <w:jc w:val="left"/>
              <w:rPr>
                <w:rFonts w:ascii="宋体" w:hAnsi="宋体"/>
                <w:color w:val="auto"/>
              </w:rPr>
            </w:pPr>
            <w:r>
              <w:rPr>
                <w:rFonts w:hint="eastAsia" w:ascii="宋体" w:hAnsi="宋体"/>
                <w:color w:val="auto"/>
              </w:rPr>
              <w:t>5</w:t>
            </w:r>
          </w:p>
        </w:tc>
        <w:tc>
          <w:tcPr>
            <w:tcW w:w="1752" w:type="dxa"/>
            <w:vAlign w:val="center"/>
          </w:tcPr>
          <w:p>
            <w:pPr>
              <w:widowControl/>
              <w:jc w:val="left"/>
              <w:rPr>
                <w:rFonts w:ascii="宋体" w:hAnsi="宋体"/>
                <w:color w:val="auto"/>
              </w:rPr>
            </w:pPr>
            <w:r>
              <w:rPr>
                <w:rFonts w:hint="eastAsia" w:ascii="宋体" w:hAnsi="宋体"/>
                <w:color w:val="auto"/>
              </w:rPr>
              <w:t>1</w:t>
            </w:r>
            <w:r>
              <w:rPr>
                <w:rFonts w:ascii="宋体" w:hAnsi="宋体"/>
                <w:color w:val="auto"/>
              </w:rPr>
              <w:t>00</w:t>
            </w:r>
          </w:p>
        </w:tc>
        <w:tc>
          <w:tcPr>
            <w:tcW w:w="1752" w:type="dxa"/>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9" w:type="dxa"/>
            <w:vAlign w:val="center"/>
          </w:tcPr>
          <w:p>
            <w:pPr>
              <w:pStyle w:val="57"/>
              <w:widowControl/>
              <w:numPr>
                <w:ilvl w:val="0"/>
                <w:numId w:val="17"/>
              </w:numPr>
              <w:ind w:firstLineChars="0"/>
              <w:jc w:val="left"/>
              <w:rPr>
                <w:rFonts w:ascii="宋体" w:hAnsi="宋体"/>
                <w:color w:val="auto"/>
              </w:rPr>
            </w:pPr>
          </w:p>
        </w:tc>
        <w:tc>
          <w:tcPr>
            <w:tcW w:w="1752" w:type="dxa"/>
            <w:vAlign w:val="center"/>
          </w:tcPr>
          <w:p>
            <w:pPr>
              <w:widowControl/>
              <w:jc w:val="center"/>
              <w:rPr>
                <w:rFonts w:ascii="宋体" w:hAnsi="宋体"/>
                <w:color w:val="auto"/>
              </w:rPr>
            </w:pPr>
            <w:r>
              <w:rPr>
                <w:rFonts w:hint="eastAsia" w:ascii="宋体" w:hAnsi="宋体"/>
                <w:color w:val="auto"/>
              </w:rPr>
              <w:t>吲哚丁酸</w:t>
            </w:r>
          </w:p>
        </w:tc>
        <w:tc>
          <w:tcPr>
            <w:tcW w:w="1752" w:type="dxa"/>
          </w:tcPr>
          <w:p>
            <w:pPr>
              <w:pStyle w:val="12"/>
              <w:spacing w:after="0"/>
              <w:ind w:left="0" w:leftChars="0"/>
              <w:jc w:val="left"/>
              <w:rPr>
                <w:rFonts w:ascii="宋体" w:hAnsi="宋体"/>
                <w:color w:val="auto"/>
              </w:rPr>
            </w:pPr>
            <w:r>
              <w:rPr>
                <w:rFonts w:ascii="宋体" w:hAnsi="宋体"/>
                <w:color w:val="auto"/>
              </w:rPr>
              <w:t>203</w:t>
            </w:r>
            <w:r>
              <w:rPr>
                <w:rFonts w:hint="eastAsia" w:ascii="宋体" w:hAnsi="宋体"/>
                <w:color w:val="auto"/>
              </w:rPr>
              <w:t>丙类仓库一</w:t>
            </w:r>
          </w:p>
        </w:tc>
        <w:tc>
          <w:tcPr>
            <w:tcW w:w="1752" w:type="dxa"/>
            <w:vAlign w:val="center"/>
          </w:tcPr>
          <w:p>
            <w:pPr>
              <w:pStyle w:val="12"/>
              <w:spacing w:after="0"/>
              <w:ind w:left="0" w:leftChars="0"/>
              <w:jc w:val="left"/>
              <w:rPr>
                <w:rFonts w:hint="default" w:ascii="宋体" w:hAnsi="宋体" w:eastAsia="宋体"/>
                <w:color w:val="auto"/>
                <w:lang w:val="en-US" w:eastAsia="zh-CN"/>
              </w:rPr>
            </w:pPr>
            <w:r>
              <w:rPr>
                <w:rFonts w:hint="eastAsia" w:ascii="宋体" w:hAnsi="宋体"/>
                <w:color w:val="auto"/>
                <w:lang w:val="en-US" w:eastAsia="zh-CN"/>
              </w:rPr>
              <w:t>0.5</w:t>
            </w:r>
          </w:p>
        </w:tc>
        <w:tc>
          <w:tcPr>
            <w:tcW w:w="1752" w:type="dxa"/>
            <w:vAlign w:val="center"/>
          </w:tcPr>
          <w:p>
            <w:pPr>
              <w:widowControl/>
              <w:jc w:val="left"/>
              <w:rPr>
                <w:rFonts w:ascii="宋体" w:hAnsi="宋体"/>
                <w:color w:val="auto"/>
              </w:rPr>
            </w:pPr>
            <w:r>
              <w:rPr>
                <w:rFonts w:hint="eastAsia" w:ascii="宋体" w:hAnsi="宋体"/>
                <w:color w:val="auto"/>
              </w:rPr>
              <w:t>9</w:t>
            </w:r>
            <w:r>
              <w:rPr>
                <w:rFonts w:ascii="宋体" w:hAnsi="宋体"/>
                <w:color w:val="auto"/>
              </w:rPr>
              <w:t>8</w:t>
            </w:r>
          </w:p>
        </w:tc>
        <w:tc>
          <w:tcPr>
            <w:tcW w:w="1752" w:type="dxa"/>
          </w:tcPr>
          <w:p>
            <w:pPr>
              <w:rPr>
                <w:rFonts w:ascii="宋体" w:hAnsi="宋体"/>
                <w:color w:val="auto"/>
              </w:rPr>
            </w:pPr>
          </w:p>
        </w:tc>
      </w:tr>
    </w:tbl>
    <w:p>
      <w:pPr>
        <w:adjustRightInd w:val="0"/>
        <w:snapToGrid w:val="0"/>
        <w:ind w:firstLine="420" w:firstLineChars="200"/>
        <w:jc w:val="center"/>
        <w:rPr>
          <w:rFonts w:ascii="宋体" w:hAnsi="宋体"/>
          <w:color w:val="auto"/>
        </w:rPr>
      </w:pPr>
      <w:r>
        <w:rPr>
          <w:rFonts w:hint="eastAsia" w:ascii="宋体" w:hAnsi="宋体"/>
          <w:color w:val="auto"/>
        </w:rPr>
        <w:t xml:space="preserve"> </w:t>
      </w:r>
    </w:p>
    <w:p>
      <w:pPr>
        <w:keepNext/>
        <w:keepLines/>
        <w:spacing w:line="600" w:lineRule="exact"/>
        <w:jc w:val="left"/>
        <w:outlineLvl w:val="1"/>
        <w:rPr>
          <w:b/>
          <w:color w:val="auto"/>
          <w:sz w:val="30"/>
          <w:szCs w:val="30"/>
        </w:rPr>
      </w:pPr>
      <w:bookmarkStart w:id="149" w:name="_Toc380587612"/>
      <w:bookmarkEnd w:id="149"/>
      <w:bookmarkStart w:id="150" w:name="_Toc53083869"/>
      <w:r>
        <w:rPr>
          <w:rFonts w:hint="eastAsia"/>
          <w:color w:val="auto"/>
        </w:rPr>
        <w:br w:type="page"/>
      </w:r>
      <w:bookmarkEnd w:id="150"/>
      <w:bookmarkStart w:id="151" w:name="_Toc109631507"/>
      <w:bookmarkEnd w:id="151"/>
      <w:bookmarkStart w:id="152" w:name="_Toc144109194"/>
      <w:r>
        <w:rPr>
          <w:rFonts w:hint="eastAsia"/>
          <w:b/>
          <w:color w:val="auto"/>
          <w:sz w:val="30"/>
          <w:szCs w:val="30"/>
        </w:rPr>
        <w:t>6.2</w:t>
      </w:r>
      <w:r>
        <w:rPr>
          <w:b/>
          <w:color w:val="auto"/>
          <w:sz w:val="30"/>
          <w:szCs w:val="30"/>
        </w:rPr>
        <w:t>定性定量分析评价</w:t>
      </w:r>
      <w:bookmarkEnd w:id="152"/>
    </w:p>
    <w:p>
      <w:pPr>
        <w:jc w:val="center"/>
        <w:rPr>
          <w:color w:val="auto"/>
        </w:rPr>
      </w:pPr>
      <w:r>
        <w:rPr>
          <w:rFonts w:hint="eastAsia" w:ascii="宋体" w:hAnsi="宋体"/>
          <w:color w:val="auto"/>
        </w:rPr>
        <w:t>表</w:t>
      </w:r>
      <w:r>
        <w:rPr>
          <w:rFonts w:hint="eastAsia"/>
          <w:color w:val="auto"/>
        </w:rPr>
        <w:t xml:space="preserve">6-2 </w:t>
      </w:r>
      <w:r>
        <w:rPr>
          <w:rFonts w:hint="eastAsia" w:ascii="宋体" w:hAnsi="宋体"/>
          <w:color w:val="auto"/>
        </w:rPr>
        <w:t>定性评价结果一览表</w:t>
      </w:r>
    </w:p>
    <w:tbl>
      <w:tblPr>
        <w:tblStyle w:val="31"/>
        <w:tblW w:w="94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539"/>
        <w:gridCol w:w="951"/>
        <w:gridCol w:w="7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序号</w:t>
            </w:r>
          </w:p>
        </w:tc>
        <w:tc>
          <w:tcPr>
            <w:tcW w:w="1490" w:type="dxa"/>
            <w:gridSpan w:val="2"/>
            <w:tcBorders>
              <w:top w:val="single" w:color="auto" w:sz="4" w:space="0"/>
              <w:left w:val="single" w:color="auto" w:sz="4" w:space="0"/>
              <w:bottom w:val="single" w:color="auto" w:sz="4" w:space="0"/>
              <w:right w:val="single" w:color="auto" w:sz="4" w:space="0"/>
            </w:tcBorders>
          </w:tcPr>
          <w:p>
            <w:pPr>
              <w:jc w:val="center"/>
              <w:rPr>
                <w:rFonts w:ascii="宋体" w:hAnsi="宋体"/>
                <w:color w:val="auto"/>
              </w:rPr>
            </w:pPr>
            <w:r>
              <w:rPr>
                <w:rFonts w:hint="eastAsia" w:ascii="宋体" w:hAnsi="宋体"/>
                <w:color w:val="auto"/>
              </w:rPr>
              <w:t>单元名称</w:t>
            </w:r>
          </w:p>
        </w:tc>
        <w:tc>
          <w:tcPr>
            <w:tcW w:w="7510" w:type="dxa"/>
            <w:tcBorders>
              <w:top w:val="single" w:color="auto" w:sz="4" w:space="0"/>
              <w:left w:val="single" w:color="auto" w:sz="4" w:space="0"/>
              <w:bottom w:val="single" w:color="auto" w:sz="4" w:space="0"/>
              <w:right w:val="single" w:color="auto" w:sz="4" w:space="0"/>
            </w:tcBorders>
          </w:tcPr>
          <w:p>
            <w:pPr>
              <w:jc w:val="center"/>
              <w:rPr>
                <w:rFonts w:ascii="宋体" w:hAnsi="宋体"/>
                <w:color w:val="auto"/>
              </w:rPr>
            </w:pPr>
            <w:r>
              <w:rPr>
                <w:rFonts w:hint="eastAsia" w:ascii="宋体" w:hAnsi="宋体"/>
                <w:color w:val="auto"/>
              </w:rPr>
              <w:t>分析结果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pStyle w:val="72"/>
              <w:ind w:firstLine="0" w:firstLineChars="0"/>
              <w:rPr>
                <w:rFonts w:cs="Times New Roman"/>
                <w:color w:val="auto"/>
                <w:sz w:val="21"/>
                <w:szCs w:val="21"/>
              </w:rPr>
            </w:pPr>
            <w:r>
              <w:rPr>
                <w:rFonts w:hint="eastAsia" w:cs="Times New Roman"/>
                <w:color w:val="auto"/>
                <w:sz w:val="21"/>
                <w:szCs w:val="21"/>
              </w:rPr>
              <w:t>项目厂址与周边环境单元</w:t>
            </w:r>
          </w:p>
          <w:p>
            <w:pPr>
              <w:rPr>
                <w:rFonts w:ascii="宋体" w:hAnsi="宋体"/>
                <w:color w:val="auto"/>
              </w:rPr>
            </w:pP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kern w:val="0"/>
              </w:rPr>
              <w:t>本安全检查表共检查29项，29项均符合要求。该项目已通过新干县发展和改革委员会备案。该项目位于江西省吉安市新干县盐化工业城，属规划的化工园区。交通运输设施、能源和动力设施、环境保护工程及生活等均能满足要求。拥有可靠的水源和电源，交通运输条件优越。该项目选址无不良地质情况，周边无重要的供水水源卫生保护区、国家规定的风景区及森林和自然保护区历史文物古迹保护区等；基地地下无具有开采价值的矿藏。因此评价认为该项目的选址符合相关要求，与周边的环境是适应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平面布置及建构筑物单元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kern w:val="0"/>
              </w:rPr>
            </w:pPr>
            <w:r>
              <w:rPr>
                <w:rFonts w:hint="eastAsia" w:ascii="宋体" w:hAnsi="宋体"/>
                <w:color w:val="auto"/>
                <w:kern w:val="0"/>
              </w:rPr>
              <w:t>1）该项目的生产装置按工艺流程分区域布置，生产装置区内设备设施的布置紧凑、合理；建构筑物外形规整。</w:t>
            </w:r>
          </w:p>
          <w:p>
            <w:pPr>
              <w:jc w:val="left"/>
              <w:rPr>
                <w:rFonts w:ascii="宋体" w:hAnsi="宋体"/>
                <w:color w:val="auto"/>
                <w:kern w:val="0"/>
              </w:rPr>
            </w:pPr>
            <w:r>
              <w:rPr>
                <w:rFonts w:hint="eastAsia" w:ascii="宋体" w:hAnsi="宋体"/>
                <w:color w:val="auto"/>
                <w:kern w:val="0"/>
              </w:rPr>
              <w:t>2）该项目建筑物生产的火灾危险性分类、建筑耐火等级按《精细化工企业工程设计防火标准》及《建筑设计防火规范》执行。</w:t>
            </w:r>
          </w:p>
          <w:p>
            <w:pPr>
              <w:jc w:val="left"/>
              <w:rPr>
                <w:rFonts w:ascii="宋体" w:hAnsi="宋体"/>
                <w:color w:val="auto"/>
                <w:kern w:val="0"/>
              </w:rPr>
            </w:pPr>
            <w:r>
              <w:rPr>
                <w:rFonts w:hint="eastAsia" w:ascii="宋体" w:hAnsi="宋体"/>
                <w:color w:val="auto"/>
                <w:kern w:val="0"/>
              </w:rPr>
              <w:t>3）建筑物、构筑物等设施采用联合、集中布置，进行功能分区，合理地确定通道宽度；生产设施的布置，保证生产人员的安全操作及疏散方便。厂内道路的布置，满足生产、运输、安装、检修、消防安全和施工的要求；有利于功能分区和街区的划分； 与厂外道路连接方便、短捷；</w:t>
            </w:r>
          </w:p>
          <w:p>
            <w:pPr>
              <w:jc w:val="left"/>
              <w:rPr>
                <w:rFonts w:ascii="宋体" w:hAnsi="宋体"/>
                <w:color w:val="auto"/>
                <w:kern w:val="0"/>
              </w:rPr>
            </w:pPr>
            <w:r>
              <w:rPr>
                <w:rFonts w:ascii="宋体" w:hAnsi="宋体"/>
                <w:color w:val="auto"/>
                <w:kern w:val="0"/>
              </w:rPr>
              <w:t>4</w:t>
            </w:r>
            <w:r>
              <w:rPr>
                <w:rFonts w:hint="eastAsia" w:ascii="宋体" w:hAnsi="宋体"/>
                <w:color w:val="auto"/>
                <w:kern w:val="0"/>
              </w:rPr>
              <w:t>）对该单元采用安全检查表法分析，共进行了</w:t>
            </w:r>
            <w:r>
              <w:rPr>
                <w:rFonts w:ascii="宋体" w:hAnsi="宋体"/>
                <w:color w:val="auto"/>
                <w:kern w:val="0"/>
              </w:rPr>
              <w:t>36</w:t>
            </w:r>
            <w:r>
              <w:rPr>
                <w:rFonts w:hint="eastAsia" w:ascii="宋体" w:hAnsi="宋体"/>
                <w:color w:val="auto"/>
                <w:kern w:val="0"/>
              </w:rPr>
              <w:t>项内容的检查分析均符合要求。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2"/>
              <w:numPr>
                <w:ilvl w:val="0"/>
                <w:numId w:val="18"/>
              </w:numPr>
              <w:rPr>
                <w:color w:val="auto"/>
              </w:rPr>
            </w:pPr>
          </w:p>
        </w:tc>
        <w:tc>
          <w:tcPr>
            <w:tcW w:w="539" w:type="dxa"/>
            <w:vMerge w:val="restart"/>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生产工艺装置单元</w:t>
            </w: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highlight w:val="yellow"/>
              </w:rPr>
            </w:pPr>
            <w:r>
              <w:rPr>
                <w:rFonts w:ascii="宋体" w:hAnsi="宋体"/>
                <w:color w:val="auto"/>
              </w:rPr>
              <w:t>101</w:t>
            </w:r>
            <w:r>
              <w:rPr>
                <w:rFonts w:hint="eastAsia" w:ascii="宋体" w:hAnsi="宋体"/>
                <w:color w:val="auto"/>
              </w:rPr>
              <w:t>甲类车间一子单元</w:t>
            </w:r>
          </w:p>
        </w:tc>
        <w:tc>
          <w:tcPr>
            <w:tcW w:w="7510" w:type="dxa"/>
            <w:tcBorders>
              <w:top w:val="single" w:color="auto" w:sz="4" w:space="0"/>
              <w:left w:val="single" w:color="auto" w:sz="4" w:space="0"/>
              <w:bottom w:val="single" w:color="auto" w:sz="4" w:space="0"/>
              <w:right w:val="single" w:color="auto" w:sz="4" w:space="0"/>
            </w:tcBorders>
          </w:tcPr>
          <w:p>
            <w:pPr>
              <w:rPr>
                <w:rFonts w:ascii="宋体" w:hAnsi="宋体"/>
                <w:color w:val="auto"/>
                <w:kern w:val="0"/>
              </w:rPr>
            </w:pPr>
            <w:r>
              <w:rPr>
                <w:rFonts w:hint="eastAsia" w:ascii="宋体" w:hAnsi="宋体"/>
                <w:color w:val="auto"/>
                <w:kern w:val="0"/>
              </w:rPr>
              <w:t>本节评价小结：</w:t>
            </w:r>
          </w:p>
          <w:p>
            <w:pPr>
              <w:rPr>
                <w:rFonts w:ascii="宋体" w:hAnsi="宋体"/>
                <w:color w:val="auto"/>
                <w:kern w:val="0"/>
              </w:rPr>
            </w:pPr>
            <w:r>
              <w:rPr>
                <w:rFonts w:hint="eastAsia" w:ascii="宋体" w:hAnsi="宋体"/>
                <w:color w:val="auto"/>
                <w:kern w:val="0"/>
              </w:rPr>
              <w:t>由设备及工艺等特点决定该项目生产装置具有一定的火灾爆炸、中毒窒息、灼烫、触电、机械伤害、冻伤等危险特性，通过预先危险性分析，火灾爆炸、中毒窒息、触电危险程度为Ⅲ级（危险的）；灼烫、机械伤害、冻伤危险程度为Ⅱ级；Ⅲ级是危险的，会造成人员伤亡和系统损坏，要立即采取防范对策措施；Ⅱ级处于事故的边缘状态，暂时还不会造成人员伤亡、系统损坏降低系统性能，但应予排除或采取控制措施。</w:t>
            </w:r>
          </w:p>
          <w:p>
            <w:pPr>
              <w:jc w:val="left"/>
              <w:rPr>
                <w:rFonts w:ascii="宋体" w:hAnsi="宋体"/>
                <w:color w:val="auto"/>
              </w:rPr>
            </w:pPr>
            <w:r>
              <w:rPr>
                <w:rFonts w:hint="eastAsia" w:ascii="宋体" w:hAnsi="宋体"/>
                <w:color w:val="auto"/>
                <w:kern w:val="0"/>
              </w:rPr>
              <w:t>通过危险度分析得知，1</w:t>
            </w:r>
            <w:r>
              <w:rPr>
                <w:rFonts w:ascii="宋体" w:hAnsi="宋体"/>
                <w:color w:val="auto"/>
                <w:kern w:val="0"/>
              </w:rPr>
              <w:t>01</w:t>
            </w:r>
            <w:r>
              <w:rPr>
                <w:rFonts w:hint="eastAsia" w:ascii="宋体" w:hAnsi="宋体"/>
                <w:color w:val="auto"/>
                <w:kern w:val="0"/>
              </w:rPr>
              <w:t>甲类车间一单元危险度等级为Ⅱ级，属于中度危险，在生产管理中应加强安全技术措施及管理措施，降低危险程度，防止事故发生。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beforeAutospacing="1"/>
              <w:jc w:val="left"/>
              <w:rPr>
                <w:rFonts w:ascii="宋体" w:hAnsi="宋体"/>
                <w:color w:val="auto"/>
              </w:rPr>
            </w:pP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highlight w:val="yellow"/>
              </w:rPr>
            </w:pPr>
            <w:r>
              <w:rPr>
                <w:rFonts w:ascii="宋体" w:hAnsi="宋体"/>
                <w:color w:val="auto"/>
              </w:rPr>
              <w:t>103</w:t>
            </w:r>
            <w:r>
              <w:rPr>
                <w:rFonts w:hint="eastAsia" w:ascii="宋体" w:hAnsi="宋体"/>
                <w:color w:val="auto"/>
              </w:rPr>
              <w:t>液体制剂车间子单元</w:t>
            </w:r>
          </w:p>
        </w:tc>
        <w:tc>
          <w:tcPr>
            <w:tcW w:w="7510"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本节评价小结：</w:t>
            </w:r>
          </w:p>
          <w:p>
            <w:pPr>
              <w:jc w:val="left"/>
              <w:rPr>
                <w:rFonts w:ascii="宋体" w:hAnsi="宋体"/>
                <w:color w:val="auto"/>
              </w:rPr>
            </w:pPr>
            <w:r>
              <w:rPr>
                <w:rFonts w:hint="eastAsia" w:ascii="宋体" w:hAnsi="宋体"/>
                <w:color w:val="auto"/>
              </w:rPr>
              <w:t>由设备及工艺等特点决定该项目生产装置具有一定的火灾爆炸、中毒窒息、灼烫、触电、机械伤害等危险特性，通过预先危险性分析，火灾爆炸、中毒窒息、触电危险程度为Ⅲ级（危险的）；灼烫、机械伤害危险程度为Ⅱ级；Ⅲ级是危险的，会造成人员伤亡和系统损坏，要立即采取防范对策措施；Ⅱ级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spacing w:beforeAutospacing="1"/>
              <w:jc w:val="left"/>
              <w:rPr>
                <w:rFonts w:ascii="宋体" w:hAnsi="宋体"/>
                <w:color w:val="auto"/>
              </w:rPr>
            </w:pP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1</w:t>
            </w:r>
            <w:r>
              <w:rPr>
                <w:rFonts w:ascii="宋体" w:hAnsi="宋体"/>
                <w:color w:val="auto"/>
              </w:rPr>
              <w:t>04</w:t>
            </w:r>
            <w:r>
              <w:rPr>
                <w:rFonts w:hint="eastAsia" w:ascii="宋体" w:hAnsi="宋体"/>
                <w:color w:val="auto"/>
              </w:rPr>
              <w:t>颗粒剂车间子单元</w:t>
            </w:r>
          </w:p>
        </w:tc>
        <w:tc>
          <w:tcPr>
            <w:tcW w:w="7510"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本节评价小结：</w:t>
            </w:r>
          </w:p>
          <w:p>
            <w:pPr>
              <w:jc w:val="left"/>
              <w:rPr>
                <w:rFonts w:ascii="宋体" w:hAnsi="宋体"/>
                <w:color w:val="auto"/>
              </w:rPr>
            </w:pPr>
            <w:r>
              <w:rPr>
                <w:rFonts w:hint="eastAsia" w:ascii="宋体" w:hAnsi="宋体"/>
                <w:color w:val="auto"/>
              </w:rPr>
              <w:t>由设备及工艺等特点决定该项目生产装置具有一定的火灾爆炸、中毒窒息、灼烫、触电、机械伤害等危险特性，通过预先危险性分析，火灾爆炸、中毒窒息、触电危险程度为Ⅲ级（危险的）；灼烫、机械伤害危险程度为Ⅱ级；Ⅲ级是危险的，会造成人员伤亡和系统损坏，要立即采取防范对策措施；Ⅱ级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539" w:type="dxa"/>
            <w:vMerge w:val="restart"/>
            <w:tcBorders>
              <w:top w:val="nil"/>
              <w:left w:val="single" w:color="auto" w:sz="4" w:space="0"/>
              <w:right w:val="single" w:color="auto" w:sz="4" w:space="0"/>
            </w:tcBorders>
            <w:vAlign w:val="center"/>
          </w:tcPr>
          <w:p>
            <w:pPr>
              <w:rPr>
                <w:rFonts w:ascii="宋体" w:hAnsi="宋体"/>
                <w:color w:val="auto"/>
              </w:rPr>
            </w:pPr>
            <w:r>
              <w:rPr>
                <w:rFonts w:hint="eastAsia" w:ascii="宋体" w:hAnsi="宋体"/>
                <w:color w:val="auto"/>
              </w:rPr>
              <w:t>公用工程及辅助设施单元</w:t>
            </w: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电气子单元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通过预先危险分析，电气子单元主要危险、有害因素为：火灾、爆炸、继电保护动作异常危险程度为Ⅲ级（危险的），会造成人员伤亡和系统损坏，要立即采取防范对策措施；触电、电气误操作、无功电容器爆炸危险程度为Ⅱ级（临界的），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0" w:type="auto"/>
            <w:vMerge w:val="continue"/>
            <w:tcBorders>
              <w:left w:val="single" w:color="auto" w:sz="4" w:space="0"/>
              <w:right w:val="single" w:color="auto" w:sz="4" w:space="0"/>
            </w:tcBorders>
            <w:vAlign w:val="center"/>
          </w:tcPr>
          <w:p>
            <w:pPr>
              <w:widowControl/>
              <w:spacing w:beforeAutospacing="1"/>
              <w:jc w:val="left"/>
              <w:rPr>
                <w:rFonts w:ascii="宋体" w:hAnsi="宋体"/>
                <w:color w:val="auto"/>
              </w:rPr>
            </w:pP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仪表自动化子单元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kern w:val="0"/>
              </w:rPr>
            </w:pPr>
            <w:r>
              <w:rPr>
                <w:rFonts w:hint="eastAsia" w:ascii="宋体" w:hAnsi="宋体"/>
                <w:color w:val="auto"/>
              </w:rPr>
              <w:t>通过预先危险分析，仪表自动控制子单元主要危险、有害因素为：火灾危险程度为Ⅲ级（危险的），会造成人员伤亡和系统损坏，要立即采取防范对策措施；自动控制系统系统错误、自动控制系统系统运行不正常、自动控制调节装置运行不正常危险程度为Ⅱ级（临界的），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0" w:type="auto"/>
            <w:vMerge w:val="continue"/>
            <w:tcBorders>
              <w:left w:val="single" w:color="auto" w:sz="4" w:space="0"/>
              <w:right w:val="single" w:color="auto" w:sz="4" w:space="0"/>
            </w:tcBorders>
            <w:vAlign w:val="center"/>
          </w:tcPr>
          <w:p>
            <w:pPr>
              <w:widowControl/>
              <w:spacing w:beforeAutospacing="1"/>
              <w:jc w:val="left"/>
              <w:rPr>
                <w:rFonts w:ascii="宋体" w:hAnsi="宋体"/>
                <w:color w:val="auto"/>
              </w:rPr>
            </w:pP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highlight w:val="yellow"/>
              </w:rPr>
            </w:pPr>
            <w:r>
              <w:rPr>
                <w:rFonts w:hint="eastAsia" w:ascii="宋体" w:hAnsi="宋体"/>
                <w:color w:val="auto"/>
              </w:rPr>
              <w:t>空压子单元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ascii="宋体" w:hAnsi="宋体"/>
                <w:color w:val="auto"/>
              </w:rPr>
              <w:t>空压设备为国家定点生产的产品，目前该装置为定型产品，安全附件及联锁装置均随机配置；在正常运行过程中只要加强维护保养及校验工作，保证安全附件完好灵敏，</w:t>
            </w:r>
            <w:r>
              <w:rPr>
                <w:rFonts w:hint="eastAsia" w:ascii="宋体" w:hAnsi="宋体"/>
                <w:color w:val="auto"/>
              </w:rPr>
              <w:t>设备设施</w:t>
            </w:r>
            <w:r>
              <w:rPr>
                <w:rFonts w:ascii="宋体" w:hAnsi="宋体"/>
                <w:color w:val="auto"/>
              </w:rPr>
              <w:t>按规定进行检测，运行是安全的。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0" w:type="auto"/>
            <w:vMerge w:val="continue"/>
            <w:tcBorders>
              <w:left w:val="single" w:color="auto" w:sz="4" w:space="0"/>
              <w:bottom w:val="single" w:color="auto" w:sz="4" w:space="0"/>
              <w:right w:val="single" w:color="auto" w:sz="4" w:space="0"/>
            </w:tcBorders>
            <w:vAlign w:val="center"/>
          </w:tcPr>
          <w:p>
            <w:pPr>
              <w:widowControl/>
              <w:spacing w:beforeAutospacing="1"/>
              <w:jc w:val="left"/>
              <w:rPr>
                <w:rFonts w:ascii="宋体" w:hAnsi="宋体"/>
                <w:color w:val="auto"/>
              </w:rPr>
            </w:pPr>
          </w:p>
        </w:tc>
        <w:tc>
          <w:tcPr>
            <w:tcW w:w="95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给排水子单元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kern w:val="0"/>
              </w:rPr>
            </w:pPr>
            <w:r>
              <w:rPr>
                <w:rFonts w:hint="eastAsia" w:ascii="宋体" w:hAnsi="宋体"/>
                <w:color w:val="auto"/>
              </w:rPr>
              <w:t>通过预先危险分析，该项目给排水方面主要危险、有害因素有：火灾、淹溺、机械伤害、触电、噪声危险程度为Ⅱ级（临界的），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储运系统单元</w:t>
            </w:r>
          </w:p>
        </w:tc>
        <w:tc>
          <w:tcPr>
            <w:tcW w:w="7510"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通过预先危险分析，本项目利旧仓库主要危险、有害因素有：火灾爆炸危险程度为Ⅲ</w:t>
            </w:r>
            <w:r>
              <w:rPr>
                <w:rFonts w:ascii="宋体" w:hAnsi="宋体"/>
                <w:color w:val="auto"/>
              </w:rPr>
              <w:t>级（危险的）</w:t>
            </w:r>
            <w:r>
              <w:rPr>
                <w:rFonts w:hint="eastAsia" w:ascii="宋体" w:hAnsi="宋体"/>
                <w:color w:val="auto"/>
              </w:rPr>
              <w:t>Ⅲ</w:t>
            </w:r>
            <w:r>
              <w:rPr>
                <w:rFonts w:ascii="宋体" w:hAnsi="宋体"/>
                <w:color w:val="auto"/>
              </w:rPr>
              <w:t>级是危险的，会造成人员伤亡和系统损坏，要立即采取防范对策措施；</w:t>
            </w:r>
            <w:r>
              <w:rPr>
                <w:rFonts w:hint="eastAsia" w:ascii="宋体" w:hAnsi="宋体"/>
                <w:color w:val="auto"/>
              </w:rPr>
              <w:t>中毒窒息和车辆伤害的危险程度为II级（临界的）；II级处于事故的边缘状态，暂时还不会造成人员伤亡、系统损坏降低系统性能，但应予排除或采取控制措施。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rPr>
                <w:rFonts w:ascii="宋体" w:hAnsi="宋体"/>
                <w:color w:val="auto"/>
                <w:highlight w:val="yellow"/>
              </w:rPr>
            </w:pPr>
            <w:r>
              <w:rPr>
                <w:rFonts w:hint="eastAsia" w:ascii="宋体" w:hAnsi="宋体"/>
                <w:color w:val="auto"/>
              </w:rPr>
              <w:t>特种设备单元</w:t>
            </w:r>
          </w:p>
        </w:tc>
        <w:tc>
          <w:tcPr>
            <w:tcW w:w="7510" w:type="dxa"/>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通过采用预先危险分析法对特种设备单元进行评价可知，特种设备单元可能发生的事故有：容器爆炸</w:t>
            </w:r>
            <w:r>
              <w:rPr>
                <w:rFonts w:ascii="宋体" w:hAnsi="宋体"/>
                <w:color w:val="auto"/>
              </w:rPr>
              <w:t>危险等级为</w:t>
            </w:r>
            <w:r>
              <w:rPr>
                <w:rFonts w:hint="eastAsia" w:ascii="宋体" w:hAnsi="宋体"/>
                <w:color w:val="auto"/>
              </w:rPr>
              <w:t>Ⅲ</w:t>
            </w:r>
            <w:r>
              <w:rPr>
                <w:rFonts w:ascii="宋体" w:hAnsi="宋体"/>
                <w:color w:val="auto"/>
              </w:rPr>
              <w:t>级</w:t>
            </w:r>
            <w:r>
              <w:rPr>
                <w:rFonts w:hint="eastAsia" w:ascii="宋体" w:hAnsi="宋体"/>
                <w:color w:val="auto"/>
              </w:rPr>
              <w:t>，</w:t>
            </w:r>
            <w:r>
              <w:rPr>
                <w:rFonts w:ascii="宋体" w:hAnsi="宋体"/>
                <w:color w:val="auto"/>
              </w:rPr>
              <w:t>危险程度是危险的</w:t>
            </w:r>
            <w:r>
              <w:rPr>
                <w:rFonts w:hint="eastAsia" w:ascii="宋体" w:hAnsi="宋体"/>
                <w:color w:val="auto"/>
              </w:rPr>
              <w:t>，</w:t>
            </w:r>
            <w:r>
              <w:rPr>
                <w:rFonts w:ascii="宋体" w:hAnsi="宋体"/>
                <w:color w:val="auto"/>
              </w:rPr>
              <w:t>会造成人员伤亡和系统损坏，要立即采取防范对策措施</w:t>
            </w:r>
            <w:r>
              <w:rPr>
                <w:rFonts w:hint="eastAsia" w:ascii="宋体" w:hAnsi="宋体"/>
                <w:color w:val="auto"/>
              </w:rPr>
              <w:t>。灼烫/冻伤、高处坠落的</w:t>
            </w:r>
            <w:r>
              <w:rPr>
                <w:rFonts w:ascii="宋体" w:hAnsi="宋体"/>
                <w:color w:val="auto"/>
              </w:rPr>
              <w:t>危险等级为</w:t>
            </w:r>
            <w:r>
              <w:rPr>
                <w:rFonts w:hint="eastAsia" w:ascii="宋体" w:hAnsi="宋体"/>
                <w:color w:val="auto"/>
              </w:rPr>
              <w:t>Ⅱ</w:t>
            </w:r>
            <w:r>
              <w:rPr>
                <w:rFonts w:ascii="宋体" w:hAnsi="宋体"/>
                <w:color w:val="auto"/>
              </w:rPr>
              <w:t>级，危险程度是临界的，处于事故的边缘状态，暂时还不会造成人员伤亡、</w:t>
            </w:r>
            <w:r>
              <w:rPr>
                <w:rFonts w:hint="eastAsia" w:ascii="宋体" w:hAnsi="宋体"/>
                <w:color w:val="auto"/>
              </w:rPr>
              <w:t>系统</w:t>
            </w:r>
            <w:r>
              <w:rPr>
                <w:rFonts w:ascii="宋体" w:hAnsi="宋体"/>
                <w:color w:val="auto"/>
              </w:rPr>
              <w:t>损坏降低系统性能，但应予排除或采取控制措施</w:t>
            </w:r>
            <w:r>
              <w:rPr>
                <w:rFonts w:hint="eastAsia" w:ascii="宋体" w:hAnsi="宋体"/>
                <w:color w:val="auto"/>
              </w:rPr>
              <w:t>，符合安全条件。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rPr>
                <w:rFonts w:ascii="宋体" w:hAnsi="宋体"/>
                <w:color w:val="auto"/>
                <w:highlight w:val="yellow"/>
              </w:rPr>
            </w:pPr>
            <w:r>
              <w:rPr>
                <w:rFonts w:hint="eastAsia" w:ascii="宋体" w:hAnsi="宋体"/>
                <w:color w:val="auto"/>
              </w:rPr>
              <w:t>消防单元</w:t>
            </w:r>
          </w:p>
        </w:tc>
        <w:tc>
          <w:tcPr>
            <w:tcW w:w="7510"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1）该项目建、构筑物耐火级别不低于二级。生产区内未设员工宿舍。</w:t>
            </w:r>
          </w:p>
          <w:p>
            <w:pPr>
              <w:rPr>
                <w:rFonts w:ascii="宋体" w:hAnsi="宋体"/>
                <w:color w:val="auto"/>
              </w:rPr>
            </w:pPr>
            <w:r>
              <w:rPr>
                <w:rFonts w:hint="eastAsia" w:ascii="宋体" w:hAnsi="宋体"/>
                <w:color w:val="auto"/>
              </w:rPr>
              <w:t>2）该项目拟按规范设置室内、外消火栓系统；拟按规定设置灭火器材。</w:t>
            </w:r>
          </w:p>
          <w:p>
            <w:pPr>
              <w:rPr>
                <w:rFonts w:ascii="宋体" w:hAnsi="宋体"/>
                <w:color w:val="auto"/>
              </w:rPr>
            </w:pPr>
            <w:r>
              <w:rPr>
                <w:rFonts w:hint="eastAsia" w:ascii="宋体" w:hAnsi="宋体"/>
                <w:color w:val="auto"/>
              </w:rPr>
              <w:t>3）依据总平面布置图，设置环形消防车道，消防车道至少有两处与其它车道相连。</w:t>
            </w:r>
          </w:p>
          <w:p>
            <w:pPr>
              <w:jc w:val="left"/>
              <w:rPr>
                <w:rFonts w:ascii="宋体" w:hAnsi="宋体"/>
                <w:color w:val="auto"/>
              </w:rPr>
            </w:pPr>
            <w:r>
              <w:rPr>
                <w:rFonts w:hint="eastAsia" w:ascii="宋体" w:hAnsi="宋体"/>
                <w:color w:val="auto"/>
              </w:rPr>
              <w:t>4）对该单元采用检查表法分析，共进行了</w:t>
            </w:r>
            <w:r>
              <w:rPr>
                <w:rFonts w:ascii="宋体" w:hAnsi="宋体"/>
                <w:color w:val="auto"/>
              </w:rPr>
              <w:t>20</w:t>
            </w:r>
            <w:r>
              <w:rPr>
                <w:rFonts w:hint="eastAsia" w:ascii="宋体" w:hAnsi="宋体"/>
                <w:color w:val="auto"/>
              </w:rPr>
              <w:t>项内容的检查分析，其中</w:t>
            </w:r>
            <w:r>
              <w:rPr>
                <w:rFonts w:ascii="宋体" w:hAnsi="宋体"/>
                <w:color w:val="auto"/>
              </w:rPr>
              <w:t>1</w:t>
            </w:r>
            <w:r>
              <w:rPr>
                <w:rFonts w:hint="eastAsia" w:ascii="宋体" w:hAnsi="宋体"/>
                <w:color w:val="auto"/>
              </w:rPr>
              <w:t>项在设计时应考虑或不符合。不符合项与未提及项为：可研未提及消防水泵房设置情况，未明确消防水泵房的耐火等级和防水淹的技术措施。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pStyle w:val="57"/>
              <w:numPr>
                <w:ilvl w:val="0"/>
                <w:numId w:val="18"/>
              </w:numPr>
              <w:tabs>
                <w:tab w:val="left" w:pos="272"/>
              </w:tabs>
              <w:ind w:firstLineChars="0"/>
              <w:rPr>
                <w:rFonts w:ascii="宋体" w:hAnsi="宋体"/>
                <w:color w:val="auto"/>
              </w:rPr>
            </w:pPr>
          </w:p>
        </w:tc>
        <w:tc>
          <w:tcPr>
            <w:tcW w:w="1490" w:type="dxa"/>
            <w:gridSpan w:val="2"/>
            <w:tcBorders>
              <w:top w:val="single" w:color="auto" w:sz="4" w:space="0"/>
              <w:left w:val="single" w:color="auto" w:sz="4" w:space="0"/>
              <w:bottom w:val="single" w:color="auto" w:sz="4" w:space="0"/>
              <w:right w:val="single" w:color="auto" w:sz="4" w:space="0"/>
            </w:tcBorders>
            <w:vAlign w:val="center"/>
          </w:tcPr>
          <w:p>
            <w:pPr>
              <w:rPr>
                <w:rFonts w:ascii="宋体" w:hAnsi="宋体"/>
                <w:color w:val="auto"/>
              </w:rPr>
            </w:pPr>
            <w:r>
              <w:rPr>
                <w:rFonts w:hint="eastAsia" w:ascii="宋体" w:hAnsi="宋体"/>
                <w:color w:val="auto"/>
              </w:rPr>
              <w:t>安全管理单元</w:t>
            </w:r>
          </w:p>
        </w:tc>
        <w:tc>
          <w:tcPr>
            <w:tcW w:w="7510" w:type="dxa"/>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企业主要负责人和安全管理人员应当定期进行安全生产管理知识和安全教育培训，企业应建立健全全员安全生产责任制和安全生产规章制度，构建安全风险分级管控和隐患排查治理双重预防机制；应当具备安全生产条件所必需的资金投入。从业人员应当进行安全生产知识和岗位操作技能培训；特种设备应通过检测并建立健全特种设备档案；特种作业人员应当应当经有关业务主管部门考核合格，取得特种作业操作资格证书；企业应编制及时更新应急预案，针对本项目建立特种设备事故应急专项预案。</w:t>
            </w:r>
          </w:p>
        </w:tc>
      </w:tr>
    </w:tbl>
    <w:p>
      <w:pPr>
        <w:adjustRightInd w:val="0"/>
        <w:snapToGrid w:val="0"/>
        <w:spacing w:line="360" w:lineRule="auto"/>
        <w:ind w:firstLine="420" w:firstLineChars="200"/>
        <w:jc w:val="left"/>
        <w:rPr>
          <w:color w:val="auto"/>
        </w:rPr>
      </w:pPr>
      <w:r>
        <w:rPr>
          <w:rFonts w:hint="eastAsia"/>
          <w:color w:val="auto"/>
        </w:rPr>
        <w:t xml:space="preserve"> </w:t>
      </w:r>
    </w:p>
    <w:p>
      <w:pPr>
        <w:keepNext/>
        <w:keepLines/>
        <w:spacing w:line="600" w:lineRule="exact"/>
        <w:jc w:val="left"/>
        <w:outlineLvl w:val="1"/>
        <w:rPr>
          <w:b/>
          <w:color w:val="auto"/>
          <w:sz w:val="30"/>
          <w:szCs w:val="30"/>
        </w:rPr>
      </w:pPr>
      <w:bookmarkStart w:id="153" w:name="_Toc109631508"/>
      <w:bookmarkEnd w:id="153"/>
      <w:bookmarkStart w:id="154" w:name="_Toc211678953"/>
      <w:bookmarkEnd w:id="154"/>
      <w:bookmarkStart w:id="155" w:name="_Toc380587620"/>
      <w:bookmarkEnd w:id="155"/>
      <w:bookmarkStart w:id="156" w:name="_Toc304148877"/>
      <w:bookmarkEnd w:id="156"/>
      <w:bookmarkStart w:id="157" w:name="_Toc49245490"/>
      <w:bookmarkEnd w:id="157"/>
      <w:bookmarkStart w:id="158" w:name="_Toc144109195"/>
      <w:r>
        <w:rPr>
          <w:rFonts w:hint="eastAsia"/>
          <w:b/>
          <w:color w:val="auto"/>
          <w:sz w:val="30"/>
          <w:szCs w:val="30"/>
        </w:rPr>
        <w:t>6.3风险程度的分析结果</w:t>
      </w:r>
      <w:bookmarkEnd w:id="158"/>
    </w:p>
    <w:p>
      <w:pPr>
        <w:keepNext/>
        <w:keepLines/>
        <w:spacing w:line="600" w:lineRule="exact"/>
        <w:jc w:val="left"/>
        <w:outlineLvl w:val="2"/>
        <w:rPr>
          <w:rFonts w:ascii="Calibri" w:hAnsi="Calibri"/>
          <w:b/>
          <w:color w:val="auto"/>
          <w:sz w:val="28"/>
          <w:szCs w:val="32"/>
        </w:rPr>
      </w:pPr>
      <w:bookmarkStart w:id="159" w:name="_Toc49245491"/>
      <w:bookmarkEnd w:id="159"/>
      <w:bookmarkStart w:id="160" w:name="_Toc109631509"/>
      <w:bookmarkEnd w:id="160"/>
      <w:bookmarkStart w:id="161" w:name="_Toc380587621"/>
      <w:bookmarkEnd w:id="161"/>
      <w:bookmarkStart w:id="162" w:name="_Toc211678954"/>
      <w:bookmarkEnd w:id="162"/>
      <w:bookmarkStart w:id="163" w:name="_Toc336214824"/>
      <w:bookmarkStart w:id="164" w:name="_Toc144109196"/>
      <w:r>
        <w:rPr>
          <w:rFonts w:hint="eastAsia" w:ascii="Calibri" w:hAnsi="Calibri"/>
          <w:b/>
          <w:color w:val="auto"/>
          <w:sz w:val="28"/>
          <w:szCs w:val="32"/>
        </w:rPr>
        <w:t>6.3.1</w:t>
      </w:r>
      <w:bookmarkEnd w:id="163"/>
      <w:r>
        <w:rPr>
          <w:rFonts w:hint="eastAsia" w:ascii="Calibri" w:hAnsi="Calibri"/>
          <w:b/>
          <w:color w:val="auto"/>
          <w:sz w:val="28"/>
          <w:szCs w:val="32"/>
        </w:rPr>
        <w:t>危险化学品泄漏的可能性</w:t>
      </w:r>
      <w:bookmarkEnd w:id="164"/>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该项目三乙胺、甲基磺酰氯、液氨、锂、硫酸、氢溴酸、三氟乙酸酐、亚硫酸氢钠、丙酸酐、NP</w:t>
      </w:r>
      <w:r>
        <w:rPr>
          <w:rFonts w:ascii="宋体" w:hAnsi="宋体"/>
          <w:color w:val="auto"/>
          <w:sz w:val="28"/>
          <w:szCs w:val="28"/>
        </w:rPr>
        <w:t>-10</w:t>
      </w:r>
      <w:r>
        <w:rPr>
          <w:rFonts w:hint="eastAsia" w:ascii="宋体" w:hAnsi="宋体"/>
          <w:color w:val="auto"/>
          <w:sz w:val="28"/>
          <w:szCs w:val="28"/>
        </w:rPr>
        <w:t>、吲哚丁酸等对设备、管道、阀门、密封材料有一定的腐蚀性，存在泄漏的可能；</w:t>
      </w:r>
      <w:r>
        <w:rPr>
          <w:rFonts w:ascii="宋体" w:hAnsi="宋体"/>
          <w:color w:val="auto"/>
          <w:sz w:val="28"/>
          <w:szCs w:val="28"/>
        </w:rPr>
        <w:t>生产装置中有大量的法兰、阀门、螺纹及气体排放系统、液体排放系统，存在较多的静密封点，且有可燃液体泵等机械设备，存在大量的动密封点；</w:t>
      </w:r>
      <w:r>
        <w:rPr>
          <w:rFonts w:hint="eastAsia" w:ascii="宋体" w:hAnsi="宋体"/>
          <w:color w:val="auto"/>
          <w:sz w:val="28"/>
          <w:szCs w:val="28"/>
        </w:rPr>
        <w:t>所以该项目生产装置发生介质泄漏的可能性比较大，且各生产装置操作温度变化较大，可能增加了设备、管道、机泵的动、静密封泄漏几率。</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该项目设备维护保养不当，附件设施受侵蚀，易产生物料泄漏或溢出</w:t>
      </w:r>
      <w:r>
        <w:rPr>
          <w:rFonts w:hint="eastAsia" w:ascii="宋体" w:hAnsi="宋体"/>
          <w:color w:val="auto"/>
          <w:kern w:val="0"/>
          <w:sz w:val="24"/>
          <w:szCs w:val="24"/>
        </w:rPr>
        <w:t>。</w:t>
      </w:r>
      <w:r>
        <w:rPr>
          <w:rFonts w:hint="eastAsia" w:ascii="宋体" w:hAnsi="宋体"/>
          <w:color w:val="auto"/>
          <w:sz w:val="28"/>
          <w:szCs w:val="28"/>
        </w:rPr>
        <w:t>试车、开停车阶段，压力变化频繁，会导致接口松动，导致大量泄漏；焊接质量差，特别是焊接接头处未焊透，又未进行焊缝探伤检查、爆破试验，导致设备、管道、阀门接头泄漏或产生疲劳断裂，</w:t>
      </w:r>
      <w:r>
        <w:rPr>
          <w:rFonts w:hint="eastAsia" w:ascii="宋体" w:hAnsi="宋体"/>
          <w:color w:val="auto"/>
          <w:kern w:val="0"/>
          <w:sz w:val="28"/>
          <w:szCs w:val="28"/>
        </w:rPr>
        <w:t>易产生物料泄漏或溢出</w:t>
      </w:r>
      <w:r>
        <w:rPr>
          <w:rFonts w:hint="eastAsia" w:ascii="宋体" w:hAnsi="宋体"/>
          <w:color w:val="auto"/>
          <w:sz w:val="28"/>
          <w:szCs w:val="28"/>
        </w:rPr>
        <w:t>。</w:t>
      </w:r>
    </w:p>
    <w:p>
      <w:pPr>
        <w:spacing w:line="360" w:lineRule="auto"/>
        <w:ind w:firstLine="560" w:firstLineChars="200"/>
        <w:jc w:val="left"/>
        <w:rPr>
          <w:color w:val="auto"/>
          <w:sz w:val="28"/>
          <w:szCs w:val="28"/>
        </w:rPr>
      </w:pPr>
      <w:r>
        <w:rPr>
          <w:rFonts w:hint="eastAsia" w:ascii="宋体" w:hAnsi="宋体"/>
          <w:color w:val="auto"/>
          <w:sz w:val="28"/>
          <w:szCs w:val="28"/>
        </w:rPr>
        <w:t>设备基础、支架因地质灾害、长期腐蚀或着火后受热变形，造成管线焊点拉裂泄漏。</w:t>
      </w:r>
    </w:p>
    <w:p>
      <w:pPr>
        <w:autoSpaceDE w:val="0"/>
        <w:autoSpaceDN w:val="0"/>
        <w:spacing w:line="360" w:lineRule="auto"/>
        <w:ind w:firstLine="560" w:firstLineChars="200"/>
        <w:jc w:val="left"/>
        <w:rPr>
          <w:rFonts w:ascii="宋体" w:hAnsi="宋体"/>
          <w:color w:val="auto"/>
        </w:rPr>
      </w:pPr>
      <w:r>
        <w:rPr>
          <w:rFonts w:hint="eastAsia" w:ascii="宋体" w:hAnsi="宋体"/>
          <w:color w:val="auto"/>
          <w:sz w:val="28"/>
          <w:szCs w:val="28"/>
        </w:rPr>
        <w:t>该项目可能泄漏危险化学品的地方有设备与管道的连接处、管道与管道的连接处、设备与相关附件连接处、设备本身及密封处等。反应釜、高位暂存罐、计量罐及各类储罐等容器、设备、管道的法兰垫片损坏、管线连接阀门损坏，机械设备振动过大或地质沉降以及检修过程中操作不当等都可能引起</w:t>
      </w:r>
      <w:r>
        <w:rPr>
          <w:rFonts w:ascii="宋体" w:hAnsi="宋体"/>
          <w:color w:val="auto"/>
          <w:sz w:val="28"/>
          <w:szCs w:val="28"/>
        </w:rPr>
        <w:t>泄漏</w:t>
      </w:r>
      <w:r>
        <w:rPr>
          <w:rFonts w:hint="eastAsia" w:ascii="宋体" w:hAnsi="宋体"/>
          <w:color w:val="auto"/>
          <w:sz w:val="28"/>
          <w:szCs w:val="28"/>
        </w:rPr>
        <w:t>。该项目生产过程为连续化生产，原料投放、产品生产大部分采用密闭系统及人工操作，原料及产品输送设备和管道连接处采用可靠的密封措施。因此，在正常生产的情况下，危险化学品泄漏的可能性较小；但</w:t>
      </w:r>
      <w:r>
        <w:rPr>
          <w:rFonts w:ascii="宋体" w:hAnsi="宋体"/>
          <w:color w:val="auto"/>
          <w:sz w:val="28"/>
          <w:szCs w:val="28"/>
        </w:rPr>
        <w:t>生产过程存在高温、</w:t>
      </w:r>
      <w:r>
        <w:rPr>
          <w:rFonts w:hint="eastAsia" w:ascii="宋体" w:hAnsi="宋体"/>
          <w:color w:val="auto"/>
          <w:sz w:val="28"/>
          <w:szCs w:val="28"/>
        </w:rPr>
        <w:t>低温</w:t>
      </w:r>
      <w:r>
        <w:rPr>
          <w:rFonts w:ascii="宋体" w:hAnsi="宋体"/>
          <w:color w:val="auto"/>
          <w:sz w:val="28"/>
          <w:szCs w:val="28"/>
        </w:rPr>
        <w:t>、</w:t>
      </w:r>
      <w:r>
        <w:rPr>
          <w:rFonts w:hint="eastAsia" w:ascii="宋体" w:hAnsi="宋体"/>
          <w:color w:val="auto"/>
          <w:sz w:val="28"/>
          <w:szCs w:val="28"/>
        </w:rPr>
        <w:t>负压等工艺条件，</w:t>
      </w:r>
      <w:r>
        <w:rPr>
          <w:rFonts w:hint="eastAsia" w:ascii="宋体" w:hAnsi="宋体"/>
          <w:color w:val="auto"/>
          <w:kern w:val="0"/>
          <w:sz w:val="28"/>
          <w:szCs w:val="28"/>
        </w:rPr>
        <w:t>如设计考虑不周或在生产过程中操作不正确，可能造成物料泄漏。</w:t>
      </w:r>
      <w:r>
        <w:rPr>
          <w:rFonts w:hint="eastAsia" w:ascii="宋体" w:hAnsi="宋体"/>
          <w:color w:val="auto"/>
          <w:sz w:val="28"/>
          <w:szCs w:val="28"/>
        </w:rPr>
        <w:t>生产过程中</w:t>
      </w:r>
      <w:r>
        <w:rPr>
          <w:rFonts w:ascii="宋体" w:hAnsi="宋体"/>
          <w:color w:val="auto"/>
          <w:sz w:val="28"/>
          <w:szCs w:val="28"/>
        </w:rPr>
        <w:t>设备开停频繁、温度升降</w:t>
      </w:r>
      <w:r>
        <w:rPr>
          <w:rFonts w:hint="eastAsia" w:ascii="宋体" w:hAnsi="宋体"/>
          <w:color w:val="auto"/>
          <w:sz w:val="28"/>
          <w:szCs w:val="28"/>
        </w:rPr>
        <w:t>温差</w:t>
      </w:r>
      <w:r>
        <w:rPr>
          <w:rFonts w:ascii="宋体" w:hAnsi="宋体"/>
          <w:color w:val="auto"/>
          <w:sz w:val="28"/>
          <w:szCs w:val="28"/>
        </w:rPr>
        <w:t>大</w:t>
      </w:r>
      <w:r>
        <w:rPr>
          <w:rFonts w:hint="eastAsia" w:ascii="宋体" w:hAnsi="宋体"/>
          <w:color w:val="auto"/>
          <w:sz w:val="28"/>
          <w:szCs w:val="28"/>
        </w:rPr>
        <w:t>，容易导致垫片、密封损坏泄漏；</w:t>
      </w:r>
      <w:r>
        <w:rPr>
          <w:rFonts w:ascii="宋体" w:hAnsi="宋体"/>
          <w:color w:val="auto"/>
          <w:sz w:val="28"/>
          <w:szCs w:val="28"/>
        </w:rPr>
        <w:t>设备、管道在生产过程中因内部介质不断流动冲刷，造成对设备、管道壁厚减薄而引起泄漏</w:t>
      </w:r>
      <w:r>
        <w:rPr>
          <w:rFonts w:hint="eastAsia" w:ascii="宋体" w:hAnsi="宋体"/>
          <w:color w:val="auto"/>
          <w:sz w:val="28"/>
          <w:szCs w:val="28"/>
        </w:rPr>
        <w:t>；该项目使用机泵作为输送设备，由于非金属件的几何精度和尺寸精度很难保持不变，而且非金属材料的寿命较短，可靠性差，容易导致轴封泄漏、腐蚀设备。在装卸原料或成品，</w:t>
      </w:r>
      <w:r>
        <w:rPr>
          <w:rFonts w:hint="eastAsia" w:ascii="宋体" w:hAnsi="宋体"/>
          <w:color w:val="auto"/>
          <w:kern w:val="0"/>
          <w:sz w:val="28"/>
          <w:szCs w:val="28"/>
        </w:rPr>
        <w:t>设备损坏或密封点不严、操作失误</w:t>
      </w:r>
      <w:r>
        <w:rPr>
          <w:rFonts w:hint="eastAsia" w:ascii="宋体" w:hAnsi="宋体"/>
          <w:color w:val="auto"/>
          <w:sz w:val="28"/>
          <w:szCs w:val="28"/>
        </w:rPr>
        <w:t>以及在生产不正常或停工检修过程中存在</w:t>
      </w:r>
      <w:r>
        <w:rPr>
          <w:rFonts w:hint="eastAsia" w:ascii="宋体" w:hAnsi="宋体"/>
          <w:bCs/>
          <w:color w:val="auto"/>
          <w:sz w:val="28"/>
          <w:szCs w:val="28"/>
        </w:rPr>
        <w:t>危险化学品泄漏的可能性较大。</w:t>
      </w:r>
      <w:r>
        <w:rPr>
          <w:rFonts w:hint="eastAsia" w:ascii="宋体" w:hAnsi="宋体"/>
          <w:color w:val="auto"/>
          <w:kern w:val="0"/>
          <w:sz w:val="28"/>
          <w:szCs w:val="28"/>
        </w:rPr>
        <w:t>由于引起泄漏从而大量释放易燃、易爆、有毒有害物质，将会导致火灾、爆炸、中毒等重大事故发生，因此，事故的预测首先应制定严格的操作规程及杜绝生产装置的跑、冒、滴、漏。</w:t>
      </w:r>
    </w:p>
    <w:p>
      <w:pPr>
        <w:spacing w:line="360" w:lineRule="auto"/>
        <w:ind w:firstLine="560" w:firstLineChars="200"/>
        <w:rPr>
          <w:rFonts w:ascii="宋体" w:hAnsi="宋体"/>
          <w:color w:val="auto"/>
          <w:kern w:val="0"/>
          <w:sz w:val="28"/>
          <w:szCs w:val="28"/>
        </w:rPr>
      </w:pPr>
      <w:r>
        <w:rPr>
          <w:rFonts w:hint="eastAsia" w:ascii="宋体" w:hAnsi="宋体"/>
          <w:color w:val="auto"/>
          <w:kern w:val="0"/>
          <w:sz w:val="28"/>
          <w:szCs w:val="28"/>
        </w:rPr>
        <w:t>该项目长时期高温条件下作业，易腐蚀或在高温低温作用下产生疲劳和变形，设备维护保养不当，附件设施受侵蚀，易产生物料泄漏或溢出</w:t>
      </w:r>
      <w:r>
        <w:rPr>
          <w:rFonts w:hint="eastAsia" w:ascii="宋体" w:hAnsi="宋体"/>
          <w:color w:val="auto"/>
          <w:kern w:val="0"/>
          <w:sz w:val="24"/>
          <w:szCs w:val="24"/>
        </w:rPr>
        <w:t>。</w:t>
      </w:r>
      <w:r>
        <w:rPr>
          <w:rFonts w:hint="eastAsia" w:ascii="宋体" w:hAnsi="宋体"/>
          <w:color w:val="auto"/>
          <w:sz w:val="28"/>
          <w:szCs w:val="28"/>
        </w:rPr>
        <w:t>试车、开停车阶段，温度变化频繁，会导致接口松动，导致液体大量泄漏；</w:t>
      </w:r>
      <w:r>
        <w:rPr>
          <w:rFonts w:hint="eastAsia" w:ascii="宋体" w:hAnsi="宋体"/>
          <w:color w:val="auto"/>
          <w:spacing w:val="-6"/>
          <w:sz w:val="28"/>
          <w:szCs w:val="28"/>
        </w:rPr>
        <w:t>焊接质量差，特别是焊接接头处未焊透，又未进行焊缝探伤检查、爆破试验，导致设备、管道、阀门接头泄漏或产生疲劳断裂，</w:t>
      </w:r>
      <w:r>
        <w:rPr>
          <w:rFonts w:hint="eastAsia" w:ascii="宋体" w:hAnsi="宋体"/>
          <w:color w:val="auto"/>
          <w:spacing w:val="-6"/>
          <w:kern w:val="0"/>
          <w:sz w:val="28"/>
          <w:szCs w:val="28"/>
        </w:rPr>
        <w:t>易产生物料泄漏或溢出</w:t>
      </w:r>
      <w:r>
        <w:rPr>
          <w:rFonts w:hint="eastAsia" w:ascii="宋体" w:hAnsi="宋体"/>
          <w:color w:val="auto"/>
          <w:spacing w:val="-6"/>
          <w:sz w:val="28"/>
          <w:szCs w:val="28"/>
        </w:rPr>
        <w:t>。</w:t>
      </w:r>
    </w:p>
    <w:p>
      <w:pPr>
        <w:spacing w:line="360" w:lineRule="auto"/>
        <w:ind w:firstLine="573"/>
        <w:rPr>
          <w:color w:val="auto"/>
          <w:sz w:val="28"/>
          <w:szCs w:val="28"/>
        </w:rPr>
      </w:pPr>
      <w:r>
        <w:rPr>
          <w:rFonts w:hint="eastAsia" w:ascii="宋体" w:hAnsi="宋体"/>
          <w:color w:val="auto"/>
          <w:sz w:val="28"/>
          <w:szCs w:val="28"/>
        </w:rPr>
        <w:t>该项目使用大量的泵作为液体输送设备，如果为了降低造价选用衬胶泵，由于非金属件的几何精度和尺寸精度很难保持不变，而且非金属材料的寿命较短，可靠性差，容易导致轴封泄漏、腐蚀设备。</w:t>
      </w:r>
    </w:p>
    <w:p>
      <w:pPr>
        <w:spacing w:line="360" w:lineRule="auto"/>
        <w:ind w:firstLine="573"/>
        <w:rPr>
          <w:color w:val="auto"/>
          <w:kern w:val="0"/>
          <w:sz w:val="28"/>
          <w:szCs w:val="28"/>
        </w:rPr>
      </w:pPr>
      <w:r>
        <w:rPr>
          <w:rFonts w:hint="eastAsia" w:ascii="宋体" w:hAnsi="宋体"/>
          <w:color w:val="auto"/>
          <w:sz w:val="28"/>
          <w:szCs w:val="28"/>
        </w:rPr>
        <w:t>因此，该项目最可能泄漏危险化学品的地方有设备与管道的连接处、管道与管道的连接处、设备与相关附件连接处、设备管道本身及密封处等或者操作人员操作失误导致化学品从储罐顶部溢流出来。</w:t>
      </w:r>
    </w:p>
    <w:p>
      <w:pPr>
        <w:pStyle w:val="67"/>
        <w:rPr>
          <w:color w:val="auto"/>
        </w:rPr>
      </w:pPr>
      <w:r>
        <w:rPr>
          <w:rFonts w:ascii="宋体" w:hAnsi="宋体"/>
          <w:color w:val="auto"/>
        </w:rPr>
        <w:t>表</w:t>
      </w:r>
      <w:r>
        <w:rPr>
          <w:color w:val="auto"/>
        </w:rPr>
        <w:t xml:space="preserve">6.3-1 </w:t>
      </w:r>
      <w:r>
        <w:rPr>
          <w:rFonts w:ascii="宋体" w:hAnsi="宋体"/>
          <w:color w:val="auto"/>
        </w:rPr>
        <w:t>物料泄漏的可能性分析</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2"/>
        <w:gridCol w:w="3409"/>
        <w:gridCol w:w="1604"/>
        <w:gridCol w:w="38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12" w:space="0"/>
              <w:left w:val="single" w:color="auto" w:sz="12" w:space="0"/>
              <w:bottom w:val="single" w:color="auto" w:sz="6" w:space="0"/>
              <w:right w:val="single" w:color="auto" w:sz="6" w:space="0"/>
            </w:tcBorders>
            <w:vAlign w:val="center"/>
          </w:tcPr>
          <w:p>
            <w:pPr>
              <w:jc w:val="center"/>
              <w:rPr>
                <w:color w:val="auto"/>
              </w:rPr>
            </w:pPr>
            <w:r>
              <w:rPr>
                <w:rFonts w:ascii="宋体" w:hAnsi="宋体"/>
                <w:color w:val="auto"/>
              </w:rPr>
              <w:t>序号</w:t>
            </w:r>
          </w:p>
        </w:tc>
        <w:tc>
          <w:tcPr>
            <w:tcW w:w="3409" w:type="dxa"/>
            <w:tcBorders>
              <w:top w:val="single" w:color="auto" w:sz="12"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发生泄漏的可能原因</w:t>
            </w:r>
          </w:p>
        </w:tc>
        <w:tc>
          <w:tcPr>
            <w:tcW w:w="1604" w:type="dxa"/>
            <w:tcBorders>
              <w:top w:val="single" w:color="auto" w:sz="12"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可能性分级</w:t>
            </w:r>
          </w:p>
        </w:tc>
        <w:tc>
          <w:tcPr>
            <w:tcW w:w="3865" w:type="dxa"/>
            <w:tcBorders>
              <w:top w:val="single" w:color="auto" w:sz="12"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预防措施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6" w:space="0"/>
              <w:right w:val="single" w:color="auto" w:sz="6" w:space="0"/>
            </w:tcBorders>
            <w:vAlign w:val="center"/>
          </w:tcPr>
          <w:p>
            <w:pPr>
              <w:jc w:val="center"/>
              <w:rPr>
                <w:color w:val="auto"/>
              </w:rPr>
            </w:pPr>
            <w:r>
              <w:rPr>
                <w:color w:val="auto"/>
              </w:rPr>
              <w:t>1</w:t>
            </w:r>
          </w:p>
        </w:tc>
        <w:tc>
          <w:tcPr>
            <w:tcW w:w="34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ascii="宋体" w:hAnsi="宋体"/>
                <w:color w:val="auto"/>
              </w:rPr>
              <w:t>设备、管道法兰、阀门密封不严泄漏</w:t>
            </w:r>
          </w:p>
        </w:tc>
        <w:tc>
          <w:tcPr>
            <w:tcW w:w="160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容易发生</w:t>
            </w:r>
          </w:p>
        </w:tc>
        <w:tc>
          <w:tcPr>
            <w:tcW w:w="3865" w:type="dxa"/>
            <w:tcBorders>
              <w:top w:val="single" w:color="auto" w:sz="6"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对可能发生泄漏的部位进行经常检查，定期检修、保养。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6" w:space="0"/>
              <w:right w:val="single" w:color="auto" w:sz="6" w:space="0"/>
            </w:tcBorders>
            <w:vAlign w:val="center"/>
          </w:tcPr>
          <w:p>
            <w:pPr>
              <w:jc w:val="center"/>
              <w:rPr>
                <w:color w:val="auto"/>
              </w:rPr>
            </w:pPr>
            <w:r>
              <w:rPr>
                <w:color w:val="auto"/>
              </w:rPr>
              <w:t>2</w:t>
            </w:r>
          </w:p>
        </w:tc>
        <w:tc>
          <w:tcPr>
            <w:tcW w:w="34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ascii="宋体" w:hAnsi="宋体"/>
                <w:color w:val="auto"/>
              </w:rPr>
              <w:t>安全阀排放、排气口排气、呼吸阀出口、敞口容器的正常挥发</w:t>
            </w:r>
          </w:p>
        </w:tc>
        <w:tc>
          <w:tcPr>
            <w:tcW w:w="160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极易发生</w:t>
            </w:r>
          </w:p>
        </w:tc>
        <w:tc>
          <w:tcPr>
            <w:tcW w:w="3865" w:type="dxa"/>
            <w:tcBorders>
              <w:top w:val="single" w:color="auto" w:sz="6"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尽量将物料密闭操作，排气筒设置足够高度，安全阀排气引至安全地方。即排气筒高度和排放点设置符合规范要求。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6" w:space="0"/>
              <w:right w:val="single" w:color="auto" w:sz="6" w:space="0"/>
            </w:tcBorders>
            <w:vAlign w:val="center"/>
          </w:tcPr>
          <w:p>
            <w:pPr>
              <w:jc w:val="center"/>
              <w:rPr>
                <w:color w:val="auto"/>
              </w:rPr>
            </w:pPr>
            <w:r>
              <w:rPr>
                <w:color w:val="auto"/>
              </w:rPr>
              <w:t>3</w:t>
            </w:r>
          </w:p>
        </w:tc>
        <w:tc>
          <w:tcPr>
            <w:tcW w:w="34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ascii="宋体" w:hAnsi="宋体"/>
                <w:color w:val="auto"/>
              </w:rPr>
              <w:t>贮罐或设备液位过高发生溢流泄漏</w:t>
            </w:r>
          </w:p>
        </w:tc>
        <w:tc>
          <w:tcPr>
            <w:tcW w:w="160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偶尔发生</w:t>
            </w:r>
          </w:p>
        </w:tc>
        <w:tc>
          <w:tcPr>
            <w:tcW w:w="3865" w:type="dxa"/>
            <w:tcBorders>
              <w:top w:val="single" w:color="auto" w:sz="6"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贮罐或设备设置液位高报警装置，或设置溢流口，防止溢流。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6" w:space="0"/>
              <w:right w:val="single" w:color="auto" w:sz="6" w:space="0"/>
            </w:tcBorders>
            <w:vAlign w:val="center"/>
          </w:tcPr>
          <w:p>
            <w:pPr>
              <w:jc w:val="center"/>
              <w:rPr>
                <w:color w:val="auto"/>
              </w:rPr>
            </w:pPr>
            <w:r>
              <w:rPr>
                <w:color w:val="auto"/>
              </w:rPr>
              <w:t>4</w:t>
            </w:r>
          </w:p>
        </w:tc>
        <w:tc>
          <w:tcPr>
            <w:tcW w:w="34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ascii="宋体" w:hAnsi="宋体"/>
                <w:color w:val="auto"/>
              </w:rPr>
              <w:t>压力容器超压、防爆板动作、高压物料窜入低压系统</w:t>
            </w:r>
          </w:p>
        </w:tc>
        <w:tc>
          <w:tcPr>
            <w:tcW w:w="160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偶尔发生</w:t>
            </w:r>
          </w:p>
        </w:tc>
        <w:tc>
          <w:tcPr>
            <w:tcW w:w="3865" w:type="dxa"/>
            <w:tcBorders>
              <w:top w:val="single" w:color="auto" w:sz="6"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压力容器按规范进行设计，高低压系统之间设置减压阀、安全阀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6" w:space="0"/>
              <w:right w:val="single" w:color="auto" w:sz="6" w:space="0"/>
            </w:tcBorders>
            <w:vAlign w:val="center"/>
          </w:tcPr>
          <w:p>
            <w:pPr>
              <w:jc w:val="center"/>
              <w:rPr>
                <w:color w:val="auto"/>
              </w:rPr>
            </w:pPr>
            <w:r>
              <w:rPr>
                <w:color w:val="auto"/>
              </w:rPr>
              <w:t>5</w:t>
            </w:r>
          </w:p>
        </w:tc>
        <w:tc>
          <w:tcPr>
            <w:tcW w:w="34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ascii="宋体" w:hAnsi="宋体"/>
                <w:color w:val="auto"/>
              </w:rPr>
              <w:t>腐蚀泄漏</w:t>
            </w:r>
          </w:p>
        </w:tc>
        <w:tc>
          <w:tcPr>
            <w:tcW w:w="1604" w:type="dxa"/>
            <w:tcBorders>
              <w:top w:val="single" w:color="auto" w:sz="6" w:space="0"/>
              <w:left w:val="single" w:color="auto" w:sz="6" w:space="0"/>
              <w:bottom w:val="single" w:color="auto" w:sz="6" w:space="0"/>
              <w:right w:val="single" w:color="auto" w:sz="6" w:space="0"/>
            </w:tcBorders>
            <w:vAlign w:val="center"/>
          </w:tcPr>
          <w:p>
            <w:pPr>
              <w:jc w:val="center"/>
              <w:rPr>
                <w:color w:val="auto"/>
              </w:rPr>
            </w:pPr>
            <w:r>
              <w:rPr>
                <w:rFonts w:ascii="宋体" w:hAnsi="宋体"/>
                <w:color w:val="auto"/>
              </w:rPr>
              <w:t>容易发生</w:t>
            </w:r>
          </w:p>
        </w:tc>
        <w:tc>
          <w:tcPr>
            <w:tcW w:w="3865" w:type="dxa"/>
            <w:tcBorders>
              <w:top w:val="single" w:color="auto" w:sz="6" w:space="0"/>
              <w:left w:val="single" w:color="auto" w:sz="6" w:space="0"/>
              <w:bottom w:val="single" w:color="auto" w:sz="6" w:space="0"/>
              <w:right w:val="single" w:color="auto" w:sz="12" w:space="0"/>
            </w:tcBorders>
            <w:vAlign w:val="center"/>
          </w:tcPr>
          <w:p>
            <w:pPr>
              <w:jc w:val="center"/>
              <w:rPr>
                <w:color w:val="auto"/>
              </w:rPr>
            </w:pPr>
            <w:r>
              <w:rPr>
                <w:rFonts w:ascii="宋体" w:hAnsi="宋体"/>
                <w:color w:val="auto"/>
              </w:rPr>
              <w:t>选取相应的防腐材料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2" w:type="dxa"/>
            <w:tcBorders>
              <w:top w:val="single" w:color="auto" w:sz="6" w:space="0"/>
              <w:left w:val="single" w:color="auto" w:sz="12" w:space="0"/>
              <w:bottom w:val="single" w:color="auto" w:sz="12" w:space="0"/>
              <w:right w:val="single" w:color="auto" w:sz="6" w:space="0"/>
            </w:tcBorders>
            <w:vAlign w:val="center"/>
          </w:tcPr>
          <w:p>
            <w:pPr>
              <w:jc w:val="center"/>
              <w:rPr>
                <w:color w:val="auto"/>
              </w:rPr>
            </w:pPr>
            <w:r>
              <w:rPr>
                <w:color w:val="auto"/>
              </w:rPr>
              <w:t>6</w:t>
            </w:r>
          </w:p>
        </w:tc>
        <w:tc>
          <w:tcPr>
            <w:tcW w:w="3409" w:type="dxa"/>
            <w:tcBorders>
              <w:top w:val="single" w:color="auto" w:sz="6" w:space="0"/>
              <w:left w:val="single" w:color="auto" w:sz="6" w:space="0"/>
              <w:bottom w:val="single" w:color="auto" w:sz="12" w:space="0"/>
              <w:right w:val="single" w:color="auto" w:sz="6" w:space="0"/>
            </w:tcBorders>
            <w:vAlign w:val="center"/>
          </w:tcPr>
          <w:p>
            <w:pPr>
              <w:rPr>
                <w:color w:val="auto"/>
              </w:rPr>
            </w:pPr>
            <w:r>
              <w:rPr>
                <w:rFonts w:ascii="宋体" w:hAnsi="宋体"/>
                <w:color w:val="auto"/>
              </w:rPr>
              <w:t>人员误操作导致物料外泄</w:t>
            </w:r>
          </w:p>
        </w:tc>
        <w:tc>
          <w:tcPr>
            <w:tcW w:w="1604" w:type="dxa"/>
            <w:tcBorders>
              <w:top w:val="single" w:color="auto" w:sz="6" w:space="0"/>
              <w:left w:val="single" w:color="auto" w:sz="6" w:space="0"/>
              <w:bottom w:val="single" w:color="auto" w:sz="12" w:space="0"/>
              <w:right w:val="single" w:color="auto" w:sz="6" w:space="0"/>
            </w:tcBorders>
            <w:vAlign w:val="center"/>
          </w:tcPr>
          <w:p>
            <w:pPr>
              <w:jc w:val="center"/>
              <w:rPr>
                <w:color w:val="auto"/>
              </w:rPr>
            </w:pPr>
            <w:r>
              <w:rPr>
                <w:rFonts w:ascii="宋体" w:hAnsi="宋体"/>
                <w:color w:val="auto"/>
              </w:rPr>
              <w:t>容易发生</w:t>
            </w:r>
          </w:p>
        </w:tc>
        <w:tc>
          <w:tcPr>
            <w:tcW w:w="3865" w:type="dxa"/>
            <w:tcBorders>
              <w:top w:val="single" w:color="auto" w:sz="6" w:space="0"/>
              <w:left w:val="single" w:color="auto" w:sz="6" w:space="0"/>
              <w:bottom w:val="single" w:color="auto" w:sz="12" w:space="0"/>
              <w:right w:val="single" w:color="auto" w:sz="12" w:space="0"/>
            </w:tcBorders>
            <w:vAlign w:val="center"/>
          </w:tcPr>
          <w:p>
            <w:pPr>
              <w:jc w:val="center"/>
              <w:rPr>
                <w:color w:val="auto"/>
              </w:rPr>
            </w:pPr>
            <w:r>
              <w:rPr>
                <w:rFonts w:ascii="宋体" w:hAnsi="宋体"/>
                <w:color w:val="auto"/>
              </w:rPr>
              <w:t>按操作规程进行作业</w:t>
            </w:r>
          </w:p>
        </w:tc>
      </w:tr>
    </w:tbl>
    <w:p>
      <w:pPr>
        <w:keepNext/>
        <w:keepLines/>
        <w:spacing w:line="600" w:lineRule="exact"/>
        <w:jc w:val="left"/>
        <w:outlineLvl w:val="2"/>
        <w:rPr>
          <w:rFonts w:ascii="Calibri" w:hAnsi="Calibri"/>
          <w:b/>
          <w:color w:val="auto"/>
          <w:sz w:val="28"/>
          <w:szCs w:val="32"/>
        </w:rPr>
      </w:pPr>
      <w:bookmarkStart w:id="165" w:name="_Toc109631510"/>
      <w:bookmarkEnd w:id="165"/>
      <w:bookmarkStart w:id="166" w:name="_Toc380587622"/>
      <w:bookmarkEnd w:id="166"/>
      <w:bookmarkStart w:id="167" w:name="_Toc336214825"/>
      <w:bookmarkEnd w:id="167"/>
      <w:bookmarkStart w:id="168" w:name="_Toc144109197"/>
      <w:bookmarkStart w:id="169" w:name="_Toc49245492"/>
      <w:r>
        <w:rPr>
          <w:rFonts w:hint="eastAsia" w:ascii="Calibri" w:hAnsi="Calibri"/>
          <w:b/>
          <w:color w:val="auto"/>
          <w:sz w:val="28"/>
          <w:szCs w:val="32"/>
        </w:rPr>
        <w:t>6.3.2爆炸性、可燃性的危险化学品泄漏造成火灾爆炸事故的条件</w:t>
      </w:r>
      <w:bookmarkEnd w:id="168"/>
      <w:bookmarkEnd w:id="169"/>
    </w:p>
    <w:p>
      <w:pPr>
        <w:keepNext w:val="0"/>
        <w:keepLines w:val="0"/>
        <w:pageBreakBefore w:val="0"/>
        <w:widowControl w:val="0"/>
        <w:kinsoku/>
        <w:wordWrap/>
        <w:overflowPunct/>
        <w:topLinePunct w:val="0"/>
        <w:autoSpaceDE/>
        <w:autoSpaceDN/>
        <w:bidi w:val="0"/>
        <w:adjustRightInd/>
        <w:snapToGrid/>
        <w:spacing w:line="580" w:lineRule="exact"/>
        <w:ind w:firstLine="555"/>
        <w:textAlignment w:val="auto"/>
        <w:rPr>
          <w:color w:val="auto"/>
          <w:kern w:val="0"/>
        </w:rPr>
      </w:pPr>
      <w:bookmarkStart w:id="170" w:name="_Toc211678956"/>
      <w:bookmarkEnd w:id="170"/>
      <w:bookmarkStart w:id="171" w:name="_Toc336214828"/>
      <w:r>
        <w:rPr>
          <w:rFonts w:hint="eastAsia" w:ascii="宋体" w:hAnsi="宋体"/>
          <w:color w:val="auto"/>
          <w:sz w:val="28"/>
          <w:szCs w:val="28"/>
        </w:rPr>
        <w:t>该项目涉及了大量的易燃、易爆及有毒物质</w:t>
      </w:r>
      <w:bookmarkEnd w:id="171"/>
      <w:r>
        <w:rPr>
          <w:rFonts w:hint="eastAsia" w:ascii="宋体" w:hAnsi="宋体"/>
          <w:color w:val="auto"/>
          <w:sz w:val="28"/>
          <w:szCs w:val="28"/>
        </w:rPr>
        <w:t>，其工艺特点及物料的危险特性决定了该项目存在火灾、爆炸的可能性。该项目</w:t>
      </w:r>
      <w:r>
        <w:rPr>
          <w:rFonts w:hint="eastAsia"/>
          <w:color w:val="auto"/>
          <w:sz w:val="28"/>
          <w:szCs w:val="28"/>
        </w:rPr>
        <w:t>三乙胺、四氢呋喃、丙酮、甲苯、液氨、金属锂粒、丁酮、二甲基甲酰胺、乙酸乙酯、叔丁醇、石油醚、甲醇、乙醇、异丙醇、NP</w:t>
      </w:r>
      <w:r>
        <w:rPr>
          <w:color w:val="auto"/>
          <w:sz w:val="28"/>
          <w:szCs w:val="28"/>
        </w:rPr>
        <w:t>-10</w:t>
      </w:r>
      <w:r>
        <w:rPr>
          <w:rFonts w:hint="eastAsia"/>
          <w:color w:val="auto"/>
          <w:sz w:val="28"/>
          <w:szCs w:val="28"/>
        </w:rPr>
        <w:t>、柴油</w:t>
      </w:r>
      <w:r>
        <w:rPr>
          <w:rFonts w:hint="eastAsia" w:ascii="宋体" w:hAnsi="宋体"/>
          <w:color w:val="auto"/>
          <w:sz w:val="28"/>
          <w:szCs w:val="28"/>
        </w:rPr>
        <w:t>等属于易燃物质。</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jc w:val="left"/>
        <w:textAlignment w:val="auto"/>
        <w:rPr>
          <w:rFonts w:ascii="黑体" w:hAnsi="宋体" w:eastAsia="黑体"/>
          <w:color w:val="auto"/>
          <w:sz w:val="28"/>
          <w:szCs w:val="28"/>
        </w:rPr>
      </w:pPr>
      <w:r>
        <w:rPr>
          <w:rFonts w:hint="eastAsia" w:ascii="黑体" w:hAnsi="黑体" w:eastAsia="黑体"/>
          <w:color w:val="auto"/>
          <w:sz w:val="28"/>
          <w:szCs w:val="28"/>
        </w:rPr>
        <w:t>1）爆炸性事故的条件</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rFonts w:ascii="宋体" w:hAnsi="宋体"/>
          <w:color w:val="auto"/>
          <w:sz w:val="28"/>
          <w:szCs w:val="28"/>
        </w:rPr>
      </w:pPr>
      <w:r>
        <w:rPr>
          <w:rFonts w:hint="eastAsia" w:ascii="宋体" w:hAnsi="宋体"/>
          <w:color w:val="auto"/>
          <w:sz w:val="28"/>
          <w:szCs w:val="28"/>
        </w:rPr>
        <w:t>该项目的</w:t>
      </w:r>
      <w:r>
        <w:rPr>
          <w:rFonts w:hint="eastAsia"/>
          <w:color w:val="auto"/>
          <w:sz w:val="28"/>
          <w:szCs w:val="28"/>
        </w:rPr>
        <w:t>三乙胺、四氢呋喃、丙酮、甲苯、液氨、金属锂粒、丁酮、二甲基甲酰胺、乙酸乙酯、叔丁醇、石油醚、甲醇、乙醇、异丙醇、NP</w:t>
      </w:r>
      <w:r>
        <w:rPr>
          <w:color w:val="auto"/>
          <w:sz w:val="28"/>
          <w:szCs w:val="28"/>
        </w:rPr>
        <w:t>-10</w:t>
      </w:r>
      <w:r>
        <w:rPr>
          <w:rFonts w:hint="eastAsia"/>
          <w:color w:val="auto"/>
          <w:sz w:val="28"/>
          <w:szCs w:val="28"/>
        </w:rPr>
        <w:t>、柴油</w:t>
      </w:r>
      <w:r>
        <w:rPr>
          <w:rFonts w:hint="eastAsia" w:ascii="宋体" w:hAnsi="宋体"/>
          <w:color w:val="auto"/>
          <w:sz w:val="28"/>
          <w:szCs w:val="28"/>
        </w:rPr>
        <w:t>等属于易燃易爆物质；液体</w:t>
      </w:r>
      <w:r>
        <w:rPr>
          <w:rFonts w:hint="eastAsia" w:ascii="宋体" w:hAnsi="宋体"/>
          <w:color w:val="auto"/>
          <w:kern w:val="0"/>
          <w:sz w:val="28"/>
          <w:szCs w:val="28"/>
        </w:rPr>
        <w:t>蒸气</w:t>
      </w:r>
      <w:r>
        <w:rPr>
          <w:rFonts w:hint="eastAsia" w:ascii="宋体" w:hAnsi="宋体"/>
          <w:color w:val="auto"/>
          <w:sz w:val="28"/>
          <w:szCs w:val="28"/>
        </w:rPr>
        <w:t>为爆炸性的危险品，当发生泄漏后，</w:t>
      </w:r>
      <w:r>
        <w:rPr>
          <w:rFonts w:hint="eastAsia" w:ascii="宋体" w:hAnsi="宋体" w:cs="Arial"/>
          <w:color w:val="auto"/>
          <w:sz w:val="28"/>
          <w:szCs w:val="28"/>
        </w:rPr>
        <w:t>和空气等氧化剂形成混合物，</w:t>
      </w:r>
      <w:r>
        <w:rPr>
          <w:rFonts w:hint="eastAsia" w:ascii="宋体" w:hAnsi="宋体"/>
          <w:color w:val="auto"/>
          <w:sz w:val="28"/>
          <w:szCs w:val="28"/>
        </w:rPr>
        <w:t>在相对封闭的空间内其浓度达到爆炸范围时，</w:t>
      </w:r>
      <w:r>
        <w:rPr>
          <w:rFonts w:hint="eastAsia" w:ascii="宋体" w:hAnsi="宋体" w:cs="Arial"/>
          <w:color w:val="auto"/>
          <w:sz w:val="28"/>
          <w:szCs w:val="28"/>
        </w:rPr>
        <w:t>遇</w:t>
      </w:r>
      <w:r>
        <w:rPr>
          <w:rFonts w:hint="eastAsia" w:ascii="宋体" w:hAnsi="宋体"/>
          <w:color w:val="auto"/>
          <w:sz w:val="28"/>
          <w:szCs w:val="28"/>
        </w:rPr>
        <w:t>点火源（明火、电火花等）或高温热源可造成爆炸事故。</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jc w:val="left"/>
        <w:textAlignment w:val="auto"/>
        <w:rPr>
          <w:rFonts w:ascii="黑体" w:hAnsi="宋体" w:eastAsia="黑体"/>
          <w:color w:val="auto"/>
          <w:sz w:val="28"/>
          <w:szCs w:val="28"/>
        </w:rPr>
      </w:pPr>
      <w:r>
        <w:rPr>
          <w:rFonts w:hint="eastAsia" w:ascii="黑体" w:hAnsi="黑体" w:eastAsia="黑体"/>
          <w:color w:val="auto"/>
          <w:sz w:val="28"/>
          <w:szCs w:val="28"/>
        </w:rPr>
        <w:t>2）出现火灾事故的条件</w:t>
      </w:r>
    </w:p>
    <w:p>
      <w:pPr>
        <w:keepNext w:val="0"/>
        <w:keepLines w:val="0"/>
        <w:pageBreakBefore w:val="0"/>
        <w:widowControl w:val="0"/>
        <w:kinsoku/>
        <w:wordWrap/>
        <w:overflowPunct/>
        <w:topLinePunct w:val="0"/>
        <w:autoSpaceDE/>
        <w:autoSpaceDN/>
        <w:bidi w:val="0"/>
        <w:adjustRightInd/>
        <w:snapToGrid/>
        <w:spacing w:line="580" w:lineRule="exact"/>
        <w:ind w:firstLine="560" w:firstLineChars="200"/>
        <w:textAlignment w:val="auto"/>
        <w:rPr>
          <w:color w:val="auto"/>
          <w:sz w:val="28"/>
          <w:szCs w:val="28"/>
        </w:rPr>
      </w:pPr>
      <w:r>
        <w:rPr>
          <w:rFonts w:hint="eastAsia" w:ascii="宋体" w:hAnsi="宋体"/>
          <w:color w:val="auto"/>
          <w:sz w:val="28"/>
          <w:szCs w:val="28"/>
        </w:rPr>
        <w:t>该项目</w:t>
      </w:r>
      <w:r>
        <w:rPr>
          <w:rFonts w:hint="eastAsia"/>
          <w:color w:val="auto"/>
          <w:sz w:val="28"/>
          <w:szCs w:val="28"/>
        </w:rPr>
        <w:t>三乙胺、四氢呋喃、丙酮、甲苯、液氨、金属锂粒、丁酮、二甲基甲酰胺、乙酸乙酯、叔丁醇、石油醚、甲醇、乙醇、异丙醇、NP</w:t>
      </w:r>
      <w:r>
        <w:rPr>
          <w:color w:val="auto"/>
          <w:sz w:val="28"/>
          <w:szCs w:val="28"/>
        </w:rPr>
        <w:t>-10</w:t>
      </w:r>
      <w:r>
        <w:rPr>
          <w:rFonts w:hint="eastAsia"/>
          <w:color w:val="auto"/>
          <w:sz w:val="28"/>
          <w:szCs w:val="28"/>
        </w:rPr>
        <w:t>、柴油</w:t>
      </w:r>
      <w:r>
        <w:rPr>
          <w:rFonts w:hint="eastAsia" w:ascii="宋体" w:hAnsi="宋体"/>
          <w:color w:val="auto"/>
          <w:sz w:val="28"/>
          <w:szCs w:val="28"/>
        </w:rPr>
        <w:t>等具有易燃性，在生产作业或储存的过程中存在危险化学品泄漏的可能性较大。如果发生可燃液体泄漏，其蒸气形成混合气体达到燃烧极限并同时遇到高温或火源，则有可能发生火灾事故。</w:t>
      </w:r>
    </w:p>
    <w:p>
      <w:pPr>
        <w:keepNext/>
        <w:keepLines/>
        <w:spacing w:line="600" w:lineRule="exact"/>
        <w:jc w:val="left"/>
        <w:outlineLvl w:val="2"/>
        <w:rPr>
          <w:rFonts w:ascii="Calibri" w:hAnsi="Calibri"/>
          <w:b/>
          <w:color w:val="auto"/>
          <w:sz w:val="28"/>
          <w:szCs w:val="32"/>
        </w:rPr>
      </w:pPr>
      <w:bookmarkStart w:id="172" w:name="_Toc336214826"/>
      <w:bookmarkEnd w:id="172"/>
      <w:bookmarkStart w:id="173" w:name="_Toc380587623"/>
      <w:bookmarkEnd w:id="173"/>
      <w:bookmarkStart w:id="174" w:name="_Toc109631511"/>
      <w:bookmarkEnd w:id="174"/>
      <w:bookmarkStart w:id="175" w:name="_Toc49245493"/>
      <w:bookmarkStart w:id="176" w:name="_Toc144109198"/>
      <w:r>
        <w:rPr>
          <w:rFonts w:hint="eastAsia" w:ascii="Calibri" w:hAnsi="Calibri"/>
          <w:b/>
          <w:color w:val="auto"/>
          <w:sz w:val="28"/>
          <w:szCs w:val="32"/>
        </w:rPr>
        <w:t>6.3.3有毒化学品接触最高限值的时间</w:t>
      </w:r>
      <w:bookmarkEnd w:id="175"/>
      <w:bookmarkEnd w:id="176"/>
    </w:p>
    <w:p>
      <w:pPr>
        <w:pStyle w:val="8"/>
        <w:ind w:firstLine="560"/>
        <w:rPr>
          <w:rFonts w:ascii="宋体" w:hAnsi="宋体"/>
          <w:color w:val="auto"/>
          <w:sz w:val="28"/>
          <w:szCs w:val="28"/>
        </w:rPr>
      </w:pPr>
      <w:r>
        <w:rPr>
          <w:rFonts w:hint="eastAsia" w:ascii="宋体" w:hAnsi="宋体"/>
          <w:bCs/>
          <w:color w:val="auto"/>
          <w:sz w:val="28"/>
          <w:szCs w:val="28"/>
        </w:rPr>
        <w:t>据《职业性接触毒物危害程度分级》，该项目物料</w:t>
      </w:r>
      <w:r>
        <w:rPr>
          <w:rFonts w:hint="eastAsia" w:ascii="宋体" w:hAnsi="宋体"/>
          <w:color w:val="auto"/>
          <w:sz w:val="28"/>
          <w:szCs w:val="28"/>
        </w:rPr>
        <w:t>甲基磺酰氯危害程度属于Ⅰ级（极度危害）；液氨、DMF、硫酸危害程度属于Ⅱ级（高度危害），二氯甲烷、二氧化硫、甲苯、甲醇、氢溴酸危害程度属于Ⅲ级（中度危害）；其他物质属于Ⅳ级(轻度危害)；氮气、氨、二氧化硫具有窒息性。</w:t>
      </w:r>
      <w:r>
        <w:rPr>
          <w:rFonts w:ascii="宋体" w:hAnsi="宋体"/>
          <w:color w:val="auto"/>
          <w:sz w:val="28"/>
          <w:szCs w:val="28"/>
        </w:rPr>
        <w:t>需要说明的是，当</w:t>
      </w:r>
      <w:r>
        <w:rPr>
          <w:rFonts w:hint="eastAsia" w:ascii="宋体" w:hAnsi="宋体"/>
          <w:color w:val="auto"/>
          <w:sz w:val="28"/>
          <w:szCs w:val="28"/>
        </w:rPr>
        <w:t>气体、液体状态有毒物质</w:t>
      </w:r>
      <w:r>
        <w:rPr>
          <w:rFonts w:ascii="宋体" w:hAnsi="宋体"/>
          <w:color w:val="auto"/>
          <w:sz w:val="28"/>
          <w:szCs w:val="28"/>
        </w:rPr>
        <w:t>一旦发生泄漏，在泄漏点附近在短时间内</w:t>
      </w:r>
      <w:r>
        <w:rPr>
          <w:rFonts w:hint="eastAsia" w:ascii="宋体" w:hAnsi="宋体"/>
          <w:color w:val="auto"/>
          <w:sz w:val="28"/>
          <w:szCs w:val="28"/>
        </w:rPr>
        <w:t>其蒸气浓度</w:t>
      </w:r>
      <w:r>
        <w:rPr>
          <w:rFonts w:ascii="宋体" w:hAnsi="宋体"/>
          <w:color w:val="auto"/>
          <w:sz w:val="28"/>
          <w:szCs w:val="28"/>
        </w:rPr>
        <w:t>已达到中毒极限，对附近的作业人员均可能造成中毒伤害。</w:t>
      </w:r>
      <w:r>
        <w:rPr>
          <w:rFonts w:hint="eastAsia" w:ascii="宋体" w:hAnsi="宋体"/>
          <w:color w:val="auto"/>
          <w:sz w:val="28"/>
          <w:szCs w:val="28"/>
        </w:rPr>
        <w:t>固体状态有毒物质人体直接接触可造成中毒。</w:t>
      </w:r>
    </w:p>
    <w:p>
      <w:pPr>
        <w:keepNext/>
        <w:keepLines/>
        <w:spacing w:line="600" w:lineRule="exact"/>
        <w:jc w:val="left"/>
        <w:outlineLvl w:val="2"/>
        <w:rPr>
          <w:rFonts w:ascii="Calibri" w:hAnsi="Calibri"/>
          <w:b/>
          <w:color w:val="auto"/>
          <w:sz w:val="28"/>
          <w:szCs w:val="32"/>
        </w:rPr>
      </w:pPr>
      <w:bookmarkStart w:id="177" w:name="_Toc380587624"/>
      <w:bookmarkEnd w:id="177"/>
      <w:bookmarkStart w:id="178" w:name="_Toc49245494"/>
      <w:bookmarkEnd w:id="178"/>
      <w:bookmarkStart w:id="179" w:name="_Toc109631512"/>
      <w:bookmarkStart w:id="180" w:name="_Toc144109199"/>
      <w:r>
        <w:rPr>
          <w:rFonts w:hint="eastAsia" w:ascii="Calibri" w:hAnsi="Calibri"/>
          <w:b/>
          <w:color w:val="auto"/>
          <w:sz w:val="28"/>
          <w:szCs w:val="32"/>
        </w:rPr>
        <w:t>6.3.</w:t>
      </w:r>
      <w:bookmarkEnd w:id="179"/>
      <w:r>
        <w:rPr>
          <w:rFonts w:hint="eastAsia" w:ascii="Calibri" w:hAnsi="Calibri"/>
          <w:b/>
          <w:color w:val="auto"/>
          <w:sz w:val="28"/>
          <w:szCs w:val="32"/>
        </w:rPr>
        <w:t>4事故模型分析</w:t>
      </w:r>
      <w:bookmarkEnd w:id="180"/>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本评价要使用中国安全生产科学研究院研发的 CASST-QRA 评价软件对该项目拟选定的装置可能发生的危险化学品事故后果进行模拟计算评价。</w:t>
      </w:r>
    </w:p>
    <w:p>
      <w:pPr>
        <w:ind w:firstLine="420" w:firstLineChars="200"/>
        <w:jc w:val="center"/>
        <w:rPr>
          <w:rFonts w:ascii="宋体" w:hAnsi="宋体"/>
          <w:bCs/>
          <w:color w:val="auto"/>
        </w:rPr>
      </w:pPr>
      <w:r>
        <w:rPr>
          <w:rFonts w:hint="eastAsia" w:ascii="宋体" w:hAnsi="宋体"/>
          <w:bCs/>
          <w:color w:val="auto"/>
        </w:rPr>
        <w:t>6.3-2事故后果模拟一览表</w:t>
      </w:r>
    </w:p>
    <w:tbl>
      <w:tblPr>
        <w:tblStyle w:val="31"/>
        <w:tblW w:w="921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07"/>
        <w:gridCol w:w="1835"/>
        <w:gridCol w:w="2556"/>
        <w:gridCol w:w="939"/>
        <w:gridCol w:w="939"/>
        <w:gridCol w:w="9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2007"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危险源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泄漏模式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灾害模式</w:t>
            </w:r>
          </w:p>
        </w:tc>
        <w:tc>
          <w:tcPr>
            <w:tcW w:w="93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死亡半径(m)</w:t>
            </w:r>
          </w:p>
        </w:tc>
        <w:tc>
          <w:tcPr>
            <w:tcW w:w="93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重伤半径(m)</w:t>
            </w:r>
          </w:p>
        </w:tc>
        <w:tc>
          <w:tcPr>
            <w:tcW w:w="93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轻伤半径(m)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中毒扩散:静风,E类</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182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222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中毒扩散:2m/s,D类</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bottom"/>
          </w:tcPr>
          <w:p>
            <w:pPr>
              <w:keepNext w:val="0"/>
              <w:keepLines w:val="0"/>
              <w:widowControl/>
              <w:suppressLineNumbers w:val="0"/>
              <w:jc w:val="left"/>
              <w:textAlignment w:val="bottom"/>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102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122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中毒扩散:4.5m/s,C类</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中毒扩散:1.2m/s,E类</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液氮罐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氮气缓冲罐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石油醚暂存罐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石油醚暂存罐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压缩空气储罐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前缓冲罐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前缓冲罐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前缓冲罐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石油醚暂存罐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四氢呋喃/丁酮计量罐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四氢呋喃/丁酮计量罐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丙酮计量罐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四氢呋喃/丁酮计量罐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丁酮接收罐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2</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甲苯暂存罐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容器整体破裂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容器中孔泄漏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管道完全破裂</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四氢呋喃/丁酮计量罐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四氢呋喃/丁酮计量罐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四氢呋喃计量罐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四氢呋喃接收罐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管道小孔泄漏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甲苯接收罐</w:t>
            </w:r>
          </w:p>
        </w:tc>
        <w:tc>
          <w:tcPr>
            <w:tcW w:w="1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阀门小孔泄漏</w:t>
            </w:r>
          </w:p>
        </w:tc>
        <w:tc>
          <w:tcPr>
            <w:tcW w:w="255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池火</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w:t>
            </w:r>
          </w:p>
        </w:tc>
        <w:tc>
          <w:tcPr>
            <w:tcW w:w="9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6</w:t>
            </w:r>
          </w:p>
        </w:tc>
      </w:tr>
    </w:tbl>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总上表分析，该项目发生最严重的的事故为中毒事故，从表中数据分析，该项目发生事故的影响区域超出了厂区；如</w:t>
      </w:r>
      <w:r>
        <w:rPr>
          <w:rFonts w:hint="eastAsia" w:ascii="宋体" w:hAnsi="宋体"/>
          <w:bCs/>
          <w:color w:val="auto"/>
          <w:sz w:val="28"/>
          <w:szCs w:val="28"/>
        </w:rPr>
        <w:t>该项目危险性较大的设备设施发生火灾、爆炸、中毒事故；运输过程中发生物料泄漏、交通事故，则必定会对周边群众及工厂的生产生活产生影响；设计时应重点考虑设备选型、泄漏处理及中毒事故的安全设施及措施设计，避免事故发生，减少事故的发生的概率及影响范围。</w:t>
      </w:r>
    </w:p>
    <w:p>
      <w:pPr>
        <w:keepNext/>
        <w:keepLines/>
        <w:spacing w:line="600" w:lineRule="exact"/>
        <w:jc w:val="left"/>
        <w:outlineLvl w:val="2"/>
        <w:rPr>
          <w:rFonts w:ascii="Calibri" w:hAnsi="Calibri"/>
          <w:b/>
          <w:color w:val="auto"/>
          <w:sz w:val="28"/>
          <w:szCs w:val="32"/>
        </w:rPr>
      </w:pPr>
      <w:bookmarkStart w:id="181" w:name="_Toc23926343"/>
      <w:bookmarkEnd w:id="181"/>
      <w:bookmarkStart w:id="182" w:name="_Toc144109200"/>
      <w:bookmarkStart w:id="183" w:name="_Toc109631513"/>
      <w:r>
        <w:rPr>
          <w:rFonts w:hint="eastAsia" w:ascii="Calibri" w:hAnsi="Calibri"/>
          <w:b/>
          <w:color w:val="auto"/>
          <w:sz w:val="28"/>
          <w:szCs w:val="32"/>
        </w:rPr>
        <w:t>6.3.5多米诺效应分析</w:t>
      </w:r>
      <w:bookmarkEnd w:id="182"/>
      <w:bookmarkEnd w:id="183"/>
    </w:p>
    <w:p>
      <w:pPr>
        <w:widowControl/>
        <w:spacing w:line="360" w:lineRule="auto"/>
        <w:ind w:firstLine="560"/>
        <w:jc w:val="left"/>
        <w:rPr>
          <w:color w:val="auto"/>
          <w:sz w:val="28"/>
          <w:szCs w:val="28"/>
        </w:rPr>
      </w:pPr>
      <w:r>
        <w:rPr>
          <w:rFonts w:hint="eastAsia" w:ascii="宋体" w:hAnsi="宋体"/>
          <w:color w:val="auto"/>
          <w:sz w:val="28"/>
          <w:szCs w:val="28"/>
        </w:rPr>
        <w:t>该项目位于江西吉安市新干县盐化工业城江西鑫立莱生化有限责任公司内，</w:t>
      </w:r>
      <w:r>
        <w:rPr>
          <w:rFonts w:ascii="宋体" w:hAnsi="宋体"/>
          <w:color w:val="auto"/>
          <w:sz w:val="28"/>
          <w:szCs w:val="28"/>
        </w:rPr>
        <w:t>涉及较多易燃、易爆物品</w:t>
      </w:r>
      <w:r>
        <w:rPr>
          <w:rFonts w:hint="eastAsia" w:ascii="宋体" w:hAnsi="宋体"/>
          <w:color w:val="auto"/>
          <w:sz w:val="28"/>
          <w:szCs w:val="28"/>
        </w:rPr>
        <w:t>装置、</w:t>
      </w:r>
      <w:r>
        <w:rPr>
          <w:rFonts w:ascii="宋体" w:hAnsi="宋体"/>
          <w:color w:val="auto"/>
          <w:sz w:val="28"/>
          <w:szCs w:val="28"/>
        </w:rPr>
        <w:t>储罐，易发生火灾、爆炸</w:t>
      </w:r>
      <w:r>
        <w:rPr>
          <w:rFonts w:hint="eastAsia" w:ascii="宋体" w:hAnsi="宋体"/>
          <w:color w:val="auto"/>
          <w:sz w:val="28"/>
          <w:szCs w:val="28"/>
        </w:rPr>
        <w:t>、物理爆炸</w:t>
      </w:r>
      <w:r>
        <w:rPr>
          <w:rFonts w:ascii="宋体" w:hAnsi="宋体"/>
          <w:color w:val="auto"/>
          <w:sz w:val="28"/>
          <w:szCs w:val="28"/>
        </w:rPr>
        <w:t>等事故</w:t>
      </w:r>
      <w:r>
        <w:rPr>
          <w:rFonts w:hint="eastAsia" w:ascii="宋体" w:hAnsi="宋体"/>
          <w:color w:val="auto"/>
          <w:sz w:val="28"/>
          <w:szCs w:val="28"/>
        </w:rPr>
        <w:t>；</w:t>
      </w:r>
      <w:r>
        <w:rPr>
          <w:rFonts w:ascii="宋体" w:hAnsi="宋体"/>
          <w:color w:val="auto"/>
          <w:sz w:val="28"/>
          <w:szCs w:val="28"/>
        </w:rPr>
        <w:t>而且相邻企业</w:t>
      </w:r>
      <w:r>
        <w:rPr>
          <w:rFonts w:hint="eastAsia" w:ascii="宋体" w:hAnsi="宋体"/>
          <w:color w:val="auto"/>
          <w:sz w:val="28"/>
          <w:szCs w:val="28"/>
        </w:rPr>
        <w:t>多为</w:t>
      </w:r>
      <w:r>
        <w:rPr>
          <w:rFonts w:ascii="宋体" w:hAnsi="宋体"/>
          <w:color w:val="auto"/>
          <w:sz w:val="28"/>
          <w:szCs w:val="28"/>
        </w:rPr>
        <w:t>化工企业</w:t>
      </w:r>
      <w:r>
        <w:rPr>
          <w:rFonts w:hint="eastAsia" w:ascii="宋体" w:hAnsi="宋体"/>
          <w:color w:val="auto"/>
          <w:sz w:val="28"/>
          <w:szCs w:val="28"/>
        </w:rPr>
        <w:t>；</w:t>
      </w:r>
      <w:r>
        <w:rPr>
          <w:rFonts w:ascii="宋体" w:hAnsi="宋体"/>
          <w:color w:val="auto"/>
          <w:sz w:val="28"/>
          <w:szCs w:val="28"/>
        </w:rPr>
        <w:t>因此，一旦相关事故发生多米诺效应将加大事故后果的严重性。重大事故多米诺效应属于低概率高风险的事故，发生概率虽然相对较低，但是一旦发生损失惨重，对人民生命和社会财产造成巨大威胁。</w:t>
      </w:r>
    </w:p>
    <w:p>
      <w:pPr>
        <w:spacing w:line="560" w:lineRule="exact"/>
        <w:ind w:firstLine="546" w:firstLineChars="195"/>
        <w:rPr>
          <w:color w:val="auto"/>
          <w:sz w:val="28"/>
          <w:szCs w:val="28"/>
        </w:rPr>
      </w:pPr>
      <w:r>
        <w:rPr>
          <w:rFonts w:ascii="宋体" w:hAnsi="宋体"/>
          <w:color w:val="auto"/>
          <w:sz w:val="28"/>
          <w:szCs w:val="28"/>
        </w:rPr>
        <w:t>多米诺效应主要</w:t>
      </w:r>
      <w:r>
        <w:rPr>
          <w:rFonts w:ascii="宋体" w:hAnsi="宋体"/>
          <w:color w:val="auto"/>
          <w:kern w:val="0"/>
          <w:sz w:val="28"/>
          <w:szCs w:val="28"/>
        </w:rPr>
        <w:t>识别企业间多米诺效应</w:t>
      </w:r>
      <w:r>
        <w:rPr>
          <w:rFonts w:hint="eastAsia" w:ascii="宋体" w:hAnsi="宋体"/>
          <w:color w:val="auto"/>
          <w:kern w:val="0"/>
          <w:sz w:val="28"/>
          <w:szCs w:val="28"/>
        </w:rPr>
        <w:t>；</w:t>
      </w:r>
      <w:r>
        <w:rPr>
          <w:rFonts w:hint="eastAsia" w:ascii="宋体" w:hAnsi="宋体"/>
          <w:bCs/>
          <w:color w:val="auto"/>
          <w:sz w:val="28"/>
          <w:szCs w:val="28"/>
        </w:rPr>
        <w:t>该项目</w:t>
      </w:r>
      <w:r>
        <w:rPr>
          <w:rFonts w:hint="eastAsia" w:ascii="宋体" w:hAnsi="宋体"/>
          <w:color w:val="auto"/>
          <w:sz w:val="28"/>
          <w:szCs w:val="28"/>
        </w:rPr>
        <w:t>如发生火灾、爆炸、物理爆炸等事故，其</w:t>
      </w:r>
      <w:r>
        <w:rPr>
          <w:rFonts w:ascii="宋体" w:hAnsi="宋体"/>
          <w:color w:val="auto"/>
          <w:sz w:val="28"/>
          <w:szCs w:val="28"/>
        </w:rPr>
        <w:t>爆炸的冲击波和引起飞体的破坏作用涉及的范围比较大，除可造成事故邻近的设施设备损坏外，还可造成较远的设备设施损坏，从而引发新的事故。</w:t>
      </w:r>
      <w:r>
        <w:rPr>
          <w:rFonts w:hint="eastAsia" w:ascii="宋体" w:hAnsi="宋体"/>
          <w:color w:val="auto"/>
          <w:sz w:val="28"/>
          <w:szCs w:val="28"/>
        </w:rPr>
        <w:t>该项目生产装置如遭受外力或靠近热源，涉及高温高压设备控制不当，发生火灾、爆炸或者危险化学品泄漏扩散事故，这些事故产生的热辐射、超压或碎片以及对员工正常操作的影响可能会对周边邻近装置产生破坏，引发多米诺事故。</w:t>
      </w:r>
    </w:p>
    <w:p>
      <w:pPr>
        <w:spacing w:line="560" w:lineRule="exact"/>
        <w:ind w:firstLine="560" w:firstLineChars="200"/>
        <w:rPr>
          <w:rFonts w:ascii="宋体" w:hAnsi="宋体" w:cs="SimSun-Identity-H"/>
          <w:color w:val="auto"/>
          <w:kern w:val="0"/>
          <w:sz w:val="28"/>
          <w:szCs w:val="28"/>
        </w:rPr>
      </w:pPr>
      <w:r>
        <w:rPr>
          <w:rFonts w:hint="eastAsia" w:ascii="宋体" w:hAnsi="宋体"/>
          <w:color w:val="auto"/>
          <w:sz w:val="28"/>
          <w:szCs w:val="28"/>
        </w:rPr>
        <w:t>本次评价主要对该项目内可能发生重大的事故</w:t>
      </w:r>
      <w:r>
        <w:rPr>
          <w:rFonts w:ascii="宋体" w:hAnsi="宋体"/>
          <w:color w:val="auto"/>
          <w:sz w:val="28"/>
          <w:szCs w:val="28"/>
        </w:rPr>
        <w:t>采用国家安全生产总局所属安</w:t>
      </w:r>
      <w:r>
        <w:rPr>
          <w:rFonts w:hint="eastAsia" w:ascii="宋体" w:hAnsi="宋体"/>
          <w:color w:val="auto"/>
          <w:sz w:val="28"/>
          <w:szCs w:val="28"/>
        </w:rPr>
        <w:t>科院开发的计算软件，并以此为基础开展进行</w:t>
      </w:r>
      <w:r>
        <w:rPr>
          <w:rFonts w:hint="eastAsia" w:ascii="宋体" w:hAnsi="宋体" w:cs="SimSun-Identity-H"/>
          <w:color w:val="auto"/>
          <w:kern w:val="0"/>
          <w:sz w:val="28"/>
          <w:szCs w:val="28"/>
        </w:rPr>
        <w:t>模拟计算各种事故情景下的</w:t>
      </w:r>
      <w:r>
        <w:rPr>
          <w:rFonts w:ascii="宋体" w:hAnsi="宋体"/>
          <w:color w:val="auto"/>
          <w:sz w:val="28"/>
          <w:szCs w:val="28"/>
        </w:rPr>
        <w:t>多米诺效应</w:t>
      </w:r>
      <w:r>
        <w:rPr>
          <w:rFonts w:hint="eastAsia" w:ascii="宋体" w:hAnsi="宋体" w:cs="SimSun-Identity-H"/>
          <w:color w:val="auto"/>
          <w:kern w:val="0"/>
          <w:sz w:val="28"/>
          <w:szCs w:val="28"/>
        </w:rPr>
        <w:t>影响范围，计算结果见下图6.3-3。</w:t>
      </w:r>
    </w:p>
    <w:p>
      <w:pPr>
        <w:spacing w:line="360" w:lineRule="auto"/>
        <w:ind w:firstLine="420" w:firstLineChars="200"/>
        <w:jc w:val="center"/>
        <w:rPr>
          <w:rFonts w:ascii="宋体" w:hAnsi="宋体"/>
          <w:color w:val="auto"/>
          <w:kern w:val="0"/>
        </w:rPr>
      </w:pPr>
      <w:r>
        <w:rPr>
          <w:rFonts w:hint="eastAsia" w:ascii="宋体" w:hAnsi="宋体" w:cs="SimSun-Identity-H"/>
          <w:color w:val="auto"/>
          <w:kern w:val="0"/>
        </w:rPr>
        <w:t>表6.3-3</w:t>
      </w:r>
      <w:r>
        <w:rPr>
          <w:rFonts w:hint="eastAsia" w:ascii="宋体" w:hAnsi="宋体"/>
          <w:color w:val="auto"/>
          <w:kern w:val="0"/>
        </w:rPr>
        <w:t>项目多米诺效应表</w:t>
      </w:r>
    </w:p>
    <w:tbl>
      <w:tblPr>
        <w:tblStyle w:val="31"/>
        <w:tblW w:w="88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366"/>
        <w:gridCol w:w="2163"/>
        <w:gridCol w:w="2485"/>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1" w:hRule="atLeast"/>
          <w:jc w:val="center"/>
        </w:trPr>
        <w:tc>
          <w:tcPr>
            <w:tcW w:w="2366"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危险源</w:t>
            </w:r>
          </w:p>
        </w:tc>
        <w:tc>
          <w:tcPr>
            <w:tcW w:w="216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泄漏模式</w:t>
            </w:r>
          </w:p>
        </w:tc>
        <w:tc>
          <w:tcPr>
            <w:tcW w:w="24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灾害模式</w:t>
            </w:r>
          </w:p>
        </w:tc>
        <w:tc>
          <w:tcPr>
            <w:tcW w:w="18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多米诺半径(m)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23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液氮罐</w:t>
            </w:r>
          </w:p>
        </w:tc>
        <w:tc>
          <w:tcPr>
            <w:tcW w:w="216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4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18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23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液氨钢瓶</w:t>
            </w:r>
          </w:p>
        </w:tc>
        <w:tc>
          <w:tcPr>
            <w:tcW w:w="216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4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18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23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氮气缓冲罐</w:t>
            </w:r>
          </w:p>
        </w:tc>
        <w:tc>
          <w:tcPr>
            <w:tcW w:w="216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4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18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23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压缩空气储罐</w:t>
            </w:r>
          </w:p>
        </w:tc>
        <w:tc>
          <w:tcPr>
            <w:tcW w:w="216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容器物理爆炸</w:t>
            </w:r>
          </w:p>
        </w:tc>
        <w:tc>
          <w:tcPr>
            <w:tcW w:w="24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物理爆炸</w:t>
            </w:r>
          </w:p>
        </w:tc>
        <w:tc>
          <w:tcPr>
            <w:tcW w:w="18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b w:val="0"/>
                <w:i w:val="0"/>
                <w:iCs w:val="0"/>
                <w:color w:val="auto"/>
                <w:sz w:val="24"/>
                <w:szCs w:val="24"/>
                <w:u w:val="none"/>
              </w:rPr>
            </w:pPr>
            <w:r>
              <w:rPr>
                <w:rFonts w:hint="eastAsia" w:ascii="宋体" w:hAnsi="宋体" w:eastAsia="宋体" w:cs="宋体"/>
                <w:b w:val="0"/>
                <w:i w:val="0"/>
                <w:iCs w:val="0"/>
                <w:color w:val="auto"/>
                <w:kern w:val="0"/>
                <w:sz w:val="24"/>
                <w:szCs w:val="24"/>
                <w:u w:val="none"/>
                <w:lang w:val="en-US" w:eastAsia="zh-CN" w:bidi="ar"/>
              </w:rPr>
              <w:t>3</w:t>
            </w:r>
          </w:p>
        </w:tc>
      </w:tr>
    </w:tbl>
    <w:p>
      <w:pPr>
        <w:spacing w:line="360" w:lineRule="auto"/>
        <w:ind w:firstLine="840" w:firstLineChars="300"/>
        <w:jc w:val="left"/>
        <w:rPr>
          <w:rFonts w:ascii="宋体" w:hAnsi="宋体"/>
          <w:bCs/>
          <w:color w:val="auto"/>
        </w:rPr>
      </w:pPr>
      <w:r>
        <w:rPr>
          <w:rFonts w:hint="eastAsia" w:ascii="宋体" w:hAnsi="宋体"/>
          <w:color w:val="auto"/>
          <w:kern w:val="0"/>
          <w:sz w:val="28"/>
          <w:szCs w:val="28"/>
        </w:rPr>
        <w:t>依据事故模拟分析，该项目发生多米诺效应事故的影响区域主要为厂区内，</w:t>
      </w:r>
      <w:r>
        <w:rPr>
          <w:rFonts w:hint="eastAsia" w:ascii="宋体" w:hAnsi="宋体"/>
          <w:color w:val="auto"/>
          <w:kern w:val="0"/>
          <w:sz w:val="28"/>
          <w:szCs w:val="28"/>
          <w:highlight w:val="none"/>
        </w:rPr>
        <w:t>液氮罐发生容器物理爆炸时引发的物理爆炸事故多米诺半径达到</w:t>
      </w:r>
      <w:r>
        <w:rPr>
          <w:rFonts w:ascii="宋体" w:hAnsi="宋体"/>
          <w:color w:val="auto"/>
          <w:kern w:val="0"/>
          <w:sz w:val="28"/>
          <w:szCs w:val="28"/>
          <w:highlight w:val="none"/>
        </w:rPr>
        <w:t>1</w:t>
      </w:r>
      <w:r>
        <w:rPr>
          <w:rFonts w:hint="eastAsia" w:ascii="宋体" w:hAnsi="宋体"/>
          <w:color w:val="auto"/>
          <w:kern w:val="0"/>
          <w:sz w:val="28"/>
          <w:szCs w:val="28"/>
          <w:highlight w:val="none"/>
          <w:lang w:val="en-US" w:eastAsia="zh-CN"/>
        </w:rPr>
        <w:t>3</w:t>
      </w:r>
      <w:r>
        <w:rPr>
          <w:rFonts w:hint="eastAsia" w:ascii="宋体" w:hAnsi="宋体"/>
          <w:color w:val="auto"/>
          <w:kern w:val="0"/>
          <w:sz w:val="28"/>
          <w:szCs w:val="28"/>
          <w:highlight w:val="none"/>
        </w:rPr>
        <w:t>m，液氨钢瓶发生容器物理爆炸时引发的物理爆炸事故多米诺半径达到</w:t>
      </w:r>
      <w:r>
        <w:rPr>
          <w:rFonts w:hint="eastAsia" w:ascii="宋体" w:hAnsi="宋体"/>
          <w:color w:val="auto"/>
          <w:kern w:val="0"/>
          <w:sz w:val="28"/>
          <w:szCs w:val="28"/>
          <w:highlight w:val="none"/>
          <w:lang w:val="en-US" w:eastAsia="zh-CN"/>
        </w:rPr>
        <w:t>7</w:t>
      </w:r>
      <w:r>
        <w:rPr>
          <w:rFonts w:hint="eastAsia" w:ascii="宋体" w:hAnsi="宋体"/>
          <w:color w:val="auto"/>
          <w:kern w:val="0"/>
          <w:sz w:val="28"/>
          <w:szCs w:val="28"/>
          <w:highlight w:val="none"/>
        </w:rPr>
        <w:t>m，氮气缓冲罐和压缩空气储罐发生容器物理爆炸时引发的物理爆炸事故多米诺半径达到</w:t>
      </w:r>
      <w:r>
        <w:rPr>
          <w:rFonts w:ascii="宋体" w:hAnsi="宋体"/>
          <w:color w:val="auto"/>
          <w:kern w:val="0"/>
          <w:sz w:val="28"/>
          <w:szCs w:val="28"/>
          <w:highlight w:val="none"/>
        </w:rPr>
        <w:t>3</w:t>
      </w:r>
      <w:r>
        <w:rPr>
          <w:rFonts w:hint="eastAsia" w:ascii="宋体" w:hAnsi="宋体"/>
          <w:color w:val="auto"/>
          <w:kern w:val="0"/>
          <w:sz w:val="28"/>
          <w:szCs w:val="28"/>
          <w:highlight w:val="none"/>
        </w:rPr>
        <w:t>m，</w:t>
      </w:r>
      <w:r>
        <w:rPr>
          <w:rFonts w:hint="eastAsia" w:ascii="宋体" w:hAnsi="宋体"/>
          <w:color w:val="auto"/>
          <w:kern w:val="0"/>
          <w:sz w:val="28"/>
          <w:szCs w:val="28"/>
        </w:rPr>
        <w:t>但多米诺事故的半径未超出厂界；</w:t>
      </w:r>
      <w:r>
        <w:rPr>
          <w:rFonts w:hint="eastAsia" w:ascii="宋体" w:hAnsi="宋体"/>
          <w:bCs/>
          <w:color w:val="auto"/>
          <w:sz w:val="28"/>
          <w:szCs w:val="28"/>
        </w:rPr>
        <w:t>设计时应重点考虑</w:t>
      </w:r>
      <w:r>
        <w:rPr>
          <w:rFonts w:hint="eastAsia" w:ascii="宋体" w:hAnsi="宋体"/>
          <w:color w:val="auto"/>
          <w:kern w:val="0"/>
          <w:sz w:val="28"/>
          <w:szCs w:val="28"/>
        </w:rPr>
        <w:t>发生多米诺事故装置</w:t>
      </w:r>
      <w:r>
        <w:rPr>
          <w:rFonts w:hint="eastAsia" w:ascii="宋体" w:hAnsi="宋体"/>
          <w:bCs/>
          <w:color w:val="auto"/>
          <w:sz w:val="28"/>
          <w:szCs w:val="28"/>
        </w:rPr>
        <w:t>的安全设施及措施设计，避免事故发生，减少事故的发生的概率及影响范围。项目建成后企业应将涉及产生多米诺效应的设备设施作为重点监控对象，加强管理，避免事故发生。</w:t>
      </w:r>
    </w:p>
    <w:p>
      <w:pPr>
        <w:rPr>
          <w:color w:val="auto"/>
        </w:rPr>
      </w:pPr>
      <w:r>
        <w:rPr>
          <w:rFonts w:ascii="仿宋_GB2312"/>
          <w:color w:val="auto"/>
          <w:sz w:val="32"/>
          <w:szCs w:val="32"/>
        </w:rPr>
        <w:br w:type="page"/>
      </w:r>
    </w:p>
    <w:p>
      <w:pPr>
        <w:keepNext/>
        <w:pageBreakBefore/>
        <w:widowControl/>
        <w:spacing w:line="600" w:lineRule="exact"/>
        <w:jc w:val="left"/>
        <w:outlineLvl w:val="0"/>
        <w:rPr>
          <w:b/>
          <w:color w:val="auto"/>
          <w:kern w:val="44"/>
          <w:sz w:val="32"/>
          <w:szCs w:val="32"/>
        </w:rPr>
      </w:pPr>
      <w:bookmarkStart w:id="184" w:name="_Toc144109201"/>
      <w:r>
        <w:rPr>
          <w:rFonts w:hint="eastAsia"/>
          <w:b/>
          <w:color w:val="auto"/>
          <w:kern w:val="44"/>
          <w:sz w:val="32"/>
          <w:szCs w:val="32"/>
        </w:rPr>
        <w:t>7</w:t>
      </w:r>
      <w:r>
        <w:rPr>
          <w:b/>
          <w:color w:val="auto"/>
          <w:kern w:val="44"/>
          <w:sz w:val="32"/>
          <w:szCs w:val="32"/>
        </w:rPr>
        <w:t>.</w:t>
      </w:r>
      <w:r>
        <w:rPr>
          <w:rFonts w:hint="eastAsia"/>
          <w:b/>
          <w:color w:val="auto"/>
          <w:kern w:val="44"/>
          <w:sz w:val="32"/>
          <w:szCs w:val="32"/>
        </w:rPr>
        <w:t>建设项目安全生产、安全条件的分析结果</w:t>
      </w:r>
      <w:bookmarkEnd w:id="184"/>
    </w:p>
    <w:p>
      <w:pPr>
        <w:keepNext/>
        <w:keepLines/>
        <w:spacing w:line="580" w:lineRule="exact"/>
        <w:jc w:val="left"/>
        <w:outlineLvl w:val="1"/>
        <w:rPr>
          <w:rFonts w:ascii="Calibri Light" w:hAnsi="Calibri Light"/>
          <w:b/>
          <w:color w:val="auto"/>
          <w:sz w:val="30"/>
          <w:szCs w:val="30"/>
        </w:rPr>
      </w:pPr>
      <w:bookmarkStart w:id="185" w:name="_Toc144109202"/>
      <w:r>
        <w:rPr>
          <w:rFonts w:hint="eastAsia" w:ascii="Calibri Light" w:hAnsi="Calibri Light"/>
          <w:b/>
          <w:color w:val="auto"/>
          <w:sz w:val="30"/>
          <w:szCs w:val="30"/>
        </w:rPr>
        <w:t>7</w:t>
      </w:r>
      <w:r>
        <w:rPr>
          <w:rFonts w:ascii="Calibri Light" w:hAnsi="Calibri Light"/>
          <w:b/>
          <w:color w:val="auto"/>
          <w:sz w:val="30"/>
          <w:szCs w:val="30"/>
        </w:rPr>
        <w:t>.1</w:t>
      </w:r>
      <w:r>
        <w:rPr>
          <w:rFonts w:hint="eastAsia" w:ascii="Calibri Light" w:hAnsi="Calibri Light"/>
          <w:b/>
          <w:color w:val="auto"/>
          <w:sz w:val="30"/>
          <w:szCs w:val="30"/>
        </w:rPr>
        <w:t>建设项目的外部情况分析结果</w:t>
      </w:r>
      <w:bookmarkEnd w:id="185"/>
    </w:p>
    <w:p>
      <w:pPr>
        <w:keepNext/>
        <w:keepLines/>
        <w:spacing w:line="600" w:lineRule="exact"/>
        <w:jc w:val="left"/>
        <w:outlineLvl w:val="2"/>
        <w:rPr>
          <w:rFonts w:ascii="Calibri" w:hAnsi="Calibri"/>
          <w:b/>
          <w:color w:val="auto"/>
          <w:sz w:val="28"/>
          <w:szCs w:val="32"/>
        </w:rPr>
      </w:pPr>
      <w:bookmarkStart w:id="186" w:name="_Toc144109203"/>
      <w:r>
        <w:rPr>
          <w:rFonts w:hint="eastAsia" w:ascii="Calibri" w:hAnsi="Calibri"/>
          <w:b/>
          <w:color w:val="auto"/>
          <w:sz w:val="28"/>
          <w:szCs w:val="32"/>
        </w:rPr>
        <w:t>7</w:t>
      </w:r>
      <w:r>
        <w:rPr>
          <w:rFonts w:ascii="Calibri" w:hAnsi="Calibri"/>
          <w:b/>
          <w:color w:val="auto"/>
          <w:sz w:val="28"/>
          <w:szCs w:val="32"/>
        </w:rPr>
        <w:t>.1.1</w:t>
      </w:r>
      <w:r>
        <w:rPr>
          <w:rFonts w:hint="eastAsia" w:ascii="Calibri" w:hAnsi="Calibri"/>
          <w:b/>
          <w:color w:val="auto"/>
          <w:sz w:val="28"/>
          <w:szCs w:val="32"/>
        </w:rPr>
        <w:t>自然条件</w:t>
      </w:r>
      <w:bookmarkEnd w:id="186"/>
    </w:p>
    <w:p>
      <w:pPr>
        <w:adjustRightInd w:val="0"/>
        <w:snapToGrid w:val="0"/>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1. 地形地貌</w:t>
      </w:r>
    </w:p>
    <w:p>
      <w:pPr>
        <w:autoSpaceDE w:val="0"/>
        <w:autoSpaceDN w:val="0"/>
        <w:adjustRightInd w:val="0"/>
        <w:snapToGrid w:val="0"/>
        <w:spacing w:line="520" w:lineRule="exact"/>
        <w:ind w:firstLine="560" w:firstLineChars="200"/>
        <w:rPr>
          <w:color w:val="auto"/>
          <w:sz w:val="28"/>
          <w:szCs w:val="28"/>
        </w:rPr>
      </w:pPr>
      <w:r>
        <w:rPr>
          <w:color w:val="auto"/>
          <w:sz w:val="28"/>
          <w:szCs w:val="28"/>
        </w:rPr>
        <w:t>新干盐化工业城地形属低丘山地，区内有多座小山包，山脊、沟谷纵横交错，总体地势东高西低。盐化工业城场地南面到北面长约11公里，东西宽处约2公里。场地南半部有多座小山包，高差较大，最高海拔标高达100m，最低35.0m。场地北半部较为平坦，海拔标高一般在50～70m之间。大部分沟谷中无长年性流水，仅在雨季形成暂时性地表流水。</w:t>
      </w:r>
    </w:p>
    <w:p>
      <w:pPr>
        <w:autoSpaceDE w:val="0"/>
        <w:autoSpaceDN w:val="0"/>
        <w:adjustRightInd w:val="0"/>
        <w:snapToGrid w:val="0"/>
        <w:spacing w:line="520" w:lineRule="exact"/>
        <w:ind w:firstLine="560" w:firstLineChars="200"/>
        <w:rPr>
          <w:color w:val="auto"/>
          <w:sz w:val="28"/>
          <w:szCs w:val="28"/>
        </w:rPr>
      </w:pPr>
      <w:r>
        <w:rPr>
          <w:color w:val="auto"/>
          <w:sz w:val="28"/>
          <w:szCs w:val="28"/>
        </w:rPr>
        <w:t>拟建场地原为丘陵地形，场地内有多处山丘和低洼地，高程在53.00～85.20之间。目前场地地貌属岗丘，工程建设场地目前</w:t>
      </w:r>
      <w:r>
        <w:rPr>
          <w:rFonts w:hint="eastAsia"/>
          <w:color w:val="auto"/>
          <w:sz w:val="28"/>
          <w:szCs w:val="28"/>
        </w:rPr>
        <w:t>已</w:t>
      </w:r>
      <w:r>
        <w:rPr>
          <w:color w:val="auto"/>
          <w:sz w:val="28"/>
          <w:szCs w:val="28"/>
        </w:rPr>
        <w:t>平整。</w:t>
      </w:r>
    </w:p>
    <w:p>
      <w:pPr>
        <w:autoSpaceDE w:val="0"/>
        <w:autoSpaceDN w:val="0"/>
        <w:adjustRightInd w:val="0"/>
        <w:snapToGrid w:val="0"/>
        <w:spacing w:line="520" w:lineRule="exact"/>
        <w:ind w:firstLine="560" w:firstLineChars="200"/>
        <w:rPr>
          <w:color w:val="auto"/>
          <w:sz w:val="28"/>
          <w:szCs w:val="28"/>
        </w:rPr>
      </w:pPr>
      <w:r>
        <w:rPr>
          <w:color w:val="auto"/>
          <w:sz w:val="28"/>
          <w:szCs w:val="28"/>
        </w:rPr>
        <w:t>场地内未见不良地质现象存在，未见活动性断裂存在，无地下人工采空区。</w:t>
      </w:r>
    </w:p>
    <w:p>
      <w:pPr>
        <w:autoSpaceDE w:val="0"/>
        <w:autoSpaceDN w:val="0"/>
        <w:adjustRightInd w:val="0"/>
        <w:snapToGrid w:val="0"/>
        <w:spacing w:line="520" w:lineRule="exact"/>
        <w:ind w:firstLine="560" w:firstLineChars="200"/>
        <w:rPr>
          <w:color w:val="auto"/>
          <w:sz w:val="28"/>
          <w:szCs w:val="28"/>
        </w:rPr>
      </w:pPr>
      <w:r>
        <w:rPr>
          <w:color w:val="auto"/>
          <w:sz w:val="28"/>
          <w:szCs w:val="28"/>
        </w:rPr>
        <w:t>工程所在地为位于江西新干县盐化工业城，主要厂房基础置于粉质粘土层。</w:t>
      </w:r>
    </w:p>
    <w:p>
      <w:pPr>
        <w:adjustRightInd w:val="0"/>
        <w:snapToGrid w:val="0"/>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2.工程地质</w:t>
      </w:r>
    </w:p>
    <w:p>
      <w:pPr>
        <w:autoSpaceDE w:val="0"/>
        <w:autoSpaceDN w:val="0"/>
        <w:adjustRightInd w:val="0"/>
        <w:snapToGrid w:val="0"/>
        <w:spacing w:line="520" w:lineRule="exact"/>
        <w:ind w:firstLine="560" w:firstLineChars="200"/>
        <w:rPr>
          <w:color w:val="auto"/>
          <w:sz w:val="28"/>
          <w:szCs w:val="28"/>
        </w:rPr>
      </w:pPr>
      <w:r>
        <w:rPr>
          <w:color w:val="auto"/>
          <w:sz w:val="28"/>
          <w:szCs w:val="28"/>
        </w:rPr>
        <w:t>新干盐化工业城低洼沟谷处由粘土、亚砂土、流砂及卵石组成，厚度2～10m。山坡地质由砂砾岩组成，厚度202～408m。岩层倾角平缓，地质结构稳定，无沉陷、滑坡现象。</w:t>
      </w:r>
    </w:p>
    <w:p>
      <w:pPr>
        <w:autoSpaceDE w:val="0"/>
        <w:autoSpaceDN w:val="0"/>
        <w:adjustRightInd w:val="0"/>
        <w:snapToGrid w:val="0"/>
        <w:spacing w:line="520" w:lineRule="exact"/>
        <w:ind w:firstLine="560" w:firstLineChars="200"/>
        <w:rPr>
          <w:color w:val="auto"/>
          <w:sz w:val="28"/>
          <w:szCs w:val="28"/>
        </w:rPr>
      </w:pPr>
      <w:r>
        <w:rPr>
          <w:color w:val="auto"/>
          <w:sz w:val="28"/>
          <w:szCs w:val="28"/>
        </w:rPr>
        <w:t>场地地层岩性：上覆第四系（Q）土层，为粉质粘土，下伏岩层为白垩系（K）红砂岩等，工程地质条件良好。</w:t>
      </w:r>
    </w:p>
    <w:p>
      <w:pPr>
        <w:adjustRightInd w:val="0"/>
        <w:snapToGrid w:val="0"/>
        <w:spacing w:line="360" w:lineRule="auto"/>
        <w:ind w:firstLine="560" w:firstLineChars="200"/>
        <w:jc w:val="left"/>
        <w:rPr>
          <w:rFonts w:ascii="宋体" w:hAnsi="宋体"/>
          <w:b/>
          <w:color w:val="auto"/>
          <w:sz w:val="28"/>
          <w:szCs w:val="28"/>
        </w:rPr>
      </w:pPr>
      <w:r>
        <w:rPr>
          <w:rFonts w:hint="eastAsia" w:ascii="宋体" w:hAnsi="宋体"/>
          <w:color w:val="auto"/>
          <w:sz w:val="28"/>
          <w:szCs w:val="28"/>
        </w:rPr>
        <w:t>3.</w:t>
      </w:r>
      <w:r>
        <w:rPr>
          <w:rFonts w:hint="eastAsia" w:ascii="宋体" w:hAnsi="宋体"/>
          <w:b/>
          <w:color w:val="auto"/>
          <w:sz w:val="28"/>
          <w:szCs w:val="28"/>
        </w:rPr>
        <w:t>水文</w:t>
      </w:r>
    </w:p>
    <w:p>
      <w:pPr>
        <w:spacing w:line="520" w:lineRule="exact"/>
        <w:ind w:firstLine="560" w:firstLineChars="200"/>
        <w:rPr>
          <w:color w:val="auto"/>
          <w:sz w:val="28"/>
          <w:szCs w:val="28"/>
        </w:rPr>
      </w:pPr>
      <w:r>
        <w:rPr>
          <w:color w:val="auto"/>
          <w:sz w:val="28"/>
          <w:szCs w:val="28"/>
        </w:rPr>
        <w:t>新干盐化工业城地下水主要有第四系潜水—微承压水孔隙含水层，基岩裂隙—孔隙含水层，地下水主要补给来源为大气降水，水量及水位随季节变化有所改变。据已有的水质分析结果，其化学指标和细菌指标均符合饮用水标准，符合化工行业用水和生活用水要求。地下水类型为Cl.Hco3-Ca型水，对钢筋混凝土结构无腐蚀性，对钢结构具弱腐蚀性。因此，盐化工业城地下水对工程建设影响不大。</w:t>
      </w:r>
      <w:r>
        <w:rPr>
          <w:rFonts w:hint="eastAsia"/>
          <w:color w:val="auto"/>
          <w:sz w:val="28"/>
          <w:szCs w:val="28"/>
        </w:rPr>
        <w:t>盐化工业城</w:t>
      </w:r>
      <w:r>
        <w:rPr>
          <w:color w:val="auto"/>
          <w:sz w:val="28"/>
          <w:szCs w:val="28"/>
        </w:rPr>
        <w:t>以西约1.7km处赣江的最高水位37.71m；最低水位26.57m，工业城最高水位30.5m。</w:t>
      </w:r>
    </w:p>
    <w:p>
      <w:pPr>
        <w:spacing w:line="520" w:lineRule="exact"/>
        <w:ind w:firstLine="560" w:firstLineChars="200"/>
        <w:rPr>
          <w:color w:val="auto"/>
          <w:sz w:val="28"/>
          <w:szCs w:val="28"/>
        </w:rPr>
      </w:pPr>
      <w:r>
        <w:rPr>
          <w:color w:val="auto"/>
          <w:sz w:val="28"/>
          <w:szCs w:val="28"/>
        </w:rPr>
        <w:t>离新干盐化工业城西边200m处的山脚边是赣江古河道，地下水与现赣江地下水连成一网系，地下水资源十分丰富，地下水位离地表约2～6m左右。</w:t>
      </w:r>
    </w:p>
    <w:p>
      <w:pPr>
        <w:spacing w:line="520" w:lineRule="exact"/>
        <w:ind w:firstLine="560" w:firstLineChars="200"/>
        <w:rPr>
          <w:color w:val="auto"/>
          <w:sz w:val="28"/>
          <w:szCs w:val="28"/>
        </w:rPr>
      </w:pPr>
      <w:r>
        <w:rPr>
          <w:color w:val="auto"/>
          <w:sz w:val="28"/>
          <w:szCs w:val="28"/>
        </w:rPr>
        <w:t>赣江南北流贯江西省，包括贡水在内全长751公里，是长江的第7大支流，也是江西省最大的河流，流域面积8.35万平方公里，占江西省面积的51％。以万安、新干为界，分为上游、中游、下游三段。</w:t>
      </w:r>
    </w:p>
    <w:p>
      <w:pPr>
        <w:spacing w:line="520" w:lineRule="exact"/>
        <w:ind w:firstLine="560" w:firstLineChars="200"/>
        <w:rPr>
          <w:color w:val="auto"/>
          <w:sz w:val="28"/>
          <w:szCs w:val="28"/>
        </w:rPr>
      </w:pPr>
      <w:r>
        <w:rPr>
          <w:color w:val="auto"/>
          <w:sz w:val="28"/>
          <w:szCs w:val="28"/>
        </w:rPr>
        <w:t>赣水东源贡水为赣江正源，出武夷山黄竹岭，由绵水和湘水汇合而成。西源章水出大庾岭。章、贡两水在赣州市汇合后曲折北流，经吉安市、樟树市、丰城市到南昌市，分四条支流注入鄱阳湖。全长991公里，其中干流长751公里，流域面积8.35万平方千米。水能蕴藏量360万千瓦。干流上可常年通行100～300吨的轮驳船队和客船。江上建有江西省最大的水电站——万安水电站。</w:t>
      </w:r>
    </w:p>
    <w:p>
      <w:pPr>
        <w:adjustRightInd w:val="0"/>
        <w:snapToGrid w:val="0"/>
        <w:spacing w:line="360" w:lineRule="auto"/>
        <w:ind w:firstLine="560" w:firstLineChars="200"/>
        <w:jc w:val="left"/>
        <w:rPr>
          <w:rFonts w:ascii="黑体" w:hAnsi="宋体" w:eastAsia="黑体"/>
          <w:color w:val="auto"/>
          <w:sz w:val="28"/>
          <w:szCs w:val="28"/>
        </w:rPr>
      </w:pPr>
      <w:r>
        <w:rPr>
          <w:rFonts w:hint="eastAsia" w:ascii="黑体" w:hAnsi="黑体" w:eastAsia="黑体"/>
          <w:color w:val="auto"/>
          <w:sz w:val="28"/>
          <w:szCs w:val="28"/>
        </w:rPr>
        <w:t>4.气象条件</w:t>
      </w:r>
    </w:p>
    <w:p>
      <w:pPr>
        <w:spacing w:line="520" w:lineRule="exact"/>
        <w:ind w:firstLine="560" w:firstLineChars="200"/>
        <w:rPr>
          <w:color w:val="auto"/>
          <w:sz w:val="28"/>
          <w:szCs w:val="28"/>
        </w:rPr>
      </w:pPr>
      <w:r>
        <w:rPr>
          <w:color w:val="auto"/>
          <w:sz w:val="28"/>
          <w:szCs w:val="28"/>
        </w:rPr>
        <w:t>新干盐化工业城所在地区属亚热带季风型气候区，气温温和，雨水充足，四季分明。根据新干县气象局统计从1971年至2007年近40年资料显示，年平均气温为17.5℃，极端最高气温40.5℃，极端最低气温-9.1℃，年平均气压1.0102×10</w:t>
      </w:r>
      <w:r>
        <w:rPr>
          <w:color w:val="auto"/>
          <w:sz w:val="28"/>
          <w:szCs w:val="28"/>
          <w:vertAlign w:val="superscript"/>
        </w:rPr>
        <w:t>5</w:t>
      </w:r>
      <w:r>
        <w:rPr>
          <w:color w:val="auto"/>
          <w:sz w:val="28"/>
          <w:szCs w:val="28"/>
        </w:rPr>
        <w:t>Pa，年平均降雨量为1604.5mm，年平均蒸发量为1425.9mm，降雨量季节分布不均，以2～7月份降雨量最为集中，降水量约占全年总降水量的50%，年平均无霜期283天。其它极端参数为：</w:t>
      </w:r>
    </w:p>
    <w:p>
      <w:pPr>
        <w:spacing w:line="520" w:lineRule="exact"/>
        <w:ind w:firstLine="560" w:firstLineChars="200"/>
        <w:rPr>
          <w:color w:val="auto"/>
          <w:sz w:val="28"/>
          <w:szCs w:val="28"/>
        </w:rPr>
      </w:pPr>
      <w:r>
        <w:rPr>
          <w:color w:val="auto"/>
          <w:sz w:val="28"/>
          <w:szCs w:val="28"/>
        </w:rPr>
        <w:t>最热月(七月)平均气温：29.5℃</w:t>
      </w:r>
    </w:p>
    <w:p>
      <w:pPr>
        <w:spacing w:line="520" w:lineRule="exact"/>
        <w:ind w:firstLine="560" w:firstLineChars="200"/>
        <w:rPr>
          <w:color w:val="auto"/>
          <w:sz w:val="28"/>
          <w:szCs w:val="28"/>
        </w:rPr>
      </w:pPr>
      <w:r>
        <w:rPr>
          <w:color w:val="auto"/>
          <w:sz w:val="28"/>
          <w:szCs w:val="28"/>
        </w:rPr>
        <w:t>最热月平均相对湿度：79%</w:t>
      </w:r>
    </w:p>
    <w:p>
      <w:pPr>
        <w:spacing w:line="520" w:lineRule="exact"/>
        <w:ind w:firstLine="560" w:firstLineChars="200"/>
        <w:rPr>
          <w:color w:val="auto"/>
          <w:sz w:val="28"/>
          <w:szCs w:val="28"/>
        </w:rPr>
      </w:pPr>
      <w:r>
        <w:rPr>
          <w:color w:val="auto"/>
          <w:sz w:val="28"/>
          <w:szCs w:val="28"/>
        </w:rPr>
        <w:t>最冷月(一月)平均气温：5.6℃</w:t>
      </w:r>
    </w:p>
    <w:p>
      <w:pPr>
        <w:spacing w:line="520" w:lineRule="exact"/>
        <w:ind w:firstLine="560" w:firstLineChars="200"/>
        <w:rPr>
          <w:color w:val="auto"/>
          <w:sz w:val="28"/>
          <w:szCs w:val="28"/>
        </w:rPr>
      </w:pPr>
      <w:r>
        <w:rPr>
          <w:color w:val="auto"/>
          <w:sz w:val="28"/>
          <w:szCs w:val="28"/>
        </w:rPr>
        <w:t>五分钟最大降雨量：13.88mm</w:t>
      </w:r>
    </w:p>
    <w:p>
      <w:pPr>
        <w:spacing w:line="520" w:lineRule="exact"/>
        <w:ind w:firstLine="560" w:firstLineChars="200"/>
        <w:rPr>
          <w:color w:val="auto"/>
          <w:sz w:val="28"/>
          <w:szCs w:val="28"/>
        </w:rPr>
      </w:pPr>
      <w:r>
        <w:rPr>
          <w:color w:val="auto"/>
          <w:sz w:val="28"/>
          <w:szCs w:val="28"/>
        </w:rPr>
        <w:t>小时最大降雨量：74.3mm</w:t>
      </w:r>
    </w:p>
    <w:p>
      <w:pPr>
        <w:spacing w:line="520" w:lineRule="exact"/>
        <w:ind w:firstLine="560" w:firstLineChars="200"/>
        <w:rPr>
          <w:color w:val="auto"/>
          <w:sz w:val="28"/>
          <w:szCs w:val="28"/>
        </w:rPr>
      </w:pPr>
      <w:r>
        <w:rPr>
          <w:color w:val="auto"/>
          <w:sz w:val="28"/>
          <w:szCs w:val="28"/>
        </w:rPr>
        <w:t>瞬时最大风速：34.0m/s</w:t>
      </w:r>
    </w:p>
    <w:p>
      <w:pPr>
        <w:spacing w:line="520" w:lineRule="exact"/>
        <w:ind w:firstLine="560" w:firstLineChars="200"/>
        <w:rPr>
          <w:color w:val="auto"/>
          <w:sz w:val="28"/>
          <w:szCs w:val="28"/>
        </w:rPr>
      </w:pPr>
      <w:r>
        <w:rPr>
          <w:color w:val="auto"/>
          <w:sz w:val="28"/>
          <w:szCs w:val="28"/>
        </w:rPr>
        <w:t>10分钟平均最大风速：24.0m/s</w:t>
      </w:r>
    </w:p>
    <w:p>
      <w:pPr>
        <w:spacing w:line="520" w:lineRule="exact"/>
        <w:ind w:firstLine="560" w:firstLineChars="200"/>
        <w:rPr>
          <w:color w:val="auto"/>
          <w:sz w:val="28"/>
          <w:szCs w:val="28"/>
        </w:rPr>
      </w:pPr>
      <w:r>
        <w:rPr>
          <w:color w:val="auto"/>
          <w:sz w:val="28"/>
          <w:szCs w:val="28"/>
        </w:rPr>
        <w:t>平均风速2.0m/s，常年主导风向为东北偏北风，夏季主导风向以东风为主</w:t>
      </w:r>
    </w:p>
    <w:p>
      <w:pPr>
        <w:spacing w:line="520" w:lineRule="exact"/>
        <w:ind w:firstLine="560" w:firstLineChars="200"/>
        <w:rPr>
          <w:color w:val="auto"/>
          <w:sz w:val="28"/>
          <w:szCs w:val="28"/>
        </w:rPr>
      </w:pPr>
      <w:r>
        <w:rPr>
          <w:color w:val="auto"/>
          <w:sz w:val="28"/>
          <w:szCs w:val="28"/>
        </w:rPr>
        <w:t>年平均雷暴日：69.9d/a</w:t>
      </w:r>
    </w:p>
    <w:p>
      <w:pPr>
        <w:adjustRightInd w:val="0"/>
        <w:snapToGrid w:val="0"/>
        <w:spacing w:line="360" w:lineRule="auto"/>
        <w:ind w:firstLine="560" w:firstLineChars="200"/>
        <w:jc w:val="left"/>
        <w:rPr>
          <w:rFonts w:ascii="黑体" w:eastAsia="黑体"/>
          <w:color w:val="auto"/>
          <w:sz w:val="28"/>
          <w:szCs w:val="28"/>
        </w:rPr>
      </w:pPr>
      <w:r>
        <w:rPr>
          <w:rFonts w:hint="eastAsia" w:ascii="黑体" w:hAnsi="黑体" w:eastAsia="黑体"/>
          <w:color w:val="auto"/>
          <w:sz w:val="28"/>
          <w:szCs w:val="28"/>
        </w:rPr>
        <w:t>5.地震烈度</w:t>
      </w:r>
    </w:p>
    <w:p>
      <w:pPr>
        <w:ind w:firstLine="560" w:firstLineChars="200"/>
        <w:rPr>
          <w:color w:val="auto"/>
        </w:rPr>
      </w:pPr>
      <w:r>
        <w:rPr>
          <w:color w:val="auto"/>
          <w:sz w:val="28"/>
          <w:szCs w:val="28"/>
        </w:rPr>
        <w:t>根据江西省地震局、江西省建设厅编制和出版的《江西省地震参数区划划工作用图》标示，该地区地震烈度</w:t>
      </w:r>
      <w:r>
        <w:rPr>
          <w:rFonts w:hint="eastAsia"/>
          <w:color w:val="auto"/>
          <w:sz w:val="28"/>
          <w:szCs w:val="28"/>
        </w:rPr>
        <w:t>为</w:t>
      </w:r>
      <w:r>
        <w:rPr>
          <w:color w:val="auto"/>
          <w:sz w:val="28"/>
          <w:szCs w:val="28"/>
        </w:rPr>
        <w:t>6度（地震动参数小于0.05g），地壳稳定性较好，工程设计烈度可按6度进行抗震设防。</w:t>
      </w:r>
    </w:p>
    <w:p>
      <w:pPr>
        <w:keepNext/>
        <w:keepLines/>
        <w:spacing w:line="600" w:lineRule="exact"/>
        <w:jc w:val="left"/>
        <w:outlineLvl w:val="2"/>
        <w:rPr>
          <w:rFonts w:ascii="Calibri" w:hAnsi="Calibri"/>
          <w:b/>
          <w:color w:val="auto"/>
          <w:sz w:val="28"/>
          <w:szCs w:val="32"/>
        </w:rPr>
      </w:pPr>
      <w:bookmarkStart w:id="187" w:name="_Toc144109204"/>
      <w:r>
        <w:rPr>
          <w:rFonts w:hint="eastAsia" w:ascii="Calibri" w:hAnsi="Calibri"/>
          <w:b/>
          <w:color w:val="auto"/>
          <w:sz w:val="28"/>
          <w:szCs w:val="32"/>
        </w:rPr>
        <w:t>7</w:t>
      </w:r>
      <w:r>
        <w:rPr>
          <w:rFonts w:ascii="Calibri" w:hAnsi="Calibri"/>
          <w:b/>
          <w:color w:val="auto"/>
          <w:sz w:val="28"/>
          <w:szCs w:val="32"/>
        </w:rPr>
        <w:t>.1.2</w:t>
      </w:r>
      <w:r>
        <w:rPr>
          <w:rFonts w:hint="eastAsia" w:ascii="Calibri" w:hAnsi="Calibri"/>
          <w:b/>
          <w:color w:val="auto"/>
          <w:sz w:val="28"/>
          <w:szCs w:val="32"/>
        </w:rPr>
        <w:t>周边环境</w:t>
      </w:r>
      <w:bookmarkEnd w:id="187"/>
    </w:p>
    <w:p>
      <w:pPr>
        <w:pStyle w:val="18"/>
        <w:spacing w:after="0" w:line="360" w:lineRule="auto"/>
        <w:ind w:left="0" w:leftChars="0" w:firstLine="560" w:firstLineChars="200"/>
        <w:rPr>
          <w:rFonts w:ascii="宋体" w:hAnsi="宋体"/>
          <w:color w:val="auto"/>
          <w:sz w:val="28"/>
          <w:szCs w:val="28"/>
        </w:rPr>
      </w:pPr>
      <w:r>
        <w:rPr>
          <w:rFonts w:hint="eastAsia" w:ascii="宋体" w:hAnsi="宋体"/>
          <w:color w:val="auto"/>
          <w:sz w:val="28"/>
          <w:szCs w:val="28"/>
        </w:rPr>
        <w:t>该项目拟建设地点位于江西省吉安市新干县盐化工业城，项目占地为</w:t>
      </w:r>
      <w:r>
        <w:rPr>
          <w:rFonts w:ascii="宋体" w:hAnsi="宋体"/>
          <w:color w:val="auto"/>
          <w:sz w:val="28"/>
          <w:szCs w:val="28"/>
        </w:rPr>
        <w:t>32456.83</w:t>
      </w:r>
      <w:r>
        <w:rPr>
          <w:rFonts w:hint="eastAsia" w:ascii="宋体" w:hAnsi="宋体"/>
          <w:color w:val="auto"/>
          <w:sz w:val="28"/>
          <w:szCs w:val="28"/>
        </w:rPr>
        <w:t>m</w:t>
      </w:r>
      <w:r>
        <w:rPr>
          <w:rFonts w:ascii="宋体" w:hAnsi="宋体"/>
          <w:color w:val="auto"/>
          <w:sz w:val="28"/>
          <w:szCs w:val="28"/>
          <w:vertAlign w:val="superscript"/>
        </w:rPr>
        <w:t>2</w:t>
      </w:r>
      <w:r>
        <w:rPr>
          <w:rFonts w:hint="eastAsia" w:ascii="宋体" w:hAnsi="宋体"/>
          <w:color w:val="auto"/>
          <w:sz w:val="28"/>
          <w:szCs w:val="28"/>
        </w:rPr>
        <w:t>。该项目场地西侧为江西双佳科技股份有限公司，两公司共围墙，该项目</w:t>
      </w:r>
      <w:r>
        <w:rPr>
          <w:rFonts w:ascii="宋体" w:hAnsi="宋体"/>
          <w:color w:val="auto"/>
          <w:sz w:val="28"/>
          <w:szCs w:val="28"/>
        </w:rPr>
        <w:t>201</w:t>
      </w:r>
      <w:r>
        <w:rPr>
          <w:rFonts w:hint="eastAsia" w:ascii="宋体" w:hAnsi="宋体"/>
          <w:color w:val="auto"/>
          <w:sz w:val="28"/>
          <w:szCs w:val="28"/>
        </w:rPr>
        <w:t>甲类仓库一距离江西双佳科技股份有限公司最近丁类仓库为</w:t>
      </w:r>
      <w:r>
        <w:rPr>
          <w:rFonts w:ascii="宋体" w:hAnsi="宋体"/>
          <w:color w:val="auto"/>
          <w:sz w:val="28"/>
          <w:szCs w:val="28"/>
        </w:rPr>
        <w:t>29.7</w:t>
      </w:r>
      <w:r>
        <w:rPr>
          <w:rFonts w:hint="eastAsia" w:ascii="宋体" w:hAnsi="宋体"/>
          <w:color w:val="auto"/>
          <w:sz w:val="28"/>
          <w:szCs w:val="28"/>
        </w:rPr>
        <w:t>m。东侧为盐化大道，隔道路对面为江西新富凯科技有限公司和江西明亮亚克力有限公司，企业围墙距离为</w:t>
      </w:r>
      <w:r>
        <w:rPr>
          <w:rFonts w:ascii="宋体" w:hAnsi="宋体"/>
          <w:color w:val="auto"/>
          <w:sz w:val="28"/>
          <w:szCs w:val="28"/>
        </w:rPr>
        <w:t>55</w:t>
      </w:r>
      <w:r>
        <w:rPr>
          <w:rFonts w:hint="eastAsia" w:ascii="宋体" w:hAnsi="宋体"/>
          <w:color w:val="auto"/>
          <w:sz w:val="28"/>
          <w:szCs w:val="28"/>
        </w:rPr>
        <w:t>m。厂区东侧沿盐化大道存在国防光缆，距离该项目场地</w:t>
      </w:r>
      <w:r>
        <w:rPr>
          <w:rFonts w:ascii="宋体" w:hAnsi="宋体"/>
          <w:color w:val="auto"/>
          <w:sz w:val="28"/>
          <w:szCs w:val="28"/>
        </w:rPr>
        <w:t>15.4</w:t>
      </w:r>
      <w:r>
        <w:rPr>
          <w:rFonts w:hint="eastAsia" w:ascii="宋体" w:hAnsi="宋体"/>
          <w:color w:val="auto"/>
          <w:sz w:val="28"/>
          <w:szCs w:val="28"/>
        </w:rPr>
        <w:t>m；同时存在一1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w:t>
      </w:r>
      <w:r>
        <w:rPr>
          <w:rFonts w:hint="eastAsia" w:ascii="宋体" w:hAnsi="宋体"/>
          <w:color w:val="auto"/>
          <w:sz w:val="28"/>
          <w:szCs w:val="28"/>
          <w:lang w:val="en-US" w:eastAsia="zh-CN"/>
        </w:rPr>
        <w:t>7</w:t>
      </w:r>
      <w:r>
        <w:rPr>
          <w:rFonts w:ascii="宋体" w:hAnsi="宋体"/>
          <w:color w:val="auto"/>
          <w:sz w:val="28"/>
          <w:szCs w:val="28"/>
        </w:rPr>
        <w:t>.2</w:t>
      </w:r>
      <w:r>
        <w:rPr>
          <w:rFonts w:hint="eastAsia" w:ascii="宋体" w:hAnsi="宋体"/>
          <w:color w:val="auto"/>
          <w:sz w:val="28"/>
          <w:szCs w:val="28"/>
        </w:rPr>
        <w:t>m；厂区东侧沿盐化大道还存在园区蒸汽管道，距离该项目厂区围墙约5m。该项目场地南侧为吉安创新聚氨酯科技有限公司和吉安永翔硅业新材料有限公司，预留1</w:t>
      </w:r>
      <w:r>
        <w:rPr>
          <w:rFonts w:ascii="宋体" w:hAnsi="宋体"/>
          <w:color w:val="auto"/>
          <w:sz w:val="28"/>
          <w:szCs w:val="28"/>
        </w:rPr>
        <w:t>02</w:t>
      </w:r>
      <w:r>
        <w:rPr>
          <w:rFonts w:hint="eastAsia" w:ascii="宋体" w:hAnsi="宋体"/>
          <w:color w:val="auto"/>
          <w:sz w:val="28"/>
          <w:szCs w:val="28"/>
        </w:rPr>
        <w:t>甲类车间二距离吉安创新聚氨酯科技有限公司最近原料罐区丙类储罐3</w:t>
      </w:r>
      <w:r>
        <w:rPr>
          <w:rFonts w:ascii="宋体" w:hAnsi="宋体"/>
          <w:color w:val="auto"/>
          <w:sz w:val="28"/>
          <w:szCs w:val="28"/>
        </w:rPr>
        <w:t>8.8</w:t>
      </w:r>
      <w:r>
        <w:rPr>
          <w:rFonts w:hint="eastAsia" w:ascii="宋体" w:hAnsi="宋体"/>
          <w:color w:val="auto"/>
          <w:sz w:val="28"/>
          <w:szCs w:val="28"/>
        </w:rPr>
        <w:t>m。北侧为规划用地，厂区与规划用地中间为园区道路崛起路，北侧沿道路存在1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m），距离厂区拟建围墙3</w:t>
      </w:r>
      <w:r>
        <w:rPr>
          <w:rFonts w:ascii="宋体" w:hAnsi="宋体"/>
          <w:color w:val="auto"/>
          <w:sz w:val="28"/>
          <w:szCs w:val="28"/>
        </w:rPr>
        <w:t>0</w:t>
      </w:r>
      <w:r>
        <w:rPr>
          <w:rFonts w:hint="eastAsia" w:ascii="宋体" w:hAnsi="宋体"/>
          <w:color w:val="auto"/>
          <w:sz w:val="28"/>
          <w:szCs w:val="28"/>
        </w:rPr>
        <w:t>m；北侧沿道路同时存在园区蒸汽管道，距离项目厂区围墙约3m。最近敏感点为西侧熊家曹，距离为</w:t>
      </w:r>
      <w:r>
        <w:rPr>
          <w:rFonts w:ascii="宋体" w:hAnsi="宋体"/>
          <w:color w:val="auto"/>
          <w:sz w:val="28"/>
          <w:szCs w:val="28"/>
        </w:rPr>
        <w:t>1026</w:t>
      </w:r>
      <w:r>
        <w:rPr>
          <w:rFonts w:hint="eastAsia" w:ascii="宋体" w:hAnsi="宋体"/>
          <w:color w:val="auto"/>
          <w:sz w:val="28"/>
          <w:szCs w:val="28"/>
        </w:rPr>
        <w:t>m。</w:t>
      </w:r>
    </w:p>
    <w:p>
      <w:pPr>
        <w:pStyle w:val="18"/>
        <w:spacing w:after="0" w:line="360" w:lineRule="auto"/>
        <w:ind w:left="0" w:leftChars="0" w:firstLine="560" w:firstLineChars="200"/>
        <w:jc w:val="left"/>
        <w:rPr>
          <w:rFonts w:ascii="宋体" w:hAnsi="宋体"/>
          <w:color w:val="auto"/>
          <w:sz w:val="28"/>
          <w:szCs w:val="28"/>
        </w:rPr>
      </w:pPr>
      <w:r>
        <w:rPr>
          <w:rFonts w:hint="eastAsia" w:ascii="宋体" w:hAnsi="宋体"/>
          <w:color w:val="auto"/>
          <w:sz w:val="28"/>
          <w:szCs w:val="28"/>
        </w:rPr>
        <w:t>1）项目周边居民区分布情况</w:t>
      </w:r>
    </w:p>
    <w:p>
      <w:pPr>
        <w:pStyle w:val="91"/>
        <w:ind w:firstLine="560" w:firstLineChars="200"/>
        <w:jc w:val="left"/>
        <w:rPr>
          <w:color w:val="auto"/>
          <w:sz w:val="28"/>
          <w:szCs w:val="28"/>
        </w:rPr>
      </w:pPr>
      <w:r>
        <w:rPr>
          <w:rFonts w:hint="eastAsia"/>
          <w:color w:val="auto"/>
          <w:sz w:val="28"/>
          <w:szCs w:val="28"/>
        </w:rPr>
        <w:t>依据现场踏勘情况和该公司提供资料，</w:t>
      </w:r>
      <w:r>
        <w:rPr>
          <w:rFonts w:hint="eastAsia"/>
          <w:color w:val="auto"/>
          <w:kern w:val="2"/>
          <w:sz w:val="28"/>
          <w:szCs w:val="28"/>
        </w:rPr>
        <w:t>该项目位于</w:t>
      </w:r>
      <w:r>
        <w:rPr>
          <w:rFonts w:hint="eastAsia"/>
          <w:color w:val="auto"/>
          <w:sz w:val="28"/>
          <w:szCs w:val="28"/>
        </w:rPr>
        <w:t>新干县盐化工业城</w:t>
      </w:r>
      <w:r>
        <w:rPr>
          <w:rFonts w:hint="eastAsia"/>
          <w:color w:val="auto"/>
          <w:kern w:val="2"/>
          <w:sz w:val="28"/>
          <w:szCs w:val="28"/>
        </w:rPr>
        <w:t>化工集控区内；该公司周边</w:t>
      </w:r>
      <w:r>
        <w:rPr>
          <w:rFonts w:hint="eastAsia"/>
          <w:color w:val="auto"/>
          <w:sz w:val="28"/>
          <w:szCs w:val="28"/>
        </w:rPr>
        <w:t>500m范围内不涉及村庄、居民区、学校等人员密集场所；周边人员密集场所情况一览表：</w:t>
      </w:r>
    </w:p>
    <w:p>
      <w:pPr>
        <w:jc w:val="center"/>
        <w:rPr>
          <w:color w:val="auto"/>
        </w:rPr>
      </w:pPr>
      <w:r>
        <w:rPr>
          <w:rFonts w:hint="eastAsia" w:ascii="宋体" w:hAnsi="宋体"/>
          <w:bCs/>
          <w:color w:val="auto"/>
        </w:rPr>
        <w:t>表</w:t>
      </w:r>
      <w:r>
        <w:rPr>
          <w:rFonts w:hint="eastAsia"/>
          <w:bCs/>
          <w:color w:val="auto"/>
        </w:rPr>
        <w:t>7.1-2</w:t>
      </w:r>
      <w:r>
        <w:rPr>
          <w:rFonts w:hint="eastAsia" w:ascii="宋体" w:hAnsi="宋体"/>
          <w:bCs/>
          <w:color w:val="auto"/>
        </w:rPr>
        <w:t>该项目周边主要员密集场所标</w:t>
      </w:r>
      <w:r>
        <w:rPr>
          <w:rFonts w:hint="eastAsia" w:ascii="宋体" w:hAnsi="宋体"/>
          <w:color w:val="auto"/>
        </w:rPr>
        <w:t>一览表</w:t>
      </w:r>
    </w:p>
    <w:tbl>
      <w:tblPr>
        <w:tblStyle w:val="31"/>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88"/>
        <w:gridCol w:w="1695"/>
        <w:gridCol w:w="917"/>
        <w:gridCol w:w="1637"/>
        <w:gridCol w:w="1705"/>
        <w:gridCol w:w="846"/>
        <w:gridCol w:w="19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bidi w:val="0"/>
              <w:snapToGrid/>
              <w:spacing w:line="340" w:lineRule="exact"/>
              <w:jc w:val="center"/>
              <w:textAlignment w:val="auto"/>
              <w:rPr>
                <w:color w:val="auto"/>
              </w:rPr>
            </w:pPr>
          </w:p>
        </w:tc>
        <w:tc>
          <w:tcPr>
            <w:tcW w:w="169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bidi w:val="0"/>
              <w:snapToGrid/>
              <w:spacing w:line="340" w:lineRule="exact"/>
              <w:jc w:val="center"/>
              <w:textAlignment w:val="auto"/>
              <w:rPr>
                <w:color w:val="auto"/>
              </w:rPr>
            </w:pPr>
            <w:r>
              <w:rPr>
                <w:rFonts w:hint="eastAsia" w:ascii="宋体" w:hAnsi="宋体"/>
                <w:color w:val="auto"/>
              </w:rPr>
              <w:t>敏感目标</w:t>
            </w:r>
          </w:p>
        </w:tc>
        <w:tc>
          <w:tcPr>
            <w:tcW w:w="91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bidi w:val="0"/>
              <w:snapToGrid/>
              <w:spacing w:line="340" w:lineRule="exact"/>
              <w:jc w:val="center"/>
              <w:textAlignment w:val="auto"/>
              <w:rPr>
                <w:color w:val="auto"/>
              </w:rPr>
            </w:pPr>
            <w:r>
              <w:rPr>
                <w:rFonts w:ascii="宋体" w:hAnsi="宋体"/>
                <w:color w:val="auto"/>
              </w:rPr>
              <w:t>方位</w:t>
            </w:r>
          </w:p>
        </w:tc>
        <w:tc>
          <w:tcPr>
            <w:tcW w:w="163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bidi w:val="0"/>
              <w:snapToGrid/>
              <w:spacing w:line="340" w:lineRule="exact"/>
              <w:ind w:firstLine="6" w:firstLineChars="3"/>
              <w:jc w:val="center"/>
              <w:textAlignment w:val="auto"/>
              <w:rPr>
                <w:color w:val="auto"/>
              </w:rPr>
            </w:pPr>
            <w:r>
              <w:rPr>
                <w:rFonts w:hint="eastAsia" w:ascii="宋体" w:hAnsi="宋体"/>
                <w:color w:val="auto"/>
              </w:rPr>
              <w:t>厂界</w:t>
            </w:r>
            <w:r>
              <w:rPr>
                <w:rFonts w:ascii="宋体" w:hAnsi="宋体"/>
                <w:color w:val="auto"/>
              </w:rPr>
              <w:t>距离（</w:t>
            </w:r>
            <w:r>
              <w:rPr>
                <w:color w:val="auto"/>
              </w:rPr>
              <w:t>m</w:t>
            </w:r>
            <w:r>
              <w:rPr>
                <w:rFonts w:ascii="宋体" w:hAnsi="宋体"/>
                <w:color w:val="auto"/>
              </w:rPr>
              <w:t>）</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bidi w:val="0"/>
              <w:snapToGrid/>
              <w:spacing w:line="340" w:lineRule="exact"/>
              <w:jc w:val="center"/>
              <w:textAlignment w:val="auto"/>
              <w:rPr>
                <w:color w:val="auto"/>
              </w:rPr>
            </w:pPr>
            <w:r>
              <w:rPr>
                <w:rFonts w:hint="eastAsia" w:ascii="宋体" w:hAnsi="宋体"/>
                <w:color w:val="auto"/>
              </w:rPr>
              <w:t>该项目甲乙类装置车间距离</w:t>
            </w:r>
            <w:r>
              <w:rPr>
                <w:rFonts w:hint="eastAsia"/>
                <w:color w:val="auto"/>
              </w:rPr>
              <w:t>/</w:t>
            </w:r>
            <w:r>
              <w:rPr>
                <w:color w:val="auto"/>
              </w:rPr>
              <w:t>m</w:t>
            </w:r>
          </w:p>
        </w:tc>
        <w:tc>
          <w:tcPr>
            <w:tcW w:w="84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bidi w:val="0"/>
              <w:snapToGrid/>
              <w:spacing w:line="340" w:lineRule="exact"/>
              <w:jc w:val="center"/>
              <w:textAlignment w:val="auto"/>
              <w:rPr>
                <w:color w:val="auto"/>
              </w:rPr>
            </w:pPr>
            <w:r>
              <w:rPr>
                <w:rFonts w:ascii="宋体" w:hAnsi="宋体"/>
                <w:color w:val="auto"/>
              </w:rPr>
              <w:t>规模</w:t>
            </w:r>
            <w:r>
              <w:rPr>
                <w:rFonts w:hint="eastAsia" w:ascii="宋体" w:hAnsi="宋体"/>
                <w:color w:val="auto"/>
              </w:rPr>
              <w:t>（人）</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bidi w:val="0"/>
              <w:snapToGrid/>
              <w:spacing w:line="340" w:lineRule="exact"/>
              <w:jc w:val="center"/>
              <w:textAlignment w:val="auto"/>
              <w:rPr>
                <w:color w:val="auto"/>
              </w:rPr>
            </w:pPr>
            <w:r>
              <w:rPr>
                <w:rFonts w:hint="eastAsia" w:ascii="宋体" w:hAnsi="宋体"/>
                <w:color w:val="auto"/>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后岭</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2290</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2371</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158</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庄里村</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2439</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2515</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850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陈家</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2124</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2185</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210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黄家</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1633</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1683</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85</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徐家</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1299</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1357</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60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湾里</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1410</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1426</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80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公租房丽江小区</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宋体"/>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1846</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1897</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1600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堆背村</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S</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1414</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1425</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250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谭家</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SW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1765</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1780</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108</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淳丰</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SW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2385</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2402</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45</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溧溪</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SW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1745</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1752</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255</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石口村</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2033</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2048</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500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熊家曹</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1026</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1041</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432</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塘边</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1258</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1273</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175</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瓦城</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NW</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1340</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1358</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165</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8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numPr>
                <w:ilvl w:val="0"/>
                <w:numId w:val="19"/>
              </w:numPr>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c>
          <w:tcPr>
            <w:tcW w:w="169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宋体"/>
                <w:color w:val="auto"/>
                <w:kern w:val="0"/>
              </w:rPr>
            </w:pPr>
            <w:r>
              <w:rPr>
                <w:rFonts w:hint="eastAsia" w:ascii="宋体"/>
                <w:color w:val="auto"/>
                <w:kern w:val="0"/>
              </w:rPr>
              <w:t>溧江中学</w:t>
            </w:r>
          </w:p>
        </w:tc>
        <w:tc>
          <w:tcPr>
            <w:tcW w:w="91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SE</w:t>
            </w:r>
          </w:p>
        </w:tc>
        <w:tc>
          <w:tcPr>
            <w:tcW w:w="1637"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2616</w:t>
            </w:r>
          </w:p>
        </w:tc>
        <w:tc>
          <w:tcPr>
            <w:tcW w:w="1705"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2631</w:t>
            </w:r>
          </w:p>
        </w:tc>
        <w:tc>
          <w:tcPr>
            <w:tcW w:w="84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r>
              <w:rPr>
                <w:rFonts w:hint="eastAsia" w:ascii="TimesNewRomanPSMT"/>
                <w:color w:val="auto"/>
                <w:kern w:val="0"/>
              </w:rPr>
              <w:t>200</w:t>
            </w:r>
          </w:p>
        </w:tc>
        <w:tc>
          <w:tcPr>
            <w:tcW w:w="1916"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val="0"/>
              <w:autoSpaceDN w:val="0"/>
              <w:bidi w:val="0"/>
              <w:adjustRightInd w:val="0"/>
              <w:snapToGrid/>
              <w:spacing w:line="340" w:lineRule="exact"/>
              <w:jc w:val="left"/>
              <w:textAlignment w:val="auto"/>
              <w:rPr>
                <w:rFonts w:ascii="TimesNewRomanPSMT"/>
                <w:color w:val="auto"/>
                <w:kern w:val="0"/>
              </w:rPr>
            </w:pPr>
          </w:p>
        </w:tc>
      </w:tr>
    </w:tbl>
    <w:p>
      <w:pPr>
        <w:pStyle w:val="91"/>
        <w:adjustRightInd w:val="0"/>
        <w:snapToGrid w:val="0"/>
        <w:ind w:firstLine="560" w:firstLineChars="200"/>
        <w:rPr>
          <w:color w:val="auto"/>
          <w:sz w:val="28"/>
          <w:szCs w:val="28"/>
        </w:rPr>
      </w:pPr>
      <w:r>
        <w:rPr>
          <w:rFonts w:hint="eastAsia"/>
          <w:color w:val="auto"/>
          <w:sz w:val="28"/>
          <w:szCs w:val="28"/>
        </w:rPr>
        <w:t>（2）周边企业装置分布情况</w:t>
      </w:r>
    </w:p>
    <w:p>
      <w:pPr>
        <w:adjustRightInd w:val="0"/>
        <w:snapToGrid w:val="0"/>
        <w:spacing w:line="360" w:lineRule="auto"/>
        <w:ind w:firstLine="560" w:firstLineChars="200"/>
        <w:jc w:val="left"/>
        <w:rPr>
          <w:rFonts w:ascii="宋体" w:hAnsi="宋体"/>
          <w:color w:val="auto"/>
          <w:kern w:val="0"/>
          <w:sz w:val="28"/>
          <w:szCs w:val="28"/>
        </w:rPr>
      </w:pPr>
      <w:r>
        <w:rPr>
          <w:rFonts w:hint="eastAsia" w:ascii="宋体" w:hAnsi="宋体"/>
          <w:color w:val="auto"/>
          <w:sz w:val="28"/>
          <w:szCs w:val="28"/>
        </w:rPr>
        <w:t>依据现场踏勘情况和该公司提供资料，该项目北侧</w:t>
      </w:r>
      <w:r>
        <w:rPr>
          <w:rFonts w:hint="eastAsia" w:ascii="宋体" w:hAnsi="宋体"/>
          <w:color w:val="auto"/>
          <w:kern w:val="0"/>
          <w:sz w:val="28"/>
          <w:szCs w:val="28"/>
        </w:rPr>
        <w:t>为园区道路崛起路；西侧为</w:t>
      </w:r>
      <w:r>
        <w:rPr>
          <w:rFonts w:hint="eastAsia" w:ascii="宋体" w:hAnsi="宋体"/>
          <w:color w:val="auto"/>
          <w:sz w:val="28"/>
          <w:szCs w:val="28"/>
        </w:rPr>
        <w:t>江西双佳科技股份有限公司，两公司共围墙，该项目</w:t>
      </w:r>
      <w:r>
        <w:rPr>
          <w:rFonts w:ascii="宋体" w:hAnsi="宋体"/>
          <w:color w:val="auto"/>
          <w:sz w:val="28"/>
          <w:szCs w:val="28"/>
        </w:rPr>
        <w:t>201</w:t>
      </w:r>
      <w:r>
        <w:rPr>
          <w:rFonts w:hint="eastAsia" w:ascii="宋体" w:hAnsi="宋体"/>
          <w:color w:val="auto"/>
          <w:sz w:val="28"/>
          <w:szCs w:val="28"/>
        </w:rPr>
        <w:t>甲类仓库一、1</w:t>
      </w:r>
      <w:r>
        <w:rPr>
          <w:rFonts w:ascii="宋体" w:hAnsi="宋体"/>
          <w:color w:val="auto"/>
          <w:sz w:val="28"/>
          <w:szCs w:val="28"/>
        </w:rPr>
        <w:t>01</w:t>
      </w:r>
      <w:r>
        <w:rPr>
          <w:rFonts w:hint="eastAsia" w:ascii="宋体" w:hAnsi="宋体"/>
          <w:color w:val="auto"/>
          <w:sz w:val="28"/>
          <w:szCs w:val="28"/>
        </w:rPr>
        <w:t>甲类车间一距离江西双佳科技股份有限公司最近丁类仓库分别为</w:t>
      </w:r>
      <w:r>
        <w:rPr>
          <w:rFonts w:ascii="宋体" w:hAnsi="宋体"/>
          <w:color w:val="auto"/>
          <w:sz w:val="28"/>
          <w:szCs w:val="28"/>
        </w:rPr>
        <w:t>29.7</w:t>
      </w:r>
      <w:r>
        <w:rPr>
          <w:rFonts w:hint="eastAsia" w:ascii="宋体" w:hAnsi="宋体"/>
          <w:color w:val="auto"/>
          <w:sz w:val="28"/>
          <w:szCs w:val="28"/>
        </w:rPr>
        <w:t>m、2</w:t>
      </w:r>
      <w:r>
        <w:rPr>
          <w:rFonts w:ascii="宋体" w:hAnsi="宋体"/>
          <w:color w:val="auto"/>
          <w:sz w:val="28"/>
          <w:szCs w:val="28"/>
        </w:rPr>
        <w:t>8</w:t>
      </w:r>
      <w:r>
        <w:rPr>
          <w:rFonts w:hint="eastAsia" w:ascii="宋体" w:hAnsi="宋体"/>
          <w:color w:val="auto"/>
          <w:sz w:val="28"/>
          <w:szCs w:val="28"/>
        </w:rPr>
        <w:t>m</w:t>
      </w:r>
      <w:r>
        <w:rPr>
          <w:rFonts w:hint="eastAsia" w:ascii="宋体" w:hAnsi="宋体"/>
          <w:color w:val="auto"/>
          <w:kern w:val="0"/>
          <w:sz w:val="28"/>
          <w:szCs w:val="28"/>
        </w:rPr>
        <w:t>；东侧最近为江西</w:t>
      </w:r>
      <w:r>
        <w:rPr>
          <w:rFonts w:hint="eastAsia" w:ascii="宋体" w:hAnsi="宋体"/>
          <w:color w:val="auto"/>
          <w:sz w:val="28"/>
          <w:szCs w:val="28"/>
        </w:rPr>
        <w:t>新富凯科技有限公司和江西明亮亚克力有限公司，距离项目最近2</w:t>
      </w:r>
      <w:r>
        <w:rPr>
          <w:rFonts w:ascii="宋体" w:hAnsi="宋体"/>
          <w:color w:val="auto"/>
          <w:sz w:val="28"/>
          <w:szCs w:val="28"/>
        </w:rPr>
        <w:t>0</w:t>
      </w:r>
      <w:r>
        <w:rPr>
          <w:rFonts w:hint="eastAsia" w:ascii="宋体" w:hAnsi="宋体"/>
          <w:color w:val="auto"/>
          <w:sz w:val="28"/>
          <w:szCs w:val="28"/>
          <w:lang w:val="en-US" w:eastAsia="zh-CN"/>
        </w:rPr>
        <w:t>3</w:t>
      </w:r>
      <w:r>
        <w:rPr>
          <w:rFonts w:hint="eastAsia" w:ascii="宋体" w:hAnsi="宋体"/>
          <w:color w:val="auto"/>
          <w:sz w:val="28"/>
          <w:szCs w:val="28"/>
        </w:rPr>
        <w:t>丙类仓库</w:t>
      </w:r>
      <w:r>
        <w:rPr>
          <w:rFonts w:hint="eastAsia" w:ascii="宋体" w:hAnsi="宋体"/>
          <w:color w:val="auto"/>
          <w:sz w:val="28"/>
          <w:szCs w:val="28"/>
          <w:lang w:val="en-US" w:eastAsia="zh-CN"/>
        </w:rPr>
        <w:t>一</w:t>
      </w:r>
      <w:r>
        <w:rPr>
          <w:rFonts w:hint="eastAsia" w:ascii="宋体" w:hAnsi="宋体"/>
          <w:color w:val="auto"/>
          <w:sz w:val="28"/>
          <w:szCs w:val="28"/>
        </w:rPr>
        <w:t>距离约</w:t>
      </w:r>
      <w:r>
        <w:rPr>
          <w:rFonts w:ascii="宋体" w:hAnsi="宋体"/>
          <w:color w:val="auto"/>
          <w:sz w:val="28"/>
          <w:szCs w:val="28"/>
        </w:rPr>
        <w:t>67.5</w:t>
      </w:r>
      <w:r>
        <w:rPr>
          <w:rFonts w:hint="eastAsia" w:ascii="宋体" w:hAnsi="宋体"/>
          <w:color w:val="auto"/>
          <w:sz w:val="28"/>
          <w:szCs w:val="28"/>
        </w:rPr>
        <w:t>m；南侧为吉安创新聚氨酯科技有限公司和吉安永翔硅业新材料有限公司，预留1</w:t>
      </w:r>
      <w:r>
        <w:rPr>
          <w:rFonts w:ascii="宋体" w:hAnsi="宋体"/>
          <w:color w:val="auto"/>
          <w:sz w:val="28"/>
          <w:szCs w:val="28"/>
        </w:rPr>
        <w:t>02</w:t>
      </w:r>
      <w:r>
        <w:rPr>
          <w:rFonts w:hint="eastAsia" w:ascii="宋体" w:hAnsi="宋体"/>
          <w:color w:val="auto"/>
          <w:sz w:val="28"/>
          <w:szCs w:val="28"/>
        </w:rPr>
        <w:t>甲类车间二距离吉安创新聚氨酯科技有限公司最近原料罐区丙类储罐3</w:t>
      </w:r>
      <w:r>
        <w:rPr>
          <w:rFonts w:ascii="宋体" w:hAnsi="宋体"/>
          <w:color w:val="auto"/>
          <w:sz w:val="28"/>
          <w:szCs w:val="28"/>
        </w:rPr>
        <w:t>8.8</w:t>
      </w:r>
      <w:r>
        <w:rPr>
          <w:rFonts w:hint="eastAsia" w:ascii="宋体" w:hAnsi="宋体"/>
          <w:color w:val="auto"/>
          <w:sz w:val="28"/>
          <w:szCs w:val="28"/>
        </w:rPr>
        <w:t>m</w:t>
      </w:r>
      <w:r>
        <w:rPr>
          <w:rFonts w:hint="eastAsia" w:ascii="宋体" w:hAnsi="宋体"/>
          <w:color w:val="auto"/>
          <w:kern w:val="0"/>
          <w:sz w:val="28"/>
          <w:szCs w:val="28"/>
        </w:rPr>
        <w:t>。</w:t>
      </w:r>
    </w:p>
    <w:p>
      <w:pPr>
        <w:pStyle w:val="90"/>
        <w:spacing w:before="0" w:beforeAutospacing="0" w:after="0" w:afterAutospacing="0"/>
        <w:rPr>
          <w:rFonts w:ascii="Times New Roman" w:hAnsi="宋体" w:eastAsia="宋体"/>
          <w:color w:val="auto"/>
        </w:rPr>
      </w:pPr>
      <w:r>
        <w:rPr>
          <w:rFonts w:hint="eastAsia" w:ascii="宋体" w:hAnsi="宋体" w:eastAsia="宋体"/>
          <w:color w:val="auto"/>
        </w:rPr>
        <w:t>表</w:t>
      </w:r>
      <w:r>
        <w:rPr>
          <w:rFonts w:hint="eastAsia" w:ascii="Times New Roman" w:eastAsia="宋体" w:cs="Times New Roman"/>
          <w:color w:val="auto"/>
        </w:rPr>
        <w:t xml:space="preserve">7.1-3 </w:t>
      </w:r>
      <w:r>
        <w:rPr>
          <w:rFonts w:hint="eastAsia" w:ascii="宋体" w:hAnsi="宋体" w:eastAsia="宋体"/>
          <w:color w:val="auto"/>
        </w:rPr>
        <w:t>该项目周边企业分布表</w:t>
      </w:r>
    </w:p>
    <w:tbl>
      <w:tblPr>
        <w:tblStyle w:val="31"/>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824"/>
        <w:gridCol w:w="928"/>
        <w:gridCol w:w="1330"/>
        <w:gridCol w:w="1434"/>
        <w:gridCol w:w="254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color w:val="auto"/>
              </w:rPr>
              <w:t>企业名称</w:t>
            </w:r>
          </w:p>
        </w:tc>
        <w:tc>
          <w:tcPr>
            <w:tcW w:w="928"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color w:val="auto"/>
              </w:rPr>
              <w:t>方位</w:t>
            </w:r>
          </w:p>
        </w:tc>
        <w:tc>
          <w:tcPr>
            <w:tcW w:w="1330"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color w:val="auto"/>
              </w:rPr>
              <w:t>厂界距离</w:t>
            </w:r>
            <w:r>
              <w:rPr>
                <w:rFonts w:hint="eastAsia"/>
                <w:color w:val="auto"/>
              </w:rPr>
              <w:t>m</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ascii="宋体" w:hAnsi="宋体"/>
                <w:color w:val="auto"/>
              </w:rPr>
              <w:t>与该项目间距</w:t>
            </w:r>
            <w:r>
              <w:rPr>
                <w:color w:val="auto"/>
              </w:rPr>
              <w:t>m</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ascii="宋体" w:hAnsi="宋体"/>
                <w:color w:val="auto"/>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ascii="宋体" w:hAnsi="宋体"/>
                <w:color w:val="auto"/>
              </w:rPr>
              <w:t>江西双佳科技股份有限公司（精细化工企业）</w:t>
            </w:r>
          </w:p>
        </w:tc>
        <w:tc>
          <w:tcPr>
            <w:tcW w:w="928"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W</w:t>
            </w:r>
          </w:p>
        </w:tc>
        <w:tc>
          <w:tcPr>
            <w:tcW w:w="1330"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29.7</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hint="eastAsia" w:ascii="宋体" w:hAnsi="宋体"/>
                <w:color w:val="auto"/>
              </w:rPr>
              <w:t>江西双佳科技股份有限公司</w:t>
            </w:r>
            <w:r>
              <w:rPr>
                <w:rFonts w:hint="eastAsia" w:ascii="宋体" w:hAnsi="宋体"/>
                <w:bCs/>
                <w:color w:val="auto"/>
              </w:rPr>
              <w:t>丁类仓库与该项目2</w:t>
            </w:r>
            <w:r>
              <w:rPr>
                <w:rFonts w:ascii="宋体" w:hAnsi="宋体"/>
                <w:bCs/>
                <w:color w:val="auto"/>
              </w:rPr>
              <w:t>01</w:t>
            </w:r>
            <w:r>
              <w:rPr>
                <w:rFonts w:hint="eastAsia" w:ascii="宋体" w:hAnsi="宋体"/>
                <w:bCs/>
                <w:color w:val="auto"/>
              </w:rPr>
              <w:t>甲类仓库一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continue"/>
            <w:tcBorders>
              <w:left w:val="single" w:color="000000" w:sz="4" w:space="0"/>
              <w:bottom w:val="single" w:color="000000" w:sz="4" w:space="0"/>
              <w:right w:val="single" w:color="000000" w:sz="4" w:space="0"/>
            </w:tcBorders>
            <w:vAlign w:val="center"/>
          </w:tcPr>
          <w:p>
            <w:pPr>
              <w:jc w:val="center"/>
              <w:rPr>
                <w:rFonts w:ascii="宋体" w:hAnsi="宋体"/>
                <w:color w:val="auto"/>
              </w:rPr>
            </w:pPr>
          </w:p>
        </w:tc>
        <w:tc>
          <w:tcPr>
            <w:tcW w:w="928"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1330"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2</w:t>
            </w:r>
            <w:r>
              <w:rPr>
                <w:color w:val="auto"/>
              </w:rPr>
              <w:t>8</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olor w:val="auto"/>
              </w:rPr>
            </w:pPr>
            <w:r>
              <w:rPr>
                <w:rFonts w:hint="eastAsia" w:ascii="宋体" w:hAnsi="宋体"/>
                <w:color w:val="auto"/>
              </w:rPr>
              <w:t>江西双佳科技股份有限公司</w:t>
            </w:r>
            <w:r>
              <w:rPr>
                <w:rFonts w:hint="eastAsia" w:ascii="宋体" w:hAnsi="宋体"/>
                <w:bCs/>
                <w:color w:val="auto"/>
              </w:rPr>
              <w:t>丁类仓库与该项目</w:t>
            </w:r>
            <w:r>
              <w:rPr>
                <w:rFonts w:ascii="宋体" w:hAnsi="宋体"/>
                <w:bCs/>
                <w:color w:val="auto"/>
              </w:rPr>
              <w:t>101</w:t>
            </w:r>
            <w:r>
              <w:rPr>
                <w:rFonts w:hint="eastAsia" w:ascii="宋体" w:hAnsi="宋体"/>
                <w:bCs/>
                <w:color w:val="auto"/>
              </w:rPr>
              <w:t>甲类车间一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color w:val="auto"/>
              </w:rPr>
              <w:t>江西新富凯科技有限公司（精细化工企业）</w:t>
            </w:r>
          </w:p>
        </w:tc>
        <w:tc>
          <w:tcPr>
            <w:tcW w:w="928"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E</w:t>
            </w:r>
          </w:p>
        </w:tc>
        <w:tc>
          <w:tcPr>
            <w:tcW w:w="1330"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55</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67.5</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bCs/>
                <w:color w:val="auto"/>
                <w:lang w:eastAsia="zh-CN"/>
              </w:rPr>
            </w:pPr>
            <w:r>
              <w:rPr>
                <w:rFonts w:hint="eastAsia" w:ascii="宋体" w:hAnsi="宋体"/>
                <w:bCs/>
                <w:color w:val="auto"/>
              </w:rPr>
              <w:t>该项目最近2</w:t>
            </w:r>
            <w:r>
              <w:rPr>
                <w:rFonts w:ascii="宋体" w:hAnsi="宋体"/>
                <w:bCs/>
                <w:color w:val="auto"/>
              </w:rPr>
              <w:t>0</w:t>
            </w:r>
            <w:r>
              <w:rPr>
                <w:rFonts w:hint="eastAsia" w:ascii="宋体" w:hAnsi="宋体"/>
                <w:bCs/>
                <w:color w:val="auto"/>
                <w:lang w:val="en-US" w:eastAsia="zh-CN"/>
              </w:rPr>
              <w:t>3</w:t>
            </w:r>
            <w:r>
              <w:rPr>
                <w:rFonts w:hint="eastAsia" w:ascii="宋体" w:hAnsi="宋体"/>
                <w:bCs/>
                <w:color w:val="auto"/>
              </w:rPr>
              <w:t>丙类仓库</w:t>
            </w:r>
            <w:r>
              <w:rPr>
                <w:rFonts w:hint="eastAsia" w:ascii="宋体" w:hAnsi="宋体"/>
                <w:bCs/>
                <w:color w:val="auto"/>
                <w:lang w:val="en-US" w:eastAsia="zh-CN"/>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color w:val="auto"/>
              </w:rPr>
              <w:t>江西明亮亚克力有限公司</w:t>
            </w:r>
            <w:r>
              <w:rPr>
                <w:rFonts w:hint="eastAsia"/>
                <w:color w:val="auto"/>
              </w:rPr>
              <w:t>（精细化工企业）</w:t>
            </w:r>
          </w:p>
        </w:tc>
        <w:tc>
          <w:tcPr>
            <w:tcW w:w="928" w:type="dxa"/>
            <w:tcBorders>
              <w:top w:val="single" w:color="000000" w:sz="4" w:space="0"/>
              <w:left w:val="single" w:color="000000" w:sz="4" w:space="0"/>
              <w:bottom w:val="single" w:color="000000" w:sz="4" w:space="0"/>
              <w:right w:val="single" w:color="000000" w:sz="4" w:space="0"/>
            </w:tcBorders>
          </w:tcPr>
          <w:p>
            <w:pPr>
              <w:jc w:val="center"/>
              <w:rPr>
                <w:color w:val="auto"/>
              </w:rPr>
            </w:pPr>
            <w:r>
              <w:rPr>
                <w:rFonts w:hint="eastAsia"/>
                <w:color w:val="auto"/>
              </w:rPr>
              <w:t>E</w:t>
            </w:r>
          </w:p>
        </w:tc>
        <w:tc>
          <w:tcPr>
            <w:tcW w:w="1330" w:type="dxa"/>
            <w:tcBorders>
              <w:top w:val="single" w:color="000000" w:sz="4" w:space="0"/>
              <w:left w:val="single" w:color="000000" w:sz="4" w:space="0"/>
              <w:bottom w:val="single" w:color="000000" w:sz="4" w:space="0"/>
              <w:right w:val="single" w:color="000000" w:sz="4" w:space="0"/>
            </w:tcBorders>
          </w:tcPr>
          <w:p>
            <w:pPr>
              <w:jc w:val="center"/>
              <w:rPr>
                <w:color w:val="auto"/>
              </w:rPr>
            </w:pPr>
            <w:r>
              <w:rPr>
                <w:color w:val="auto"/>
              </w:rPr>
              <w:t>55</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67.5</w:t>
            </w:r>
          </w:p>
        </w:tc>
        <w:tc>
          <w:tcPr>
            <w:tcW w:w="2544" w:type="dxa"/>
            <w:tcBorders>
              <w:top w:val="single" w:color="000000" w:sz="4" w:space="0"/>
              <w:left w:val="single" w:color="000000" w:sz="4" w:space="0"/>
              <w:bottom w:val="single" w:color="000000" w:sz="4" w:space="0"/>
              <w:right w:val="single" w:color="000000" w:sz="4" w:space="0"/>
            </w:tcBorders>
          </w:tcPr>
          <w:p>
            <w:pPr>
              <w:rPr>
                <w:rFonts w:hint="eastAsia" w:eastAsia="宋体"/>
                <w:color w:val="auto"/>
                <w:lang w:val="en-US" w:eastAsia="zh-CN"/>
              </w:rPr>
            </w:pPr>
            <w:r>
              <w:rPr>
                <w:rFonts w:hint="eastAsia" w:ascii="宋体" w:hAnsi="宋体"/>
                <w:bCs/>
                <w:color w:val="auto"/>
              </w:rPr>
              <w:t>该项目最近2</w:t>
            </w:r>
            <w:r>
              <w:rPr>
                <w:rFonts w:ascii="宋体" w:hAnsi="宋体"/>
                <w:bCs/>
                <w:color w:val="auto"/>
              </w:rPr>
              <w:t>0</w:t>
            </w:r>
            <w:r>
              <w:rPr>
                <w:rFonts w:hint="eastAsia" w:ascii="宋体" w:hAnsi="宋体"/>
                <w:bCs/>
                <w:color w:val="auto"/>
                <w:lang w:val="en-US" w:eastAsia="zh-CN"/>
              </w:rPr>
              <w:t>3</w:t>
            </w:r>
            <w:r>
              <w:rPr>
                <w:rFonts w:hint="eastAsia" w:ascii="宋体" w:hAnsi="宋体"/>
                <w:bCs/>
                <w:color w:val="auto"/>
              </w:rPr>
              <w:t>丙类仓库</w:t>
            </w:r>
            <w:r>
              <w:rPr>
                <w:rFonts w:hint="eastAsia" w:ascii="宋体" w:hAnsi="宋体"/>
                <w:bCs/>
                <w:color w:val="auto"/>
                <w:lang w:val="en-US" w:eastAsia="zh-CN"/>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吉安创新聚氨酯科技有限公司（精细化工企业）</w:t>
            </w:r>
          </w:p>
        </w:tc>
        <w:tc>
          <w:tcPr>
            <w:tcW w:w="928" w:type="dxa"/>
            <w:tcBorders>
              <w:top w:val="single" w:color="000000" w:sz="4" w:space="0"/>
              <w:left w:val="single" w:color="000000" w:sz="4" w:space="0"/>
              <w:bottom w:val="single" w:color="000000" w:sz="4" w:space="0"/>
              <w:right w:val="single" w:color="000000" w:sz="4" w:space="0"/>
            </w:tcBorders>
          </w:tcPr>
          <w:p>
            <w:pPr>
              <w:jc w:val="center"/>
              <w:rPr>
                <w:color w:val="auto"/>
              </w:rPr>
            </w:pPr>
            <w:r>
              <w:rPr>
                <w:rFonts w:hint="eastAsia"/>
                <w:color w:val="auto"/>
              </w:rPr>
              <w:t>S</w:t>
            </w:r>
          </w:p>
        </w:tc>
        <w:tc>
          <w:tcPr>
            <w:tcW w:w="1330" w:type="dxa"/>
            <w:tcBorders>
              <w:top w:val="single" w:color="000000" w:sz="4" w:space="0"/>
              <w:left w:val="single" w:color="000000" w:sz="4" w:space="0"/>
              <w:bottom w:val="single" w:color="000000" w:sz="4" w:space="0"/>
              <w:right w:val="single" w:color="000000" w:sz="4" w:space="0"/>
            </w:tcBorders>
          </w:tcPr>
          <w:p>
            <w:pPr>
              <w:jc w:val="center"/>
              <w:rPr>
                <w:color w:val="auto"/>
              </w:rPr>
            </w:pPr>
            <w:r>
              <w:rPr>
                <w:color w:val="auto"/>
              </w:rPr>
              <w:t>-</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highlight w:val="yellow"/>
              </w:rPr>
            </w:pPr>
            <w:r>
              <w:rPr>
                <w:color w:val="auto"/>
              </w:rPr>
              <w:t>38.8</w:t>
            </w:r>
          </w:p>
        </w:tc>
        <w:tc>
          <w:tcPr>
            <w:tcW w:w="2544" w:type="dxa"/>
            <w:tcBorders>
              <w:top w:val="single" w:color="000000" w:sz="4" w:space="0"/>
              <w:left w:val="single" w:color="000000" w:sz="4" w:space="0"/>
              <w:bottom w:val="single" w:color="000000" w:sz="4" w:space="0"/>
              <w:right w:val="single" w:color="000000" w:sz="4" w:space="0"/>
            </w:tcBorders>
          </w:tcPr>
          <w:p>
            <w:pPr>
              <w:rPr>
                <w:color w:val="auto"/>
                <w:highlight w:val="yellow"/>
              </w:rPr>
            </w:pPr>
            <w:r>
              <w:rPr>
                <w:rFonts w:hint="eastAsia" w:ascii="宋体" w:hAnsi="宋体"/>
                <w:bCs/>
                <w:color w:val="auto"/>
              </w:rPr>
              <w:t>丙类储罐与预留1</w:t>
            </w:r>
            <w:r>
              <w:rPr>
                <w:rFonts w:ascii="宋体" w:hAnsi="宋体"/>
                <w:bCs/>
                <w:color w:val="auto"/>
              </w:rPr>
              <w:t>02</w:t>
            </w:r>
            <w:r>
              <w:rPr>
                <w:rFonts w:hint="eastAsia" w:ascii="宋体" w:hAnsi="宋体"/>
                <w:bCs/>
                <w:color w:val="auto"/>
              </w:rPr>
              <w:t>甲类车间二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1</w:t>
            </w:r>
            <w:r>
              <w:rPr>
                <w:color w:val="auto"/>
              </w:rPr>
              <w:t>0</w:t>
            </w:r>
            <w:r>
              <w:rPr>
                <w:rFonts w:hint="eastAsia"/>
                <w:color w:val="auto"/>
              </w:rPr>
              <w:t>KV架空电力线（杆高1</w:t>
            </w:r>
            <w:r>
              <w:rPr>
                <w:color w:val="auto"/>
              </w:rPr>
              <w:t>5</w:t>
            </w:r>
            <w:r>
              <w:rPr>
                <w:rFonts w:hint="eastAsia"/>
                <w:color w:val="auto"/>
              </w:rPr>
              <w:t>m）</w:t>
            </w:r>
          </w:p>
        </w:tc>
        <w:tc>
          <w:tcPr>
            <w:tcW w:w="928"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N</w:t>
            </w:r>
          </w:p>
        </w:tc>
        <w:tc>
          <w:tcPr>
            <w:tcW w:w="1330"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3</w:t>
            </w:r>
            <w:r>
              <w:rPr>
                <w:color w:val="auto"/>
              </w:rPr>
              <w:t>0</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1</w:t>
            </w:r>
            <w:r>
              <w:rPr>
                <w:color w:val="auto"/>
              </w:rPr>
              <w:t>14.3</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hint="eastAsia"/>
                <w:bCs/>
                <w:color w:val="auto"/>
              </w:rPr>
              <w:t>与该项目2</w:t>
            </w:r>
            <w:r>
              <w:rPr>
                <w:bCs/>
                <w:color w:val="auto"/>
              </w:rPr>
              <w:t>02</w:t>
            </w:r>
            <w:r>
              <w:rPr>
                <w:rFonts w:hint="eastAsia"/>
                <w:bCs/>
                <w:color w:val="auto"/>
              </w:rPr>
              <w:t>甲类仓库二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928"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1330"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4</w:t>
            </w:r>
            <w:r>
              <w:rPr>
                <w:color w:val="auto"/>
              </w:rPr>
              <w:t>8.6</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hint="eastAsia"/>
                <w:bCs/>
                <w:color w:val="auto"/>
              </w:rPr>
              <w:t>与该项目最近2</w:t>
            </w:r>
            <w:r>
              <w:rPr>
                <w:bCs/>
                <w:color w:val="auto"/>
              </w:rPr>
              <w:t>0</w:t>
            </w:r>
            <w:r>
              <w:rPr>
                <w:rFonts w:hint="eastAsia"/>
                <w:bCs/>
                <w:color w:val="auto"/>
                <w:lang w:val="en-US" w:eastAsia="zh-CN"/>
              </w:rPr>
              <w:t>3</w:t>
            </w:r>
            <w:r>
              <w:rPr>
                <w:rFonts w:hint="eastAsia"/>
                <w:bCs/>
                <w:color w:val="auto"/>
              </w:rPr>
              <w:t>丙类仓库二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1</w:t>
            </w:r>
            <w:r>
              <w:rPr>
                <w:color w:val="auto"/>
              </w:rPr>
              <w:t>0</w:t>
            </w:r>
            <w:r>
              <w:rPr>
                <w:rFonts w:hint="eastAsia"/>
                <w:color w:val="auto"/>
              </w:rPr>
              <w:t>KV架空电力线（杆高1</w:t>
            </w:r>
            <w:r>
              <w:rPr>
                <w:color w:val="auto"/>
              </w:rPr>
              <w:t>5</w:t>
            </w:r>
            <w:r>
              <w:rPr>
                <w:rFonts w:hint="eastAsia"/>
                <w:color w:val="auto"/>
              </w:rPr>
              <w:t>m）</w:t>
            </w:r>
          </w:p>
        </w:tc>
        <w:tc>
          <w:tcPr>
            <w:tcW w:w="928"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E</w:t>
            </w:r>
          </w:p>
        </w:tc>
        <w:tc>
          <w:tcPr>
            <w:tcW w:w="1330"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9</w:t>
            </w:r>
            <w:r>
              <w:rPr>
                <w:color w:val="auto"/>
              </w:rPr>
              <w:t>.2</w:t>
            </w: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6</w:t>
            </w:r>
            <w:r>
              <w:rPr>
                <w:color w:val="auto"/>
              </w:rPr>
              <w:t>0.7</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hint="eastAsia"/>
                <w:bCs/>
                <w:color w:val="auto"/>
              </w:rPr>
              <w:t>与该项目2</w:t>
            </w:r>
            <w:r>
              <w:rPr>
                <w:bCs/>
                <w:color w:val="auto"/>
              </w:rPr>
              <w:t>05</w:t>
            </w:r>
            <w:r>
              <w:rPr>
                <w:rFonts w:hint="eastAsia"/>
                <w:bCs/>
                <w:color w:val="auto"/>
              </w:rPr>
              <w:t>甲类仓库三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824"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928"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1330" w:type="dxa"/>
            <w:vMerge w:val="continue"/>
            <w:tcBorders>
              <w:left w:val="single" w:color="000000" w:sz="4" w:space="0"/>
              <w:bottom w:val="single" w:color="000000" w:sz="4" w:space="0"/>
              <w:right w:val="single" w:color="000000" w:sz="4" w:space="0"/>
            </w:tcBorders>
            <w:vAlign w:val="center"/>
          </w:tcPr>
          <w:p>
            <w:pPr>
              <w:jc w:val="center"/>
              <w:rPr>
                <w:color w:val="auto"/>
              </w:rPr>
            </w:pPr>
          </w:p>
        </w:tc>
        <w:tc>
          <w:tcPr>
            <w:tcW w:w="143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olor w:val="auto"/>
                <w:lang w:eastAsia="zh-CN"/>
              </w:rPr>
            </w:pPr>
            <w:r>
              <w:rPr>
                <w:rFonts w:hint="eastAsia"/>
                <w:color w:val="auto"/>
              </w:rPr>
              <w:t>2</w:t>
            </w:r>
            <w:r>
              <w:rPr>
                <w:rFonts w:hint="eastAsia"/>
                <w:color w:val="auto"/>
                <w:lang w:val="en-US" w:eastAsia="zh-CN"/>
              </w:rPr>
              <w:t>2</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bCs/>
                <w:color w:val="auto"/>
              </w:rPr>
            </w:pPr>
            <w:r>
              <w:rPr>
                <w:rFonts w:hint="eastAsia"/>
                <w:bCs/>
                <w:color w:val="auto"/>
              </w:rPr>
              <w:t>与该项目最近2</w:t>
            </w:r>
            <w:r>
              <w:rPr>
                <w:bCs/>
                <w:color w:val="auto"/>
              </w:rPr>
              <w:t>03</w:t>
            </w:r>
            <w:r>
              <w:rPr>
                <w:rFonts w:hint="eastAsia"/>
                <w:bCs/>
                <w:color w:val="auto"/>
              </w:rPr>
              <w:t>丙类仓库一</w:t>
            </w:r>
          </w:p>
        </w:tc>
      </w:tr>
    </w:tbl>
    <w:p>
      <w:pPr>
        <w:rPr>
          <w:color w:val="auto"/>
        </w:rPr>
      </w:pPr>
      <w:r>
        <w:rPr>
          <w:rFonts w:hint="eastAsia"/>
          <w:color w:val="auto"/>
        </w:rPr>
        <w:t xml:space="preserve"> </w:t>
      </w:r>
    </w:p>
    <w:p>
      <w:pPr>
        <w:pStyle w:val="18"/>
        <w:spacing w:after="0" w:line="360" w:lineRule="auto"/>
        <w:jc w:val="left"/>
        <w:rPr>
          <w:rFonts w:ascii="宋体"/>
          <w:color w:val="auto"/>
          <w:sz w:val="28"/>
          <w:szCs w:val="28"/>
        </w:rPr>
      </w:pPr>
      <w:r>
        <w:rPr>
          <w:rFonts w:hint="eastAsia" w:ascii="宋体" w:hAnsi="宋体"/>
          <w:color w:val="auto"/>
          <w:sz w:val="28"/>
          <w:szCs w:val="28"/>
        </w:rPr>
        <w:t>（3）项目周边交通、河流等其他分布情况</w:t>
      </w:r>
    </w:p>
    <w:p>
      <w:pPr>
        <w:spacing w:line="360" w:lineRule="auto"/>
        <w:ind w:firstLine="560" w:firstLineChars="200"/>
        <w:jc w:val="left"/>
        <w:rPr>
          <w:rFonts w:ascii="宋体" w:hAnsi="宋体"/>
          <w:color w:val="auto"/>
          <w:kern w:val="0"/>
          <w:sz w:val="28"/>
          <w:szCs w:val="28"/>
        </w:rPr>
      </w:pPr>
      <w:r>
        <w:rPr>
          <w:rFonts w:hint="eastAsia" w:ascii="宋体" w:hAnsi="宋体"/>
          <w:color w:val="auto"/>
          <w:sz w:val="28"/>
          <w:szCs w:val="28"/>
        </w:rPr>
        <w:t>依据现场踏勘情况和该公司提供资料，该公司</w:t>
      </w:r>
      <w:r>
        <w:rPr>
          <w:rFonts w:hint="eastAsia" w:ascii="宋体" w:hAnsi="宋体"/>
          <w:color w:val="auto"/>
          <w:kern w:val="0"/>
          <w:sz w:val="28"/>
          <w:szCs w:val="28"/>
        </w:rPr>
        <w:t>东面为园区道路盐化大道，距离厂区拟建围墙最近距离</w:t>
      </w:r>
      <w:r>
        <w:rPr>
          <w:rFonts w:ascii="宋体" w:hAnsi="宋体"/>
          <w:color w:val="auto"/>
          <w:kern w:val="0"/>
          <w:sz w:val="28"/>
          <w:szCs w:val="28"/>
        </w:rPr>
        <w:t>15.1</w:t>
      </w:r>
      <w:r>
        <w:rPr>
          <w:rFonts w:hint="eastAsia" w:ascii="宋体" w:hAnsi="宋体"/>
          <w:color w:val="auto"/>
          <w:kern w:val="0"/>
          <w:sz w:val="28"/>
          <w:szCs w:val="28"/>
        </w:rPr>
        <w:t>m，</w:t>
      </w:r>
      <w:r>
        <w:rPr>
          <w:rFonts w:hint="eastAsia" w:ascii="宋体" w:hAnsi="宋体"/>
          <w:color w:val="auto"/>
          <w:sz w:val="28"/>
          <w:szCs w:val="28"/>
        </w:rPr>
        <w:t>其中该项目甲乙类建构筑物（2</w:t>
      </w:r>
      <w:r>
        <w:rPr>
          <w:rFonts w:ascii="宋体" w:hAnsi="宋体"/>
          <w:color w:val="auto"/>
          <w:sz w:val="28"/>
          <w:szCs w:val="28"/>
        </w:rPr>
        <w:t>05</w:t>
      </w:r>
      <w:r>
        <w:rPr>
          <w:rFonts w:hint="eastAsia" w:ascii="宋体" w:hAnsi="宋体"/>
          <w:color w:val="auto"/>
          <w:sz w:val="28"/>
          <w:szCs w:val="28"/>
        </w:rPr>
        <w:t>甲类仓库三）与盐化大道最近距离为</w:t>
      </w:r>
      <w:r>
        <w:rPr>
          <w:rFonts w:ascii="宋体" w:hAnsi="宋体"/>
          <w:color w:val="auto"/>
          <w:sz w:val="28"/>
          <w:szCs w:val="28"/>
        </w:rPr>
        <w:t>66.7</w:t>
      </w:r>
      <w:r>
        <w:rPr>
          <w:rFonts w:hint="eastAsia" w:ascii="宋体" w:hAnsi="宋体"/>
          <w:color w:val="auto"/>
          <w:sz w:val="28"/>
          <w:szCs w:val="28"/>
        </w:rPr>
        <w:t>m</w:t>
      </w:r>
      <w:r>
        <w:rPr>
          <w:rFonts w:hint="eastAsia" w:ascii="宋体" w:hAnsi="宋体"/>
          <w:color w:val="auto"/>
          <w:kern w:val="0"/>
          <w:sz w:val="28"/>
          <w:szCs w:val="28"/>
        </w:rPr>
        <w:t>；西面厂界距离东侧京九线</w:t>
      </w:r>
      <w:r>
        <w:rPr>
          <w:rFonts w:ascii="宋体" w:hAnsi="宋体"/>
          <w:color w:val="auto"/>
          <w:kern w:val="0"/>
          <w:sz w:val="28"/>
          <w:szCs w:val="28"/>
        </w:rPr>
        <w:t>983</w:t>
      </w:r>
      <w:r>
        <w:rPr>
          <w:rFonts w:hint="eastAsia" w:ascii="宋体" w:hAnsi="宋体"/>
          <w:color w:val="auto"/>
          <w:kern w:val="0"/>
          <w:sz w:val="28"/>
          <w:szCs w:val="28"/>
        </w:rPr>
        <w:t>m，该项目厂区距离西侧赣江约</w:t>
      </w:r>
      <w:r>
        <w:rPr>
          <w:rFonts w:ascii="宋体" w:hAnsi="宋体"/>
          <w:color w:val="auto"/>
          <w:kern w:val="0"/>
          <w:sz w:val="28"/>
          <w:szCs w:val="28"/>
        </w:rPr>
        <w:t>2290</w:t>
      </w:r>
      <w:r>
        <w:rPr>
          <w:rFonts w:hint="eastAsia" w:ascii="宋体" w:hAnsi="宋体"/>
          <w:color w:val="auto"/>
          <w:kern w:val="0"/>
          <w:sz w:val="28"/>
          <w:szCs w:val="28"/>
        </w:rPr>
        <w:t>m。</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项目周边1000m范围内无商业中心、公园、小学等人员密集场所及重要公共设施。项目周边1000m范围内无基本农田保护区、基本草原、畜禽遗传资源保护区、畜禽规模化养殖场（养殖小区）、渔业水域以及种子、种畜禽、水产苗种生产基地；项目周边</w:t>
      </w:r>
      <w:r>
        <w:rPr>
          <w:rFonts w:hint="eastAsia" w:ascii="宋体" w:hAnsi="宋体"/>
          <w:color w:val="auto"/>
          <w:sz w:val="28"/>
          <w:szCs w:val="28"/>
        </w:rPr>
        <w:t>1000m范围内无</w:t>
      </w:r>
      <w:r>
        <w:rPr>
          <w:rFonts w:hint="eastAsia" w:ascii="宋体" w:hAnsi="宋体"/>
          <w:color w:val="auto"/>
          <w:kern w:val="0"/>
          <w:sz w:val="28"/>
          <w:szCs w:val="28"/>
        </w:rPr>
        <w:t>湖泊、风景名胜区和自然保护区。项目周边无军事禁区、军事管理区；项目周边无法律、行政法规规定予以保护的其他区域。</w:t>
      </w:r>
    </w:p>
    <w:p>
      <w:pPr>
        <w:keepNext/>
        <w:keepLines/>
        <w:spacing w:line="600" w:lineRule="exact"/>
        <w:jc w:val="left"/>
        <w:outlineLvl w:val="2"/>
        <w:rPr>
          <w:rFonts w:ascii="Calibri" w:hAnsi="Calibri"/>
          <w:b/>
          <w:color w:val="auto"/>
          <w:sz w:val="28"/>
          <w:szCs w:val="32"/>
        </w:rPr>
      </w:pPr>
      <w:bookmarkStart w:id="188" w:name="_Toc144109205"/>
      <w:r>
        <w:rPr>
          <w:rFonts w:hint="eastAsia" w:ascii="Calibri" w:hAnsi="Calibri"/>
          <w:b/>
          <w:color w:val="auto"/>
          <w:sz w:val="28"/>
          <w:szCs w:val="32"/>
        </w:rPr>
        <w:t>7</w:t>
      </w:r>
      <w:r>
        <w:rPr>
          <w:rFonts w:ascii="Calibri" w:hAnsi="Calibri"/>
          <w:b/>
          <w:color w:val="auto"/>
          <w:sz w:val="28"/>
          <w:szCs w:val="32"/>
        </w:rPr>
        <w:t>.1.3</w:t>
      </w:r>
      <w:r>
        <w:rPr>
          <w:rFonts w:hint="eastAsia" w:ascii="Calibri" w:hAnsi="Calibri"/>
          <w:b/>
          <w:color w:val="auto"/>
          <w:sz w:val="28"/>
          <w:szCs w:val="32"/>
        </w:rPr>
        <w:t>在建设项目爆炸、火灾、中毒范围内周边单位2</w:t>
      </w:r>
      <w:r>
        <w:rPr>
          <w:rFonts w:ascii="Calibri" w:hAnsi="Calibri"/>
          <w:b/>
          <w:color w:val="auto"/>
          <w:sz w:val="28"/>
          <w:szCs w:val="32"/>
        </w:rPr>
        <w:t>4</w:t>
      </w:r>
      <w:r>
        <w:rPr>
          <w:rFonts w:hint="eastAsia" w:ascii="Calibri" w:hAnsi="Calibri"/>
          <w:b/>
          <w:color w:val="auto"/>
          <w:sz w:val="28"/>
          <w:szCs w:val="32"/>
        </w:rPr>
        <w:t>小时内生产经营活动及居民生活情况</w:t>
      </w:r>
      <w:bookmarkEnd w:id="188"/>
    </w:p>
    <w:p>
      <w:pPr>
        <w:widowControl/>
        <w:spacing w:line="360" w:lineRule="auto"/>
        <w:ind w:firstLine="560" w:firstLineChars="200"/>
        <w:rPr>
          <w:rFonts w:ascii="宋体" w:hAnsi="宋体"/>
          <w:color w:val="auto"/>
          <w:sz w:val="28"/>
          <w:szCs w:val="28"/>
        </w:rPr>
      </w:pPr>
      <w:r>
        <w:rPr>
          <w:rFonts w:hint="eastAsia" w:ascii="宋体" w:hAnsi="宋体"/>
          <w:color w:val="auto"/>
          <w:sz w:val="28"/>
          <w:szCs w:val="28"/>
        </w:rPr>
        <w:t>依据本报告6.3.4节事故模型分析及周边情况，该项目</w:t>
      </w:r>
      <w:r>
        <w:rPr>
          <w:rFonts w:hint="eastAsia" w:ascii="宋体" w:hAnsi="宋体" w:cs="宋体"/>
          <w:color w:val="auto"/>
          <w:kern w:val="0"/>
          <w:sz w:val="28"/>
          <w:szCs w:val="28"/>
        </w:rPr>
        <w:t>液氨钢瓶</w:t>
      </w:r>
      <w:r>
        <w:rPr>
          <w:rFonts w:hint="eastAsia" w:ascii="宋体" w:hAnsi="宋体"/>
          <w:color w:val="auto"/>
          <w:sz w:val="28"/>
          <w:szCs w:val="28"/>
        </w:rPr>
        <w:t>在容器整体破裂、容器物理爆炸事故类型下火灾爆炸事故伤害范围涵盖了周边单位（吉安创新聚氨酯科技有限公司、江西双佳科技股份有限公司等）、道路。对该项目内可能发生重大的事故</w:t>
      </w:r>
      <w:r>
        <w:rPr>
          <w:color w:val="auto"/>
          <w:sz w:val="28"/>
        </w:rPr>
        <w:t>采用国家安全生产总局所属安</w:t>
      </w:r>
      <w:r>
        <w:rPr>
          <w:rFonts w:ascii="宋体" w:hAnsi="宋体"/>
          <w:color w:val="auto"/>
          <w:sz w:val="28"/>
        </w:rPr>
        <w:t>科院开发的计算软件，该项目</w:t>
      </w:r>
      <w:r>
        <w:rPr>
          <w:rFonts w:hint="eastAsia" w:ascii="宋体" w:hAnsi="宋体"/>
          <w:color w:val="auto"/>
          <w:sz w:val="28"/>
        </w:rPr>
        <w:t>未显现</w:t>
      </w:r>
      <w:r>
        <w:rPr>
          <w:rFonts w:ascii="宋体" w:hAnsi="宋体"/>
          <w:color w:val="auto"/>
          <w:sz w:val="28"/>
        </w:rPr>
        <w:t>社会风险</w:t>
      </w:r>
      <w:r>
        <w:rPr>
          <w:rFonts w:hint="eastAsia" w:ascii="宋体" w:hAnsi="宋体"/>
          <w:color w:val="auto"/>
          <w:sz w:val="28"/>
        </w:rPr>
        <w:t>，</w:t>
      </w:r>
      <w:r>
        <w:rPr>
          <w:rFonts w:ascii="宋体" w:hAnsi="宋体"/>
          <w:color w:val="auto"/>
          <w:sz w:val="28"/>
        </w:rPr>
        <w:t>个人风险均在可接受范围内。</w:t>
      </w:r>
    </w:p>
    <w:p>
      <w:pPr>
        <w:ind w:firstLine="560" w:firstLineChars="200"/>
        <w:rPr>
          <w:color w:val="auto"/>
          <w:sz w:val="28"/>
          <w:szCs w:val="28"/>
        </w:rPr>
      </w:pPr>
      <w:r>
        <w:rPr>
          <w:rFonts w:hint="eastAsia" w:ascii="宋体" w:hAnsi="宋体"/>
          <w:color w:val="auto"/>
          <w:sz w:val="28"/>
          <w:szCs w:val="28"/>
        </w:rPr>
        <w:t>该项目设有事故安全泄放设施及DCS控制系统、SIS系统，设备均经有资质厂家设计制造安装，且从以往发生的事故案列中分析发生容器整体破裂、容器物理爆炸事故可能性小，但仍需加强管理，预防事故发生。</w:t>
      </w:r>
    </w:p>
    <w:p>
      <w:pPr>
        <w:keepNext/>
        <w:keepLines/>
        <w:spacing w:line="600" w:lineRule="exact"/>
        <w:jc w:val="left"/>
        <w:outlineLvl w:val="2"/>
        <w:rPr>
          <w:rFonts w:ascii="Calibri" w:hAnsi="Calibri"/>
          <w:b/>
          <w:color w:val="auto"/>
          <w:sz w:val="28"/>
          <w:szCs w:val="32"/>
        </w:rPr>
      </w:pPr>
      <w:bookmarkStart w:id="189" w:name="_Toc144109206"/>
      <w:r>
        <w:rPr>
          <w:rFonts w:hint="eastAsia" w:ascii="Calibri" w:hAnsi="Calibri"/>
          <w:b/>
          <w:color w:val="auto"/>
          <w:sz w:val="28"/>
          <w:szCs w:val="32"/>
        </w:rPr>
        <w:t>7</w:t>
      </w:r>
      <w:r>
        <w:rPr>
          <w:rFonts w:ascii="Calibri" w:hAnsi="Calibri"/>
          <w:b/>
          <w:color w:val="auto"/>
          <w:sz w:val="28"/>
          <w:szCs w:val="32"/>
        </w:rPr>
        <w:t>.1.4</w:t>
      </w:r>
      <w:r>
        <w:rPr>
          <w:rFonts w:hint="eastAsia" w:ascii="Calibri" w:hAnsi="Calibri"/>
          <w:b/>
          <w:color w:val="auto"/>
          <w:sz w:val="28"/>
          <w:szCs w:val="32"/>
        </w:rPr>
        <w:t>建设项目中生产装置、重大危险源与重要场所、区域的距离</w:t>
      </w:r>
      <w:bookmarkEnd w:id="189"/>
    </w:p>
    <w:p>
      <w:pPr>
        <w:spacing w:line="360" w:lineRule="auto"/>
        <w:ind w:firstLine="560" w:firstLineChars="200"/>
        <w:rPr>
          <w:rFonts w:ascii="宋体" w:hAnsi="宋体"/>
          <w:bCs/>
          <w:color w:val="auto"/>
          <w:sz w:val="28"/>
          <w:szCs w:val="28"/>
        </w:rPr>
      </w:pPr>
      <w:r>
        <w:rPr>
          <w:rFonts w:hint="eastAsia" w:ascii="宋体" w:hAnsi="宋体"/>
          <w:color w:val="auto"/>
          <w:sz w:val="28"/>
          <w:szCs w:val="28"/>
        </w:rPr>
        <w:t>根据《危险化学品重大危险源辨识》对该项目中重大危险源进行辨识。经过辨识，该项目不涉及危险化学品重大危险源</w:t>
      </w:r>
      <w:r>
        <w:rPr>
          <w:rFonts w:hint="eastAsia" w:ascii="宋体" w:hAnsi="宋体"/>
          <w:bCs/>
          <w:color w:val="auto"/>
          <w:sz w:val="28"/>
          <w:szCs w:val="28"/>
        </w:rPr>
        <w:t>。</w:t>
      </w:r>
    </w:p>
    <w:p>
      <w:pPr>
        <w:keepNext/>
        <w:keepLines/>
        <w:spacing w:line="580" w:lineRule="exact"/>
        <w:jc w:val="left"/>
        <w:outlineLvl w:val="1"/>
        <w:rPr>
          <w:rFonts w:ascii="Calibri Light" w:hAnsi="Calibri Light"/>
          <w:b/>
          <w:color w:val="auto"/>
          <w:sz w:val="30"/>
          <w:szCs w:val="30"/>
        </w:rPr>
      </w:pPr>
      <w:bookmarkStart w:id="190" w:name="_Toc144109207"/>
      <w:r>
        <w:rPr>
          <w:rFonts w:hint="eastAsia" w:ascii="Calibri Light" w:hAnsi="Calibri Light"/>
          <w:b/>
          <w:color w:val="auto"/>
          <w:sz w:val="30"/>
          <w:szCs w:val="30"/>
        </w:rPr>
        <w:t>7</w:t>
      </w:r>
      <w:r>
        <w:rPr>
          <w:rFonts w:ascii="Calibri Light" w:hAnsi="Calibri Light"/>
          <w:b/>
          <w:color w:val="auto"/>
          <w:sz w:val="30"/>
          <w:szCs w:val="30"/>
        </w:rPr>
        <w:t>.2</w:t>
      </w:r>
      <w:r>
        <w:rPr>
          <w:rFonts w:hint="eastAsia" w:ascii="Calibri Light" w:hAnsi="Calibri Light"/>
          <w:b/>
          <w:color w:val="auto"/>
          <w:sz w:val="30"/>
          <w:szCs w:val="30"/>
        </w:rPr>
        <w:t>建设项目安全条件分析</w:t>
      </w:r>
      <w:bookmarkEnd w:id="190"/>
    </w:p>
    <w:p>
      <w:pPr>
        <w:keepNext/>
        <w:keepLines/>
        <w:spacing w:line="600" w:lineRule="exact"/>
        <w:jc w:val="left"/>
        <w:outlineLvl w:val="2"/>
        <w:rPr>
          <w:rFonts w:ascii="Calibri" w:hAnsi="Calibri"/>
          <w:b/>
          <w:color w:val="auto"/>
          <w:sz w:val="28"/>
          <w:szCs w:val="32"/>
        </w:rPr>
      </w:pPr>
      <w:bookmarkStart w:id="191" w:name="_Toc144109208"/>
      <w:r>
        <w:rPr>
          <w:rFonts w:hint="eastAsia" w:ascii="Calibri" w:hAnsi="Calibri"/>
          <w:b/>
          <w:color w:val="auto"/>
          <w:sz w:val="28"/>
          <w:szCs w:val="32"/>
        </w:rPr>
        <w:t>7</w:t>
      </w:r>
      <w:r>
        <w:rPr>
          <w:rFonts w:ascii="Calibri" w:hAnsi="Calibri"/>
          <w:b/>
          <w:color w:val="auto"/>
          <w:sz w:val="28"/>
          <w:szCs w:val="32"/>
        </w:rPr>
        <w:t>.2.1</w:t>
      </w:r>
      <w:r>
        <w:rPr>
          <w:rFonts w:hint="eastAsia" w:ascii="Calibri" w:hAnsi="Calibri"/>
          <w:b/>
          <w:color w:val="auto"/>
          <w:sz w:val="28"/>
          <w:szCs w:val="32"/>
        </w:rPr>
        <w:t>建设项目与国家和当地政府产业政策与布局符合性分析</w:t>
      </w:r>
      <w:bookmarkEnd w:id="191"/>
    </w:p>
    <w:p>
      <w:pPr>
        <w:ind w:firstLine="560" w:firstLineChars="200"/>
        <w:rPr>
          <w:rFonts w:ascii="宋体" w:hAnsi="宋体"/>
          <w:color w:val="auto"/>
          <w:sz w:val="28"/>
          <w:szCs w:val="28"/>
        </w:rPr>
      </w:pPr>
      <w:r>
        <w:rPr>
          <w:rFonts w:hint="eastAsia" w:ascii="宋体" w:hAnsi="宋体"/>
          <w:color w:val="auto"/>
          <w:sz w:val="28"/>
          <w:szCs w:val="28"/>
        </w:rPr>
        <w:t>依据《产业结构调整指导目录（</w:t>
      </w:r>
      <w:r>
        <w:rPr>
          <w:rFonts w:hint="eastAsia"/>
          <w:color w:val="auto"/>
          <w:sz w:val="28"/>
          <w:szCs w:val="28"/>
        </w:rPr>
        <w:t>2019</w:t>
      </w:r>
      <w:r>
        <w:rPr>
          <w:rFonts w:hint="eastAsia" w:ascii="宋体" w:hAnsi="宋体"/>
          <w:color w:val="auto"/>
          <w:sz w:val="28"/>
          <w:szCs w:val="28"/>
        </w:rPr>
        <w:t>年本）》（2021年发展和改革委员会令第</w:t>
      </w:r>
      <w:r>
        <w:rPr>
          <w:rFonts w:hint="eastAsia"/>
          <w:color w:val="auto"/>
          <w:sz w:val="28"/>
          <w:szCs w:val="28"/>
        </w:rPr>
        <w:t>49</w:t>
      </w:r>
      <w:r>
        <w:rPr>
          <w:rFonts w:hint="eastAsia" w:ascii="宋体" w:hAnsi="宋体"/>
          <w:color w:val="auto"/>
          <w:sz w:val="28"/>
          <w:szCs w:val="28"/>
        </w:rPr>
        <w:t>号修改），</w:t>
      </w:r>
      <w:r>
        <w:rPr>
          <w:rFonts w:ascii="宋体" w:hAnsi="宋体"/>
          <w:color w:val="auto"/>
          <w:sz w:val="28"/>
          <w:szCs w:val="28"/>
        </w:rPr>
        <w:t>江西鑫立莱生化有限责任公司</w:t>
      </w:r>
      <w:r>
        <w:rPr>
          <w:rFonts w:hint="eastAsia" w:ascii="宋体" w:hAnsi="宋体"/>
          <w:color w:val="auto"/>
          <w:sz w:val="28"/>
          <w:szCs w:val="28"/>
        </w:rPr>
        <w:t>年产芸苔素内酯原药5千kg、制剂3万吨项目项目生产装置及产品属于鼓励类“十一、石化化工”中“6、高效、安全、环境友好的农药新品种、新剂型，生物农药新产品、新技术的开发与生产”。</w:t>
      </w:r>
      <w:r>
        <w:rPr>
          <w:rFonts w:hint="eastAsia"/>
          <w:color w:val="auto"/>
          <w:sz w:val="28"/>
          <w:szCs w:val="28"/>
        </w:rPr>
        <w:t>20</w:t>
      </w:r>
      <w:r>
        <w:rPr>
          <w:color w:val="auto"/>
          <w:sz w:val="28"/>
          <w:szCs w:val="28"/>
        </w:rPr>
        <w:t>2</w:t>
      </w:r>
      <w:r>
        <w:rPr>
          <w:rFonts w:hint="eastAsia"/>
          <w:color w:val="auto"/>
          <w:sz w:val="28"/>
          <w:szCs w:val="28"/>
        </w:rPr>
        <w:t>3</w:t>
      </w:r>
      <w:r>
        <w:rPr>
          <w:rFonts w:hint="eastAsia" w:ascii="宋体" w:hAnsi="宋体"/>
          <w:color w:val="auto"/>
          <w:sz w:val="28"/>
          <w:szCs w:val="28"/>
        </w:rPr>
        <w:t>年</w:t>
      </w:r>
      <w:r>
        <w:rPr>
          <w:rFonts w:hint="eastAsia"/>
          <w:color w:val="auto"/>
          <w:sz w:val="28"/>
          <w:szCs w:val="28"/>
        </w:rPr>
        <w:t>4</w:t>
      </w:r>
      <w:r>
        <w:rPr>
          <w:rFonts w:hint="eastAsia" w:ascii="宋体" w:hAnsi="宋体"/>
          <w:color w:val="auto"/>
          <w:sz w:val="28"/>
          <w:szCs w:val="28"/>
        </w:rPr>
        <w:t>月</w:t>
      </w:r>
      <w:r>
        <w:rPr>
          <w:rFonts w:hint="eastAsia"/>
          <w:color w:val="auto"/>
          <w:sz w:val="28"/>
          <w:szCs w:val="28"/>
        </w:rPr>
        <w:t>6</w:t>
      </w:r>
      <w:r>
        <w:rPr>
          <w:rFonts w:hint="eastAsia" w:ascii="宋体" w:hAnsi="宋体"/>
          <w:color w:val="auto"/>
          <w:sz w:val="28"/>
          <w:szCs w:val="28"/>
        </w:rPr>
        <w:t>日取得了新干县发展和改革委员会项目备案的文件，统一项目代码：</w:t>
      </w:r>
      <w:r>
        <w:rPr>
          <w:color w:val="auto"/>
          <w:sz w:val="28"/>
          <w:szCs w:val="28"/>
        </w:rPr>
        <w:t>2106-360824-04-01-355235</w:t>
      </w:r>
      <w:r>
        <w:rPr>
          <w:rFonts w:hint="eastAsia" w:ascii="宋体" w:hAnsi="宋体"/>
          <w:color w:val="auto"/>
          <w:sz w:val="28"/>
          <w:szCs w:val="28"/>
        </w:rPr>
        <w:t>。因此，该项目的建设符合国家产业政策。</w:t>
      </w:r>
    </w:p>
    <w:p>
      <w:pPr>
        <w:ind w:firstLine="560" w:firstLineChars="200"/>
        <w:rPr>
          <w:color w:val="auto"/>
        </w:rPr>
      </w:pPr>
      <w:r>
        <w:rPr>
          <w:rFonts w:hint="eastAsia" w:ascii="宋体" w:hAnsi="宋体"/>
          <w:color w:val="auto"/>
          <w:sz w:val="28"/>
          <w:szCs w:val="28"/>
        </w:rPr>
        <w:t>根据《关于印发新干县危险化学品“禁限控”目录（试行）的通知》，该项目为允许类，不属于目录中提及的“禁限控”项目。</w:t>
      </w:r>
    </w:p>
    <w:p>
      <w:pPr>
        <w:keepNext/>
        <w:keepLines/>
        <w:spacing w:line="600" w:lineRule="exact"/>
        <w:jc w:val="left"/>
        <w:outlineLvl w:val="2"/>
        <w:rPr>
          <w:rFonts w:ascii="Calibri" w:hAnsi="Calibri"/>
          <w:b/>
          <w:color w:val="auto"/>
          <w:sz w:val="28"/>
          <w:szCs w:val="32"/>
        </w:rPr>
      </w:pPr>
      <w:bookmarkStart w:id="192" w:name="_Toc144109209"/>
      <w:r>
        <w:rPr>
          <w:rFonts w:hint="eastAsia" w:ascii="Calibri" w:hAnsi="Calibri"/>
          <w:b/>
          <w:color w:val="auto"/>
          <w:sz w:val="28"/>
          <w:szCs w:val="32"/>
        </w:rPr>
        <w:t>7</w:t>
      </w:r>
      <w:r>
        <w:rPr>
          <w:rFonts w:ascii="Calibri" w:hAnsi="Calibri"/>
          <w:b/>
          <w:color w:val="auto"/>
          <w:sz w:val="28"/>
          <w:szCs w:val="32"/>
        </w:rPr>
        <w:t>.2.2</w:t>
      </w:r>
      <w:r>
        <w:rPr>
          <w:rFonts w:hint="eastAsia" w:ascii="Calibri" w:hAnsi="Calibri"/>
          <w:b/>
          <w:color w:val="auto"/>
          <w:sz w:val="28"/>
          <w:szCs w:val="32"/>
        </w:rPr>
        <w:t>建设项目与当地政府区域规划符合性分析</w:t>
      </w:r>
      <w:bookmarkEnd w:id="192"/>
    </w:p>
    <w:p>
      <w:pPr>
        <w:ind w:firstLine="560" w:firstLineChars="200"/>
        <w:rPr>
          <w:color w:val="auto"/>
        </w:rPr>
      </w:pPr>
      <w:r>
        <w:rPr>
          <w:rFonts w:ascii="宋体" w:hAnsi="宋体"/>
          <w:color w:val="auto"/>
          <w:sz w:val="28"/>
          <w:szCs w:val="28"/>
        </w:rPr>
        <w:t>江西鑫立莱生化有限责任公司</w:t>
      </w:r>
      <w:r>
        <w:rPr>
          <w:rFonts w:hint="eastAsia" w:ascii="宋体" w:hAnsi="宋体"/>
          <w:color w:val="auto"/>
          <w:sz w:val="28"/>
          <w:szCs w:val="28"/>
        </w:rPr>
        <w:t>年产芸苔素内酯原药5千kg、制剂3万吨项目项目拟建设于江西省新干县盐化工业城，新干县盐化工业城为江西省第一批化工园区，</w:t>
      </w:r>
      <w:r>
        <w:rPr>
          <w:rFonts w:ascii="宋体" w:hAnsi="宋体"/>
          <w:color w:val="auto"/>
          <w:sz w:val="28"/>
          <w:szCs w:val="28"/>
        </w:rPr>
        <w:t>是新干县委、县政府策应江西省委、省政府建设江西盐化工产业基地战略部署而规划建设的，现已成为江西省化工产业的重要发展基地，总规划面积</w:t>
      </w:r>
      <w:r>
        <w:rPr>
          <w:color w:val="auto"/>
          <w:sz w:val="28"/>
          <w:szCs w:val="28"/>
        </w:rPr>
        <w:t>17</w:t>
      </w:r>
      <w:r>
        <w:rPr>
          <w:rFonts w:ascii="宋体" w:hAnsi="宋体"/>
          <w:color w:val="auto"/>
          <w:sz w:val="28"/>
          <w:szCs w:val="28"/>
        </w:rPr>
        <w:t>平方公里。目前，新干盐化工业城配套设施日趋完善。</w:t>
      </w:r>
      <w:r>
        <w:rPr>
          <w:rFonts w:hint="eastAsia" w:ascii="宋体" w:hAnsi="宋体"/>
          <w:color w:val="auto"/>
          <w:sz w:val="28"/>
          <w:szCs w:val="28"/>
        </w:rPr>
        <w:t>给排水、供配电、蒸汽等工程均已配套，同时道路交通运输条件便利</w:t>
      </w:r>
      <w:r>
        <w:rPr>
          <w:rFonts w:ascii="宋体" w:hAnsi="宋体"/>
          <w:color w:val="auto"/>
          <w:sz w:val="28"/>
          <w:szCs w:val="28"/>
        </w:rPr>
        <w:t>。</w:t>
      </w:r>
    </w:p>
    <w:p>
      <w:pPr>
        <w:spacing w:line="360" w:lineRule="auto"/>
        <w:ind w:firstLine="560" w:firstLineChars="200"/>
        <w:jc w:val="left"/>
        <w:rPr>
          <w:color w:val="auto"/>
        </w:rPr>
      </w:pPr>
      <w:r>
        <w:rPr>
          <w:rFonts w:hint="eastAsia" w:ascii="宋体" w:hAnsi="宋体"/>
          <w:color w:val="auto"/>
          <w:sz w:val="28"/>
          <w:szCs w:val="28"/>
        </w:rPr>
        <w:t>该项目新建于江西省吉安市新干县盐化工业城。该公司项目用地整体规划，于20</w:t>
      </w:r>
      <w:r>
        <w:rPr>
          <w:rFonts w:ascii="宋体" w:hAnsi="宋体"/>
          <w:color w:val="auto"/>
          <w:sz w:val="28"/>
          <w:szCs w:val="28"/>
        </w:rPr>
        <w:t>23</w:t>
      </w:r>
      <w:r>
        <w:rPr>
          <w:rFonts w:hint="eastAsia" w:ascii="宋体" w:hAnsi="宋体"/>
          <w:color w:val="auto"/>
          <w:sz w:val="28"/>
          <w:szCs w:val="28"/>
        </w:rPr>
        <w:t>年1月</w:t>
      </w:r>
      <w:r>
        <w:rPr>
          <w:rFonts w:ascii="宋体" w:hAnsi="宋体"/>
          <w:color w:val="auto"/>
          <w:sz w:val="28"/>
          <w:szCs w:val="28"/>
        </w:rPr>
        <w:t>6</w:t>
      </w:r>
      <w:r>
        <w:rPr>
          <w:rFonts w:hint="eastAsia" w:ascii="宋体" w:hAnsi="宋体"/>
          <w:color w:val="auto"/>
          <w:sz w:val="28"/>
          <w:szCs w:val="28"/>
        </w:rPr>
        <w:t>日取得了新干县自然资源局批复建设用地规划许可证，文件号：园区地字第3</w:t>
      </w:r>
      <w:r>
        <w:rPr>
          <w:rFonts w:ascii="宋体" w:hAnsi="宋体"/>
          <w:color w:val="auto"/>
          <w:sz w:val="28"/>
          <w:szCs w:val="28"/>
        </w:rPr>
        <w:t>60824202300001</w:t>
      </w:r>
      <w:r>
        <w:rPr>
          <w:rFonts w:hint="eastAsia" w:ascii="宋体" w:hAnsi="宋体"/>
          <w:color w:val="auto"/>
          <w:sz w:val="28"/>
          <w:szCs w:val="28"/>
        </w:rPr>
        <w:t>号。</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综上所述，该项目建设符合当地政府区域规划。</w:t>
      </w:r>
    </w:p>
    <w:p>
      <w:pPr>
        <w:keepNext/>
        <w:keepLines/>
        <w:spacing w:line="360" w:lineRule="auto"/>
        <w:jc w:val="left"/>
        <w:outlineLvl w:val="2"/>
        <w:rPr>
          <w:rFonts w:ascii="Calibri" w:hAnsi="Calibri"/>
          <w:b/>
          <w:color w:val="auto"/>
          <w:sz w:val="28"/>
          <w:szCs w:val="32"/>
        </w:rPr>
      </w:pPr>
      <w:bookmarkStart w:id="193" w:name="_Toc144109210"/>
      <w:r>
        <w:rPr>
          <w:rFonts w:hint="eastAsia" w:ascii="Calibri" w:hAnsi="Calibri"/>
          <w:b/>
          <w:color w:val="auto"/>
          <w:sz w:val="28"/>
          <w:szCs w:val="32"/>
        </w:rPr>
        <w:t>7</w:t>
      </w:r>
      <w:r>
        <w:rPr>
          <w:rFonts w:ascii="Calibri" w:hAnsi="Calibri"/>
          <w:b/>
          <w:color w:val="auto"/>
          <w:sz w:val="28"/>
          <w:szCs w:val="32"/>
        </w:rPr>
        <w:t>.2.3</w:t>
      </w:r>
      <w:r>
        <w:rPr>
          <w:rFonts w:hint="eastAsia" w:ascii="Calibri" w:hAnsi="Calibri"/>
          <w:b/>
          <w:color w:val="auto"/>
          <w:sz w:val="28"/>
          <w:szCs w:val="32"/>
        </w:rPr>
        <w:t>建设项目选址符合性分析</w:t>
      </w:r>
      <w:bookmarkEnd w:id="193"/>
    </w:p>
    <w:p>
      <w:pPr>
        <w:pStyle w:val="66"/>
        <w:spacing w:line="360" w:lineRule="auto"/>
        <w:ind w:firstLine="560"/>
        <w:jc w:val="left"/>
        <w:rPr>
          <w:color w:val="auto"/>
          <w:sz w:val="28"/>
          <w:szCs w:val="28"/>
        </w:rPr>
      </w:pPr>
      <w:r>
        <w:rPr>
          <w:rFonts w:hint="eastAsia"/>
          <w:color w:val="auto"/>
          <w:sz w:val="28"/>
          <w:szCs w:val="28"/>
        </w:rPr>
        <w:t>江西鑫立莱生化有限责任公司年产芸苔素内酯原药5千kg、制剂3万吨项目项目拟建设于江西省吉安市新干县盐化工业城；项目周边存在民居间距均超过100m。厂址周边1000m范围内无商业中心、公园等人员密集场所及重要公共设施。项目周边1000m范围内无基本农田保护区、基本草原、畜禽遗传资源保护区、畜禽规模化养殖场（养殖小区）、渔业水域以及种子、种畜禽、水产苗种生产基地；项目周边1000m范围内无湖泊、风景名胜区和自然保护区。项目周边无军事禁区、军事管理区；项目周边无法律、行政法规规定予以保护的其他区域。</w:t>
      </w:r>
    </w:p>
    <w:p>
      <w:pPr>
        <w:pStyle w:val="65"/>
        <w:ind w:firstLine="560"/>
        <w:jc w:val="left"/>
        <w:rPr>
          <w:color w:val="auto"/>
        </w:rPr>
      </w:pPr>
      <w:r>
        <w:rPr>
          <w:rFonts w:hint="eastAsia"/>
          <w:bCs/>
          <w:color w:val="auto"/>
          <w:kern w:val="0"/>
        </w:rPr>
        <w:t>依据3.</w:t>
      </w:r>
      <w:r>
        <w:rPr>
          <w:bCs/>
          <w:color w:val="auto"/>
          <w:kern w:val="0"/>
        </w:rPr>
        <w:t>6</w:t>
      </w:r>
      <w:r>
        <w:rPr>
          <w:rFonts w:hint="eastAsia"/>
          <w:bCs/>
          <w:color w:val="auto"/>
          <w:kern w:val="0"/>
        </w:rPr>
        <w:t>节重大危险源和外部安全防护距离计算，</w:t>
      </w:r>
      <w:r>
        <w:rPr>
          <w:rFonts w:hint="eastAsia"/>
          <w:color w:val="auto"/>
        </w:rPr>
        <w:t>外部安全防护距离范围内无</w:t>
      </w:r>
      <w:r>
        <w:rPr>
          <w:rFonts w:hint="eastAsia"/>
          <w:bCs/>
          <w:color w:val="auto"/>
          <w:kern w:val="0"/>
        </w:rPr>
        <w:t>高敏感防护目标、重要防护目标及一般防护</w:t>
      </w:r>
      <w:r>
        <w:rPr>
          <w:rFonts w:hint="eastAsia" w:cs="Symbol"/>
          <w:color w:val="auto"/>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该项目所在地有较好的运输条件，并符合本地区产业发展和土地利用总体规划，符合国家产业政策，该项目已通过新干县发展和改革委员会项目备案。</w:t>
      </w:r>
    </w:p>
    <w:p>
      <w:pPr>
        <w:spacing w:line="360" w:lineRule="auto"/>
        <w:ind w:firstLine="560" w:firstLineChars="200"/>
        <w:rPr>
          <w:color w:val="auto"/>
        </w:rPr>
      </w:pPr>
      <w:r>
        <w:rPr>
          <w:rFonts w:hint="eastAsia" w:ascii="宋体" w:hAnsi="宋体"/>
          <w:color w:val="auto"/>
          <w:sz w:val="28"/>
          <w:szCs w:val="28"/>
        </w:rPr>
        <w:t>该项目选址及周边环境符合性情况具体见表C</w:t>
      </w:r>
      <w:r>
        <w:rPr>
          <w:rFonts w:ascii="宋体" w:hAnsi="宋体"/>
          <w:color w:val="auto"/>
          <w:sz w:val="28"/>
          <w:szCs w:val="28"/>
        </w:rPr>
        <w:t>.1-1</w:t>
      </w:r>
      <w:r>
        <w:rPr>
          <w:rFonts w:hint="eastAsia" w:ascii="宋体" w:hAnsi="宋体"/>
          <w:color w:val="auto"/>
          <w:sz w:val="28"/>
          <w:szCs w:val="28"/>
        </w:rPr>
        <w:t>、表C</w:t>
      </w:r>
      <w:r>
        <w:rPr>
          <w:rFonts w:ascii="宋体" w:hAnsi="宋体"/>
          <w:color w:val="auto"/>
          <w:sz w:val="28"/>
          <w:szCs w:val="28"/>
        </w:rPr>
        <w:t>.1-2</w:t>
      </w:r>
      <w:r>
        <w:rPr>
          <w:rFonts w:hint="eastAsia" w:ascii="宋体" w:hAnsi="宋体"/>
          <w:color w:val="auto"/>
          <w:sz w:val="28"/>
          <w:szCs w:val="28"/>
        </w:rPr>
        <w:t>。通过表C</w:t>
      </w:r>
      <w:r>
        <w:rPr>
          <w:rFonts w:ascii="宋体" w:hAnsi="宋体"/>
          <w:color w:val="auto"/>
          <w:sz w:val="28"/>
          <w:szCs w:val="28"/>
        </w:rPr>
        <w:t>.1-1</w:t>
      </w:r>
      <w:r>
        <w:rPr>
          <w:rFonts w:hint="eastAsia" w:ascii="宋体" w:hAnsi="宋体"/>
          <w:color w:val="auto"/>
          <w:sz w:val="28"/>
          <w:szCs w:val="28"/>
        </w:rPr>
        <w:t>、表C</w:t>
      </w:r>
      <w:r>
        <w:rPr>
          <w:rFonts w:ascii="宋体" w:hAnsi="宋体"/>
          <w:color w:val="auto"/>
          <w:sz w:val="28"/>
          <w:szCs w:val="28"/>
        </w:rPr>
        <w:t>.1-2</w:t>
      </w:r>
      <w:r>
        <w:rPr>
          <w:rFonts w:hint="eastAsia" w:ascii="宋体" w:hAnsi="宋体"/>
          <w:color w:val="auto"/>
          <w:sz w:val="28"/>
          <w:szCs w:val="28"/>
        </w:rPr>
        <w:t>：该项目选址符合要求。</w:t>
      </w:r>
    </w:p>
    <w:p>
      <w:pPr>
        <w:keepNext/>
        <w:keepLines/>
        <w:spacing w:line="360" w:lineRule="auto"/>
        <w:jc w:val="left"/>
        <w:outlineLvl w:val="2"/>
        <w:rPr>
          <w:rFonts w:ascii="Calibri" w:hAnsi="Calibri"/>
          <w:b/>
          <w:color w:val="auto"/>
          <w:sz w:val="28"/>
          <w:szCs w:val="32"/>
        </w:rPr>
      </w:pPr>
      <w:bookmarkStart w:id="194" w:name="_Toc144109211"/>
      <w:r>
        <w:rPr>
          <w:rFonts w:hint="eastAsia" w:ascii="Calibri" w:hAnsi="Calibri"/>
          <w:b/>
          <w:color w:val="auto"/>
          <w:sz w:val="28"/>
          <w:szCs w:val="32"/>
        </w:rPr>
        <w:t>7</w:t>
      </w:r>
      <w:r>
        <w:rPr>
          <w:rFonts w:ascii="Calibri" w:hAnsi="Calibri"/>
          <w:b/>
          <w:color w:val="auto"/>
          <w:sz w:val="28"/>
          <w:szCs w:val="32"/>
        </w:rPr>
        <w:t>.2.4</w:t>
      </w:r>
      <w:r>
        <w:rPr>
          <w:rFonts w:hint="eastAsia" w:ascii="Calibri" w:hAnsi="Calibri"/>
          <w:b/>
          <w:color w:val="auto"/>
          <w:sz w:val="28"/>
          <w:szCs w:val="32"/>
        </w:rPr>
        <w:t>建设项目所在地自然条件的影响分析</w:t>
      </w:r>
      <w:bookmarkEnd w:id="194"/>
    </w:p>
    <w:p>
      <w:pPr>
        <w:spacing w:line="360" w:lineRule="auto"/>
        <w:ind w:firstLine="560" w:firstLineChars="200"/>
        <w:rPr>
          <w:color w:val="auto"/>
          <w:sz w:val="28"/>
          <w:szCs w:val="28"/>
        </w:rPr>
      </w:pPr>
      <w:r>
        <w:rPr>
          <w:rFonts w:hint="eastAsia" w:ascii="宋体" w:hAnsi="宋体"/>
          <w:color w:val="auto"/>
          <w:sz w:val="28"/>
          <w:szCs w:val="28"/>
        </w:rPr>
        <w:t>自然条件对该项目的影响因素主要包括地震、不良地质、暑热、冬季低温、雷击、洪水、内涝等因素。其中最主要的因素是地震、不良地质及雷击。</w:t>
      </w:r>
    </w:p>
    <w:p>
      <w:pPr>
        <w:spacing w:line="360" w:lineRule="auto"/>
        <w:ind w:firstLine="560" w:firstLineChars="200"/>
        <w:rPr>
          <w:color w:val="auto"/>
          <w:sz w:val="28"/>
          <w:szCs w:val="28"/>
        </w:rPr>
      </w:pPr>
      <w:r>
        <w:rPr>
          <w:rFonts w:hint="eastAsia"/>
          <w:color w:val="auto"/>
          <w:sz w:val="28"/>
          <w:szCs w:val="28"/>
        </w:rPr>
        <w:t>1.</w:t>
      </w:r>
      <w:r>
        <w:rPr>
          <w:rFonts w:hint="eastAsia" w:ascii="宋体" w:hAnsi="宋体"/>
          <w:color w:val="auto"/>
          <w:sz w:val="28"/>
          <w:szCs w:val="28"/>
        </w:rPr>
        <w:t>该项目所在地极端最高气温为</w:t>
      </w:r>
      <w:r>
        <w:rPr>
          <w:rFonts w:hint="eastAsia"/>
          <w:color w:val="auto"/>
          <w:sz w:val="28"/>
          <w:szCs w:val="28"/>
        </w:rPr>
        <w:t>4</w:t>
      </w:r>
      <w:r>
        <w:rPr>
          <w:color w:val="auto"/>
          <w:sz w:val="28"/>
          <w:szCs w:val="28"/>
        </w:rPr>
        <w:t>0.5</w:t>
      </w:r>
      <w:r>
        <w:rPr>
          <w:rFonts w:hint="eastAsia" w:ascii="宋体" w:hAnsi="宋体"/>
          <w:color w:val="auto"/>
          <w:sz w:val="28"/>
          <w:szCs w:val="28"/>
        </w:rPr>
        <w:t>℃，人员室外作业或检修时可能发生中暑，</w:t>
      </w:r>
      <w:r>
        <w:rPr>
          <w:rFonts w:hint="eastAsia" w:ascii="宋体" w:hAnsi="宋体"/>
          <w:color w:val="auto"/>
          <w:spacing w:val="4"/>
          <w:sz w:val="28"/>
          <w:szCs w:val="28"/>
        </w:rPr>
        <w:t>在生产岗位应采取防暑降温措施；</w:t>
      </w:r>
      <w:r>
        <w:rPr>
          <w:rFonts w:hint="eastAsia" w:ascii="宋体" w:hAnsi="宋体"/>
          <w:color w:val="auto"/>
          <w:sz w:val="28"/>
          <w:szCs w:val="28"/>
        </w:rPr>
        <w:t>高温天气会加大物料挥发性，散发的易燃易爆蒸汽容易引发火灾、爆炸及其他事故；</w:t>
      </w:r>
      <w:r>
        <w:rPr>
          <w:rFonts w:hint="eastAsia" w:ascii="宋体" w:hAnsi="宋体"/>
          <w:color w:val="auto"/>
          <w:spacing w:val="4"/>
          <w:sz w:val="28"/>
          <w:szCs w:val="28"/>
        </w:rPr>
        <w:t>该项目</w:t>
      </w:r>
      <w:r>
        <w:rPr>
          <w:rFonts w:hint="eastAsia" w:ascii="宋体" w:hAnsi="宋体"/>
          <w:color w:val="auto"/>
          <w:sz w:val="28"/>
          <w:szCs w:val="28"/>
        </w:rPr>
        <w:t>项目所在地极端最低气温为</w:t>
      </w:r>
      <w:r>
        <w:rPr>
          <w:rFonts w:hint="eastAsia"/>
          <w:color w:val="auto"/>
          <w:sz w:val="28"/>
          <w:szCs w:val="28"/>
        </w:rPr>
        <w:t>-</w:t>
      </w:r>
      <w:r>
        <w:rPr>
          <w:color w:val="auto"/>
          <w:sz w:val="28"/>
          <w:szCs w:val="28"/>
        </w:rPr>
        <w:t>9.1</w:t>
      </w:r>
      <w:r>
        <w:rPr>
          <w:rFonts w:hint="eastAsia" w:ascii="宋体" w:hAnsi="宋体"/>
          <w:color w:val="auto"/>
          <w:sz w:val="28"/>
          <w:szCs w:val="28"/>
        </w:rPr>
        <w:t>℃，对主体工程无影响</w:t>
      </w:r>
      <w:r>
        <w:rPr>
          <w:rFonts w:ascii="宋体" w:hAnsi="宋体"/>
          <w:color w:val="auto"/>
          <w:sz w:val="28"/>
          <w:szCs w:val="28"/>
        </w:rPr>
        <w:t>，可能因低温冰冻对</w:t>
      </w:r>
      <w:r>
        <w:rPr>
          <w:rFonts w:hint="eastAsia" w:ascii="宋体" w:hAnsi="宋体"/>
          <w:color w:val="auto"/>
          <w:sz w:val="28"/>
          <w:szCs w:val="28"/>
        </w:rPr>
        <w:t>室外</w:t>
      </w:r>
      <w:r>
        <w:rPr>
          <w:rFonts w:ascii="宋体" w:hAnsi="宋体"/>
          <w:color w:val="auto"/>
          <w:sz w:val="28"/>
          <w:szCs w:val="28"/>
        </w:rPr>
        <w:t>水管等冻结而造成破裂导致循环水不畅，楼梯打滑造成人员摔跌等。但由于该项目地处江西</w:t>
      </w:r>
      <w:r>
        <w:rPr>
          <w:rFonts w:hint="eastAsia" w:ascii="宋体" w:hAnsi="宋体"/>
          <w:color w:val="auto"/>
          <w:sz w:val="28"/>
          <w:szCs w:val="28"/>
        </w:rPr>
        <w:t>北</w:t>
      </w:r>
      <w:r>
        <w:rPr>
          <w:rFonts w:ascii="宋体" w:hAnsi="宋体"/>
          <w:color w:val="auto"/>
          <w:sz w:val="28"/>
          <w:szCs w:val="28"/>
        </w:rPr>
        <w:t>部，冰冻期较短，随着气候条件的变化，个别或少数年份甚至未出现冰冻现象</w:t>
      </w:r>
      <w:r>
        <w:rPr>
          <w:rFonts w:hint="eastAsia" w:ascii="宋体" w:hAnsi="宋体"/>
          <w:color w:val="auto"/>
          <w:sz w:val="28"/>
          <w:szCs w:val="28"/>
        </w:rPr>
        <w:t>。</w:t>
      </w:r>
      <w:r>
        <w:rPr>
          <w:rFonts w:ascii="宋体" w:hAnsi="宋体"/>
          <w:color w:val="auto"/>
          <w:sz w:val="28"/>
          <w:szCs w:val="28"/>
        </w:rPr>
        <w:t>因此，冰冻对该项目的影响较小</w:t>
      </w:r>
      <w:r>
        <w:rPr>
          <w:rFonts w:hint="eastAsia" w:ascii="宋体" w:hAnsi="宋体"/>
          <w:color w:val="auto"/>
          <w:sz w:val="28"/>
          <w:szCs w:val="28"/>
        </w:rPr>
        <w:t>。</w:t>
      </w:r>
    </w:p>
    <w:p>
      <w:pPr>
        <w:spacing w:line="360" w:lineRule="auto"/>
        <w:ind w:left="48" w:firstLine="600"/>
        <w:rPr>
          <w:color w:val="auto"/>
          <w:sz w:val="28"/>
          <w:szCs w:val="28"/>
        </w:rPr>
      </w:pPr>
      <w:r>
        <w:rPr>
          <w:rFonts w:hint="eastAsia"/>
          <w:color w:val="auto"/>
          <w:sz w:val="28"/>
          <w:szCs w:val="28"/>
        </w:rPr>
        <w:t>2.</w:t>
      </w:r>
      <w:r>
        <w:rPr>
          <w:rFonts w:hint="eastAsia" w:ascii="宋体" w:hAnsi="宋体"/>
          <w:color w:val="auto"/>
          <w:sz w:val="28"/>
          <w:szCs w:val="28"/>
        </w:rPr>
        <w:t>该项目地势较为平坦，</w:t>
      </w:r>
      <w:r>
        <w:rPr>
          <w:rFonts w:ascii="宋体" w:hAnsi="宋体"/>
          <w:color w:val="auto"/>
          <w:sz w:val="28"/>
          <w:szCs w:val="28"/>
        </w:rPr>
        <w:t>厂址</w:t>
      </w:r>
      <w:r>
        <w:rPr>
          <w:rFonts w:hint="eastAsia" w:ascii="宋体" w:hAnsi="宋体"/>
          <w:color w:val="auto"/>
          <w:sz w:val="28"/>
          <w:szCs w:val="28"/>
        </w:rPr>
        <w:t>已经过</w:t>
      </w:r>
      <w:r>
        <w:rPr>
          <w:rFonts w:hint="eastAsia" w:ascii="宋体" w:hAnsi="宋体"/>
          <w:color w:val="auto"/>
          <w:kern w:val="0"/>
          <w:sz w:val="28"/>
          <w:szCs w:val="28"/>
        </w:rPr>
        <w:t>平整，道路沿途布置有雨水管道，可确保场地遇水顺利排除。该项目所在地</w:t>
      </w:r>
      <w:r>
        <w:rPr>
          <w:rFonts w:hint="eastAsia" w:ascii="宋体" w:hAnsi="宋体"/>
          <w:color w:val="auto"/>
          <w:sz w:val="28"/>
          <w:szCs w:val="28"/>
        </w:rPr>
        <w:t>年平均降水量为</w:t>
      </w:r>
      <w:r>
        <w:rPr>
          <w:color w:val="auto"/>
          <w:sz w:val="28"/>
          <w:szCs w:val="28"/>
        </w:rPr>
        <w:t>1604.5</w:t>
      </w:r>
      <w:r>
        <w:rPr>
          <w:rFonts w:hint="eastAsia"/>
          <w:color w:val="auto"/>
          <w:sz w:val="28"/>
          <w:szCs w:val="28"/>
        </w:rPr>
        <w:t>mm</w:t>
      </w:r>
      <w:r>
        <w:rPr>
          <w:rFonts w:hint="eastAsia" w:ascii="宋体" w:hAnsi="宋体"/>
          <w:color w:val="auto"/>
          <w:sz w:val="28"/>
          <w:szCs w:val="28"/>
        </w:rPr>
        <w:t>，且雨量随季节分布不均，</w:t>
      </w:r>
      <w:r>
        <w:rPr>
          <w:color w:val="auto"/>
          <w:sz w:val="28"/>
          <w:szCs w:val="28"/>
        </w:rPr>
        <w:t>2~7</w:t>
      </w:r>
      <w:r>
        <w:rPr>
          <w:rFonts w:hint="eastAsia" w:ascii="宋体" w:hAnsi="宋体"/>
          <w:color w:val="auto"/>
          <w:sz w:val="28"/>
          <w:szCs w:val="28"/>
        </w:rPr>
        <w:t>月雨量集中，为汛期。暴雨和洪水出现的机会多</w:t>
      </w:r>
      <w:r>
        <w:rPr>
          <w:rFonts w:ascii="宋体" w:hAnsi="宋体"/>
          <w:color w:val="auto"/>
          <w:sz w:val="28"/>
          <w:szCs w:val="28"/>
        </w:rPr>
        <w:t>，</w:t>
      </w:r>
      <w:r>
        <w:rPr>
          <w:rFonts w:hint="eastAsia" w:ascii="宋体" w:hAnsi="宋体"/>
          <w:color w:val="auto"/>
          <w:sz w:val="28"/>
          <w:szCs w:val="28"/>
        </w:rPr>
        <w:t>为了防止内涝及时排出雨水，避免积水毁坏设备厂房，在厂区内设相应的场地雨水排除系统。</w:t>
      </w:r>
    </w:p>
    <w:p>
      <w:pPr>
        <w:spacing w:line="360" w:lineRule="auto"/>
        <w:ind w:firstLine="560" w:firstLineChars="200"/>
        <w:rPr>
          <w:color w:val="auto"/>
          <w:sz w:val="28"/>
          <w:szCs w:val="28"/>
        </w:rPr>
      </w:pPr>
      <w:r>
        <w:rPr>
          <w:rFonts w:hint="eastAsia"/>
          <w:color w:val="auto"/>
          <w:sz w:val="28"/>
          <w:szCs w:val="28"/>
        </w:rPr>
        <w:t>3.</w:t>
      </w:r>
      <w:r>
        <w:rPr>
          <w:rFonts w:hint="eastAsia" w:ascii="宋体" w:hAnsi="宋体"/>
          <w:color w:val="auto"/>
          <w:sz w:val="28"/>
          <w:szCs w:val="28"/>
        </w:rPr>
        <w:t>建筑场地平坦开阔且已经人工平整，</w:t>
      </w:r>
      <w:r>
        <w:rPr>
          <w:rFonts w:ascii="宋体" w:hAnsi="宋体"/>
          <w:color w:val="auto"/>
          <w:sz w:val="28"/>
          <w:szCs w:val="28"/>
        </w:rPr>
        <w:t>地层分布较为均匀</w:t>
      </w:r>
      <w:r>
        <w:rPr>
          <w:rFonts w:hint="eastAsia" w:ascii="宋体" w:hAnsi="宋体"/>
          <w:color w:val="auto"/>
          <w:sz w:val="28"/>
          <w:szCs w:val="28"/>
        </w:rPr>
        <w:t>，地基土均具有一定的承载能力。</w:t>
      </w:r>
    </w:p>
    <w:p>
      <w:pPr>
        <w:spacing w:line="360" w:lineRule="auto"/>
        <w:ind w:firstLine="560" w:firstLineChars="200"/>
        <w:jc w:val="left"/>
        <w:rPr>
          <w:color w:val="auto"/>
          <w:sz w:val="28"/>
          <w:szCs w:val="28"/>
        </w:rPr>
      </w:pPr>
      <w:r>
        <w:rPr>
          <w:rFonts w:hint="eastAsia"/>
          <w:color w:val="auto"/>
          <w:sz w:val="28"/>
          <w:szCs w:val="28"/>
        </w:rPr>
        <w:t>4.</w:t>
      </w:r>
      <w:r>
        <w:rPr>
          <w:rFonts w:hint="eastAsia" w:ascii="宋体" w:hAnsi="宋体"/>
          <w:color w:val="auto"/>
          <w:sz w:val="28"/>
          <w:szCs w:val="28"/>
        </w:rPr>
        <w:t>该项目厂址所在地的地形平坦，</w:t>
      </w:r>
      <w:r>
        <w:rPr>
          <w:rFonts w:ascii="宋体" w:hAnsi="宋体"/>
          <w:color w:val="auto"/>
          <w:sz w:val="28"/>
          <w:szCs w:val="28"/>
        </w:rPr>
        <w:t>年平均</w:t>
      </w:r>
      <w:r>
        <w:rPr>
          <w:rStyle w:val="63"/>
          <w:rFonts w:ascii="宋体" w:hAnsi="宋体" w:cs="Calibri"/>
          <w:color w:val="auto"/>
          <w:sz w:val="28"/>
          <w:szCs w:val="28"/>
        </w:rPr>
        <w:t>雷暴日</w:t>
      </w:r>
      <w:r>
        <w:rPr>
          <w:rFonts w:ascii="宋体" w:hAnsi="宋体"/>
          <w:color w:val="auto"/>
          <w:sz w:val="28"/>
          <w:szCs w:val="28"/>
        </w:rPr>
        <w:t>为</w:t>
      </w:r>
      <w:r>
        <w:rPr>
          <w:color w:val="auto"/>
          <w:sz w:val="28"/>
          <w:szCs w:val="28"/>
        </w:rPr>
        <w:t>69.9</w:t>
      </w:r>
      <w:r>
        <w:rPr>
          <w:rFonts w:hint="eastAsia" w:ascii="宋体" w:hAnsi="宋体"/>
          <w:color w:val="auto"/>
          <w:sz w:val="28"/>
          <w:szCs w:val="28"/>
        </w:rPr>
        <w:t>天，属于高雷区。该公司各种建构筑物</w:t>
      </w:r>
      <w:r>
        <w:rPr>
          <w:rFonts w:hint="eastAsia" w:ascii="宋体" w:hAnsi="宋体"/>
          <w:color w:val="auto"/>
          <w:spacing w:val="4"/>
          <w:sz w:val="28"/>
          <w:szCs w:val="28"/>
        </w:rPr>
        <w:t>均</w:t>
      </w:r>
      <w:r>
        <w:rPr>
          <w:rFonts w:ascii="宋体" w:hAnsi="宋体"/>
          <w:color w:val="auto"/>
          <w:spacing w:val="4"/>
          <w:sz w:val="28"/>
          <w:szCs w:val="28"/>
        </w:rPr>
        <w:t>按</w:t>
      </w:r>
      <w:r>
        <w:rPr>
          <w:rFonts w:hint="eastAsia" w:ascii="宋体" w:hAnsi="宋体"/>
          <w:color w:val="auto"/>
          <w:spacing w:val="4"/>
          <w:sz w:val="28"/>
          <w:szCs w:val="28"/>
        </w:rPr>
        <w:t>拟</w:t>
      </w:r>
      <w:r>
        <w:rPr>
          <w:rFonts w:ascii="宋体" w:hAnsi="宋体"/>
          <w:color w:val="auto"/>
          <w:spacing w:val="4"/>
          <w:sz w:val="28"/>
          <w:szCs w:val="28"/>
        </w:rPr>
        <w:t>规范要求采取相应的防雷措施</w:t>
      </w:r>
      <w:r>
        <w:rPr>
          <w:rFonts w:hint="eastAsia" w:ascii="宋体" w:hAnsi="宋体"/>
          <w:color w:val="auto"/>
          <w:spacing w:val="4"/>
          <w:sz w:val="28"/>
          <w:szCs w:val="28"/>
        </w:rPr>
        <w:t>，</w:t>
      </w:r>
      <w:r>
        <w:rPr>
          <w:rFonts w:ascii="宋体" w:hAnsi="宋体"/>
          <w:color w:val="auto"/>
          <w:spacing w:val="4"/>
          <w:sz w:val="28"/>
          <w:szCs w:val="28"/>
        </w:rPr>
        <w:t>防止雷击造成的危害。</w:t>
      </w:r>
      <w:r>
        <w:rPr>
          <w:rFonts w:hint="eastAsia" w:ascii="宋体" w:hAnsi="宋体"/>
          <w:color w:val="auto"/>
          <w:kern w:val="0"/>
          <w:sz w:val="28"/>
          <w:szCs w:val="28"/>
        </w:rPr>
        <w:t>该项目防静电，防雷及设备安全等接地，</w:t>
      </w:r>
      <w:r>
        <w:rPr>
          <w:rFonts w:hint="eastAsia" w:ascii="宋体" w:hAnsi="宋体"/>
          <w:color w:val="auto"/>
          <w:sz w:val="28"/>
          <w:szCs w:val="28"/>
        </w:rPr>
        <w:t>厂区内的所有金属管道、支架、设备均做防静电接地。</w:t>
      </w:r>
    </w:p>
    <w:p>
      <w:pPr>
        <w:spacing w:line="360" w:lineRule="auto"/>
        <w:ind w:firstLine="560" w:firstLineChars="200"/>
        <w:jc w:val="left"/>
        <w:rPr>
          <w:color w:val="auto"/>
          <w:sz w:val="28"/>
          <w:szCs w:val="28"/>
        </w:rPr>
      </w:pPr>
      <w:r>
        <w:rPr>
          <w:rFonts w:hint="eastAsia"/>
          <w:color w:val="auto"/>
          <w:sz w:val="28"/>
          <w:szCs w:val="28"/>
        </w:rPr>
        <w:t>5.</w:t>
      </w:r>
      <w:r>
        <w:rPr>
          <w:rFonts w:hint="eastAsia" w:ascii="宋体" w:hAnsi="宋体"/>
          <w:color w:val="auto"/>
          <w:sz w:val="28"/>
          <w:szCs w:val="28"/>
        </w:rPr>
        <w:t>该项目</w:t>
      </w:r>
      <w:r>
        <w:rPr>
          <w:rFonts w:ascii="宋体" w:hAnsi="宋体"/>
          <w:color w:val="auto"/>
          <w:sz w:val="28"/>
          <w:szCs w:val="28"/>
        </w:rPr>
        <w:t>全年主风向为东</w:t>
      </w:r>
      <w:r>
        <w:rPr>
          <w:rFonts w:hint="eastAsia" w:ascii="宋体" w:hAnsi="宋体"/>
          <w:color w:val="auto"/>
          <w:sz w:val="28"/>
          <w:szCs w:val="28"/>
        </w:rPr>
        <w:t>北偏北</w:t>
      </w:r>
      <w:r>
        <w:rPr>
          <w:rFonts w:ascii="宋体" w:hAnsi="宋体"/>
          <w:color w:val="auto"/>
          <w:sz w:val="28"/>
          <w:szCs w:val="28"/>
        </w:rPr>
        <w:t>风，年平均风速</w:t>
      </w:r>
      <w:r>
        <w:rPr>
          <w:color w:val="auto"/>
          <w:sz w:val="28"/>
          <w:szCs w:val="28"/>
        </w:rPr>
        <w:t>2.0m/s</w:t>
      </w:r>
      <w:r>
        <w:rPr>
          <w:rFonts w:ascii="宋体" w:hAnsi="宋体"/>
          <w:color w:val="auto"/>
          <w:sz w:val="28"/>
          <w:szCs w:val="28"/>
        </w:rPr>
        <w:t>，最大风速</w:t>
      </w:r>
      <w:r>
        <w:rPr>
          <w:color w:val="auto"/>
          <w:sz w:val="28"/>
          <w:szCs w:val="28"/>
        </w:rPr>
        <w:t>34m/s</w:t>
      </w:r>
      <w:r>
        <w:rPr>
          <w:rFonts w:ascii="宋体" w:hAnsi="宋体"/>
          <w:color w:val="auto"/>
          <w:sz w:val="28"/>
          <w:szCs w:val="28"/>
        </w:rPr>
        <w:t>，</w:t>
      </w:r>
      <w:r>
        <w:rPr>
          <w:rFonts w:hint="eastAsia" w:ascii="宋体" w:hAnsi="宋体"/>
          <w:color w:val="auto"/>
          <w:sz w:val="28"/>
          <w:szCs w:val="28"/>
        </w:rPr>
        <w:t>该项目建筑物均按照规范设计和建设，风力影响不大。但如遭遇极端大风天气，则会有一定影响。</w:t>
      </w:r>
    </w:p>
    <w:p>
      <w:pPr>
        <w:pStyle w:val="8"/>
        <w:ind w:firstLine="560"/>
        <w:rPr>
          <w:rFonts w:ascii="宋体" w:hAnsi="宋体"/>
          <w:color w:val="auto"/>
          <w:sz w:val="28"/>
          <w:szCs w:val="28"/>
        </w:rPr>
      </w:pPr>
      <w:r>
        <w:rPr>
          <w:rFonts w:hint="eastAsia" w:ascii="宋体" w:hAnsi="宋体"/>
          <w:color w:val="auto"/>
          <w:sz w:val="28"/>
          <w:szCs w:val="28"/>
        </w:rPr>
        <w:t>6.</w:t>
      </w:r>
      <w:r>
        <w:rPr>
          <w:rFonts w:hint="eastAsia" w:ascii="宋体" w:hAnsi="宋体"/>
          <w:color w:val="auto"/>
          <w:kern w:val="0"/>
          <w:sz w:val="28"/>
          <w:szCs w:val="28"/>
        </w:rPr>
        <w:t>根据《中国地震峰值加速度区域划图》（GB18306-2001A1）和《中国地震反应谱特征区划图》（GB18306-2001B1），</w:t>
      </w:r>
      <w:r>
        <w:rPr>
          <w:rFonts w:hint="eastAsia" w:ascii="宋体" w:hAnsi="宋体"/>
          <w:color w:val="auto"/>
          <w:sz w:val="28"/>
          <w:szCs w:val="28"/>
        </w:rPr>
        <w:t>该地区地震动峰值加速度为0.05g，对照地震烈度Ⅵ度。</w:t>
      </w:r>
    </w:p>
    <w:p>
      <w:pPr>
        <w:spacing w:line="360" w:lineRule="auto"/>
        <w:ind w:firstLine="560" w:firstLineChars="200"/>
        <w:jc w:val="left"/>
        <w:rPr>
          <w:rFonts w:ascii="Calibri" w:hAnsi="Calibri"/>
          <w:color w:val="auto"/>
          <w:sz w:val="28"/>
          <w:szCs w:val="28"/>
        </w:rPr>
      </w:pPr>
      <w:r>
        <w:rPr>
          <w:rFonts w:hint="eastAsia"/>
          <w:color w:val="auto"/>
          <w:sz w:val="28"/>
          <w:szCs w:val="28"/>
        </w:rPr>
        <w:t>7.</w:t>
      </w:r>
      <w:r>
        <w:rPr>
          <w:rFonts w:ascii="宋体" w:hAnsi="宋体"/>
          <w:color w:val="auto"/>
          <w:sz w:val="28"/>
          <w:szCs w:val="28"/>
        </w:rPr>
        <w:t>厂址所在地无泥石流及地面塌陷等地质现象。</w:t>
      </w:r>
    </w:p>
    <w:p>
      <w:pPr>
        <w:ind w:firstLine="560" w:firstLineChars="200"/>
        <w:rPr>
          <w:color w:val="auto"/>
        </w:rPr>
      </w:pPr>
      <w:r>
        <w:rPr>
          <w:rFonts w:hint="eastAsia" w:ascii="宋体" w:hAnsi="宋体"/>
          <w:color w:val="auto"/>
          <w:sz w:val="28"/>
          <w:szCs w:val="28"/>
        </w:rPr>
        <w:t>综上所述，自然危害因素的发生基本是不可避免的，因为它是自然形成的。正常情况下，自然条件对该项目无不良影响。针对极端的自然有害因素，该项目初步设计中应采取有效的安全控制措施。</w:t>
      </w:r>
    </w:p>
    <w:p>
      <w:pPr>
        <w:keepNext/>
        <w:keepLines/>
        <w:spacing w:line="360" w:lineRule="auto"/>
        <w:jc w:val="left"/>
        <w:outlineLvl w:val="2"/>
        <w:rPr>
          <w:rFonts w:ascii="Calibri" w:hAnsi="Calibri"/>
          <w:b/>
          <w:color w:val="auto"/>
          <w:sz w:val="28"/>
          <w:szCs w:val="32"/>
        </w:rPr>
      </w:pPr>
      <w:bookmarkStart w:id="195" w:name="_Toc144109212"/>
      <w:r>
        <w:rPr>
          <w:rFonts w:hint="eastAsia" w:ascii="Calibri" w:hAnsi="Calibri"/>
          <w:b/>
          <w:color w:val="auto"/>
          <w:sz w:val="28"/>
          <w:szCs w:val="32"/>
        </w:rPr>
        <w:t>7</w:t>
      </w:r>
      <w:r>
        <w:rPr>
          <w:rFonts w:ascii="Calibri" w:hAnsi="Calibri"/>
          <w:b/>
          <w:color w:val="auto"/>
          <w:sz w:val="28"/>
          <w:szCs w:val="32"/>
        </w:rPr>
        <w:t>.2.5</w:t>
      </w:r>
      <w:r>
        <w:rPr>
          <w:rFonts w:hint="eastAsia" w:ascii="Calibri" w:hAnsi="Calibri"/>
          <w:b/>
          <w:color w:val="auto"/>
          <w:sz w:val="28"/>
          <w:szCs w:val="32"/>
        </w:rPr>
        <w:t>建设项目与其他现有、在建装置的相互影响</w:t>
      </w:r>
      <w:bookmarkEnd w:id="195"/>
    </w:p>
    <w:p>
      <w:pPr>
        <w:pStyle w:val="2"/>
        <w:spacing w:line="360" w:lineRule="auto"/>
        <w:ind w:firstLine="562" w:firstLineChars="200"/>
        <w:rPr>
          <w:b/>
          <w:bCs/>
          <w:color w:val="auto"/>
          <w:sz w:val="28"/>
          <w:szCs w:val="28"/>
        </w:rPr>
      </w:pPr>
      <w:r>
        <w:rPr>
          <w:rFonts w:hint="eastAsia"/>
          <w:b/>
          <w:bCs/>
          <w:color w:val="auto"/>
          <w:sz w:val="28"/>
          <w:szCs w:val="28"/>
        </w:rPr>
        <w:t>1</w:t>
      </w:r>
      <w:r>
        <w:rPr>
          <w:b/>
          <w:bCs/>
          <w:color w:val="auto"/>
          <w:sz w:val="28"/>
          <w:szCs w:val="28"/>
        </w:rPr>
        <w:t>.</w:t>
      </w:r>
      <w:r>
        <w:rPr>
          <w:rFonts w:hint="eastAsia"/>
          <w:b/>
          <w:bCs/>
          <w:color w:val="auto"/>
          <w:sz w:val="28"/>
          <w:szCs w:val="28"/>
        </w:rPr>
        <w:t>建设项目对现有、在建装置的影响</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该项目为新建项目，建设项目所在地为空地，不存在已有及在建装置。</w:t>
      </w:r>
    </w:p>
    <w:p>
      <w:pPr>
        <w:pStyle w:val="2"/>
        <w:spacing w:line="360" w:lineRule="auto"/>
        <w:ind w:firstLine="562" w:firstLineChars="200"/>
        <w:rPr>
          <w:b/>
          <w:bCs/>
          <w:color w:val="auto"/>
          <w:sz w:val="28"/>
          <w:szCs w:val="28"/>
        </w:rPr>
      </w:pPr>
      <w:r>
        <w:rPr>
          <w:rFonts w:hint="eastAsia"/>
          <w:b/>
          <w:bCs/>
          <w:color w:val="auto"/>
          <w:sz w:val="28"/>
          <w:szCs w:val="28"/>
        </w:rPr>
        <w:t>2</w:t>
      </w:r>
      <w:r>
        <w:rPr>
          <w:b/>
          <w:bCs/>
          <w:color w:val="auto"/>
          <w:sz w:val="28"/>
          <w:szCs w:val="28"/>
        </w:rPr>
        <w:t>.</w:t>
      </w:r>
      <w:r>
        <w:rPr>
          <w:rFonts w:hint="eastAsia"/>
          <w:b/>
          <w:bCs/>
          <w:color w:val="auto"/>
          <w:sz w:val="28"/>
          <w:szCs w:val="28"/>
        </w:rPr>
        <w:t>现有、在建装置对该项目的影响</w:t>
      </w:r>
    </w:p>
    <w:p>
      <w:pPr>
        <w:spacing w:line="360" w:lineRule="auto"/>
        <w:ind w:firstLine="560" w:firstLineChars="200"/>
        <w:jc w:val="left"/>
        <w:rPr>
          <w:bCs/>
          <w:color w:val="auto"/>
          <w:sz w:val="28"/>
          <w:szCs w:val="28"/>
        </w:rPr>
      </w:pPr>
      <w:r>
        <w:rPr>
          <w:rFonts w:hint="eastAsia" w:ascii="宋体" w:hAnsi="宋体"/>
          <w:color w:val="auto"/>
          <w:sz w:val="28"/>
          <w:szCs w:val="28"/>
        </w:rPr>
        <w:t>该项目为新建项目，建设厂址无已有及在建装置。</w:t>
      </w:r>
    </w:p>
    <w:p>
      <w:pPr>
        <w:spacing w:line="360" w:lineRule="auto"/>
        <w:ind w:firstLine="560" w:firstLineChars="200"/>
        <w:jc w:val="left"/>
        <w:rPr>
          <w:rFonts w:hAnsi="宋体"/>
          <w:color w:val="auto"/>
          <w:sz w:val="28"/>
          <w:szCs w:val="28"/>
        </w:rPr>
      </w:pPr>
      <w:r>
        <w:rPr>
          <w:rFonts w:hint="eastAsia" w:ascii="宋体" w:hAnsi="宋体"/>
          <w:color w:val="auto"/>
          <w:sz w:val="28"/>
          <w:szCs w:val="28"/>
        </w:rPr>
        <w:t>该项目的公用、辅助设施如电、水、蒸汽等均依托园区供应，如出现故障造成电、水的中断，被迫停车。</w:t>
      </w:r>
    </w:p>
    <w:p>
      <w:pPr>
        <w:keepNext/>
        <w:keepLines/>
        <w:spacing w:line="360" w:lineRule="auto"/>
        <w:jc w:val="left"/>
        <w:outlineLvl w:val="2"/>
        <w:rPr>
          <w:rFonts w:ascii="Calibri" w:hAnsi="Calibri"/>
          <w:b/>
          <w:color w:val="auto"/>
          <w:sz w:val="28"/>
          <w:szCs w:val="32"/>
        </w:rPr>
      </w:pPr>
      <w:bookmarkStart w:id="196" w:name="_Toc144109213"/>
      <w:r>
        <w:rPr>
          <w:rFonts w:hint="eastAsia" w:ascii="Calibri" w:hAnsi="Calibri"/>
          <w:b/>
          <w:color w:val="auto"/>
          <w:sz w:val="28"/>
          <w:szCs w:val="32"/>
        </w:rPr>
        <w:t>7</w:t>
      </w:r>
      <w:r>
        <w:rPr>
          <w:rFonts w:ascii="Calibri" w:hAnsi="Calibri"/>
          <w:b/>
          <w:color w:val="auto"/>
          <w:sz w:val="28"/>
          <w:szCs w:val="32"/>
        </w:rPr>
        <w:t>.2.6</w:t>
      </w:r>
      <w:r>
        <w:rPr>
          <w:rFonts w:hint="eastAsia" w:ascii="Calibri" w:hAnsi="Calibri"/>
          <w:b/>
          <w:color w:val="auto"/>
          <w:sz w:val="28"/>
          <w:szCs w:val="32"/>
        </w:rPr>
        <w:t>建设项目对周边生产、经营活动和居民生活的影响</w:t>
      </w:r>
      <w:bookmarkEnd w:id="196"/>
    </w:p>
    <w:p>
      <w:pPr>
        <w:spacing w:line="360" w:lineRule="auto"/>
        <w:ind w:firstLine="560" w:firstLineChars="200"/>
        <w:rPr>
          <w:color w:val="auto"/>
        </w:rPr>
      </w:pPr>
      <w:r>
        <w:rPr>
          <w:rFonts w:hint="eastAsia" w:ascii="宋体" w:hAnsi="宋体"/>
          <w:color w:val="auto"/>
          <w:sz w:val="28"/>
          <w:szCs w:val="28"/>
        </w:rPr>
        <w:t>该项目位于新干县盐化工业城，项目</w:t>
      </w:r>
      <w:r>
        <w:rPr>
          <w:rFonts w:hint="eastAsia" w:ascii="宋体" w:hAnsi="宋体"/>
          <w:bCs/>
          <w:color w:val="auto"/>
          <w:sz w:val="28"/>
          <w:szCs w:val="28"/>
        </w:rPr>
        <w:t>不存在重大危险源，该项目存在</w:t>
      </w:r>
      <w:r>
        <w:rPr>
          <w:rFonts w:hint="eastAsia" w:ascii="宋体" w:hAnsi="宋体"/>
          <w:color w:val="auto"/>
          <w:kern w:val="0"/>
          <w:sz w:val="28"/>
          <w:szCs w:val="28"/>
        </w:rPr>
        <w:t>火灾、爆炸、中毒和窒息、灼烫、高处坠落、起重伤害、车辆伤害、机械伤害、物体打击，触电、淹溺、噪声危害等危险有害因素，</w:t>
      </w:r>
      <w:r>
        <w:rPr>
          <w:rFonts w:hint="eastAsia" w:ascii="宋体" w:hAnsi="宋体"/>
          <w:color w:val="auto"/>
          <w:sz w:val="28"/>
          <w:szCs w:val="28"/>
        </w:rPr>
        <w:t>与周边相邻企业保持一定的安全距离。</w:t>
      </w:r>
      <w:r>
        <w:rPr>
          <w:rFonts w:hint="eastAsia" w:ascii="宋体" w:hAnsi="宋体"/>
          <w:bCs/>
          <w:color w:val="auto"/>
          <w:sz w:val="28"/>
          <w:szCs w:val="28"/>
        </w:rPr>
        <w:t>因此，建设项目</w:t>
      </w:r>
      <w:r>
        <w:rPr>
          <w:rFonts w:hint="eastAsia" w:ascii="宋体" w:hAnsi="宋体"/>
          <w:color w:val="auto"/>
          <w:sz w:val="28"/>
          <w:szCs w:val="28"/>
        </w:rPr>
        <w:t>与周边单位生产经营活动或者居民生活影响的事故主要有火灾、爆炸、中毒窒息、车辆伤害</w:t>
      </w:r>
      <w:r>
        <w:rPr>
          <w:rFonts w:hint="eastAsia" w:ascii="宋体" w:hAnsi="宋体"/>
          <w:bCs/>
          <w:color w:val="auto"/>
          <w:sz w:val="28"/>
          <w:szCs w:val="28"/>
        </w:rPr>
        <w:t>。</w:t>
      </w:r>
    </w:p>
    <w:p>
      <w:pPr>
        <w:spacing w:line="360" w:lineRule="auto"/>
        <w:ind w:firstLine="560" w:firstLineChars="200"/>
        <w:rPr>
          <w:color w:val="auto"/>
        </w:rPr>
      </w:pPr>
      <w:r>
        <w:rPr>
          <w:rFonts w:hint="eastAsia" w:ascii="宋体" w:hAnsi="宋体"/>
          <w:color w:val="auto"/>
          <w:sz w:val="28"/>
          <w:szCs w:val="28"/>
        </w:rPr>
        <w:t>该项目外部安全防护距离范围内无居民区</w:t>
      </w:r>
      <w:r>
        <w:rPr>
          <w:rFonts w:hint="eastAsia" w:ascii="宋体" w:hAnsi="宋体"/>
          <w:color w:val="auto"/>
          <w:kern w:val="24"/>
          <w:sz w:val="28"/>
          <w:szCs w:val="28"/>
        </w:rPr>
        <w:t>、商业中心、公园等人口密集区域和学校、医院、影剧院、体育场（馆）等公共设施。</w:t>
      </w:r>
    </w:p>
    <w:p>
      <w:pPr>
        <w:spacing w:line="360" w:lineRule="auto"/>
        <w:ind w:firstLine="560" w:firstLineChars="200"/>
        <w:rPr>
          <w:color w:val="auto"/>
          <w:sz w:val="28"/>
          <w:szCs w:val="28"/>
        </w:rPr>
      </w:pPr>
      <w:r>
        <w:rPr>
          <w:rFonts w:hint="eastAsia" w:ascii="宋体" w:hAnsi="宋体"/>
          <w:color w:val="auto"/>
          <w:sz w:val="28"/>
          <w:szCs w:val="28"/>
        </w:rPr>
        <w:t>该项目在施工过程中存在着机械噪声、人员喧哗声，但这些影响是局部的、暂时的，随着施工过程的结束，这些影响也将消失。施工过程中排放的施工废水中污染物的含量很低，生活污水量少且分散。</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该项目产生的</w:t>
      </w:r>
      <w:r>
        <w:rPr>
          <w:rFonts w:hint="eastAsia"/>
          <w:color w:val="auto"/>
          <w:sz w:val="28"/>
          <w:szCs w:val="28"/>
        </w:rPr>
        <w:t>“三废”在采取相关措施对其进行处理后进行排放。</w:t>
      </w:r>
      <w:r>
        <w:rPr>
          <w:rFonts w:hint="eastAsia" w:ascii="宋体" w:hAnsi="宋体"/>
          <w:color w:val="auto"/>
          <w:sz w:val="28"/>
          <w:szCs w:val="28"/>
        </w:rPr>
        <w:t>如采用废气通过布袋除尘器处理后，通过高排气筒排放。产生的生活垃圾由环卫部门清运，物料编织袋外售综合利用，降低了对周围环境的污染。废水通过排污水处理站处理达到规范标准后再行排放。</w:t>
      </w:r>
    </w:p>
    <w:p>
      <w:pPr>
        <w:ind w:firstLine="560" w:firstLineChars="200"/>
        <w:rPr>
          <w:color w:val="auto"/>
        </w:rPr>
      </w:pPr>
      <w:r>
        <w:rPr>
          <w:rFonts w:hint="eastAsia" w:ascii="宋体" w:hAnsi="宋体"/>
          <w:color w:val="auto"/>
          <w:sz w:val="28"/>
          <w:szCs w:val="28"/>
        </w:rPr>
        <w:t>因此，该</w:t>
      </w:r>
      <w:r>
        <w:rPr>
          <w:rFonts w:ascii="宋体" w:hAnsi="宋体"/>
          <w:color w:val="auto"/>
          <w:sz w:val="28"/>
          <w:szCs w:val="28"/>
        </w:rPr>
        <w:t>项目建成投产后正常运行时不会对周围环境产生</w:t>
      </w:r>
      <w:r>
        <w:rPr>
          <w:rFonts w:hint="eastAsia" w:ascii="宋体" w:hAnsi="宋体"/>
          <w:color w:val="auto"/>
          <w:sz w:val="28"/>
          <w:szCs w:val="28"/>
        </w:rPr>
        <w:t>较大影响。但是，该项目甲类车间、甲类仓库等危险性较大的场所发生火灾事故，则会对周边居民及企业的生产生活产生影响。</w:t>
      </w:r>
    </w:p>
    <w:p>
      <w:pPr>
        <w:keepNext/>
        <w:keepLines/>
        <w:spacing w:line="360" w:lineRule="auto"/>
        <w:jc w:val="left"/>
        <w:outlineLvl w:val="2"/>
        <w:rPr>
          <w:rFonts w:ascii="Calibri" w:hAnsi="Calibri"/>
          <w:b/>
          <w:color w:val="auto"/>
          <w:sz w:val="28"/>
          <w:szCs w:val="32"/>
        </w:rPr>
      </w:pPr>
      <w:bookmarkStart w:id="197" w:name="_Toc144109214"/>
      <w:r>
        <w:rPr>
          <w:rFonts w:hint="eastAsia" w:ascii="Calibri" w:hAnsi="Calibri"/>
          <w:b/>
          <w:color w:val="auto"/>
          <w:sz w:val="28"/>
          <w:szCs w:val="32"/>
        </w:rPr>
        <w:t>7</w:t>
      </w:r>
      <w:r>
        <w:rPr>
          <w:rFonts w:ascii="Calibri" w:hAnsi="Calibri"/>
          <w:b/>
          <w:color w:val="auto"/>
          <w:sz w:val="28"/>
          <w:szCs w:val="32"/>
        </w:rPr>
        <w:t>.2.7</w:t>
      </w:r>
      <w:r>
        <w:rPr>
          <w:rFonts w:hint="eastAsia" w:ascii="Calibri" w:hAnsi="Calibri"/>
          <w:b/>
          <w:color w:val="auto"/>
          <w:sz w:val="28"/>
          <w:szCs w:val="32"/>
        </w:rPr>
        <w:t>建设项目周边生产、经营活动和居民生活情况对建设项目投入生产后的影响</w:t>
      </w:r>
      <w:bookmarkEnd w:id="197"/>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该项目位于新干县盐化工业城内，</w:t>
      </w:r>
      <w:r>
        <w:rPr>
          <w:rFonts w:hint="eastAsia"/>
          <w:color w:val="auto"/>
          <w:sz w:val="28"/>
          <w:szCs w:val="28"/>
        </w:rPr>
        <w:t>10</w:t>
      </w:r>
      <w:r>
        <w:rPr>
          <w:color w:val="auto"/>
          <w:sz w:val="28"/>
          <w:szCs w:val="28"/>
        </w:rPr>
        <w:t>00</w:t>
      </w:r>
      <w:r>
        <w:rPr>
          <w:rFonts w:hint="eastAsia"/>
          <w:color w:val="auto"/>
          <w:sz w:val="28"/>
          <w:szCs w:val="28"/>
        </w:rPr>
        <w:t>m</w:t>
      </w:r>
      <w:r>
        <w:rPr>
          <w:rFonts w:hint="eastAsia" w:ascii="宋体" w:hAnsi="宋体"/>
          <w:color w:val="auto"/>
          <w:sz w:val="28"/>
          <w:szCs w:val="28"/>
        </w:rPr>
        <w:t>距离范围内无居民区，</w:t>
      </w:r>
      <w:r>
        <w:rPr>
          <w:rFonts w:hint="eastAsia"/>
          <w:color w:val="auto"/>
          <w:kern w:val="24"/>
          <w:sz w:val="28"/>
          <w:szCs w:val="28"/>
        </w:rPr>
        <w:t>1</w:t>
      </w:r>
      <w:r>
        <w:rPr>
          <w:color w:val="auto"/>
          <w:kern w:val="24"/>
          <w:sz w:val="28"/>
          <w:szCs w:val="28"/>
        </w:rPr>
        <w:t>000</w:t>
      </w:r>
      <w:r>
        <w:rPr>
          <w:rFonts w:hint="eastAsia"/>
          <w:color w:val="auto"/>
          <w:kern w:val="24"/>
          <w:sz w:val="28"/>
          <w:szCs w:val="28"/>
        </w:rPr>
        <w:t>m</w:t>
      </w:r>
      <w:r>
        <w:rPr>
          <w:rFonts w:hint="eastAsia" w:ascii="宋体" w:hAnsi="宋体"/>
          <w:color w:val="auto"/>
          <w:kern w:val="24"/>
          <w:sz w:val="28"/>
          <w:szCs w:val="28"/>
        </w:rPr>
        <w:t>范围内无商业中心、公园等人口密集区域和学校、医院、影剧院、体育场（馆）等公共设施</w:t>
      </w:r>
      <w:r>
        <w:rPr>
          <w:rFonts w:hint="eastAsia" w:ascii="宋体" w:hAnsi="宋体"/>
          <w:color w:val="auto"/>
          <w:sz w:val="28"/>
          <w:szCs w:val="28"/>
        </w:rPr>
        <w:t>；</w:t>
      </w:r>
      <w:r>
        <w:rPr>
          <w:rFonts w:hint="eastAsia" w:ascii="宋体" w:hAnsi="宋体"/>
          <w:color w:val="auto"/>
          <w:kern w:val="0"/>
          <w:sz w:val="28"/>
          <w:szCs w:val="28"/>
        </w:rPr>
        <w:t>周边生产、经营活动居民生活</w:t>
      </w:r>
      <w:r>
        <w:rPr>
          <w:rFonts w:hint="eastAsia" w:ascii="宋体" w:hAnsi="宋体"/>
          <w:color w:val="auto"/>
          <w:sz w:val="28"/>
          <w:szCs w:val="28"/>
        </w:rPr>
        <w:t>不会对该项目生产产生不利影响。</w:t>
      </w:r>
    </w:p>
    <w:p>
      <w:pPr>
        <w:spacing w:line="360" w:lineRule="auto"/>
        <w:ind w:firstLine="560" w:firstLineChars="200"/>
        <w:rPr>
          <w:color w:val="auto"/>
          <w:sz w:val="28"/>
          <w:szCs w:val="28"/>
        </w:rPr>
      </w:pPr>
      <w:r>
        <w:rPr>
          <w:rFonts w:hint="eastAsia" w:ascii="宋体" w:hAnsi="宋体"/>
          <w:color w:val="auto"/>
          <w:sz w:val="28"/>
          <w:szCs w:val="28"/>
        </w:rPr>
        <w:t>依据现场踏勘情况与该公司提供资料，拟建项目装置与周边企业最近装置防护距离满足要求；该项目装置位于基地内，与最近的居民点、距离最近的企业的距离均满足外部安全防护距离及防火间距的要求。</w:t>
      </w:r>
    </w:p>
    <w:p>
      <w:pPr>
        <w:pStyle w:val="8"/>
        <w:spacing w:line="360" w:lineRule="auto"/>
        <w:ind w:firstLine="560"/>
        <w:rPr>
          <w:rFonts w:ascii="宋体" w:hAnsi="宋体"/>
          <w:color w:val="auto"/>
          <w:sz w:val="28"/>
          <w:szCs w:val="28"/>
        </w:rPr>
      </w:pPr>
      <w:r>
        <w:rPr>
          <w:rFonts w:hint="eastAsia" w:ascii="宋体" w:hAnsi="宋体"/>
          <w:color w:val="auto"/>
          <w:sz w:val="28"/>
          <w:szCs w:val="28"/>
        </w:rPr>
        <w:t>周边区域24h内均有人员活动，但其活动全部限制在特定区域，居民的生产经营活动一般不会对该项目的生产产生影响，但是如果没有健全的安全管理制度和措施，致使外部闲散人员能够随意进入该厂，也可对正常的生产经营活动造成不良影响。</w:t>
      </w:r>
    </w:p>
    <w:p>
      <w:pPr>
        <w:pStyle w:val="8"/>
        <w:spacing w:line="360" w:lineRule="auto"/>
        <w:ind w:firstLine="560"/>
        <w:rPr>
          <w:color w:val="auto"/>
          <w:sz w:val="28"/>
          <w:szCs w:val="28"/>
        </w:rPr>
      </w:pPr>
      <w:r>
        <w:rPr>
          <w:rFonts w:hint="eastAsia" w:ascii="宋体" w:hAnsi="宋体"/>
          <w:color w:val="auto"/>
          <w:sz w:val="28"/>
          <w:szCs w:val="28"/>
        </w:rPr>
        <w:t>因此，该项目</w:t>
      </w:r>
      <w:r>
        <w:rPr>
          <w:rFonts w:hint="eastAsia" w:ascii="宋体" w:hAnsi="宋体"/>
          <w:color w:val="auto"/>
          <w:kern w:val="0"/>
          <w:sz w:val="28"/>
          <w:szCs w:val="28"/>
        </w:rPr>
        <w:t>周边生产、经营活动居民生活</w:t>
      </w:r>
      <w:r>
        <w:rPr>
          <w:rFonts w:hint="eastAsia" w:ascii="宋体" w:hAnsi="宋体"/>
          <w:color w:val="auto"/>
          <w:sz w:val="28"/>
          <w:szCs w:val="28"/>
        </w:rPr>
        <w:t>在正常生产情况下，对该项目</w:t>
      </w:r>
      <w:r>
        <w:rPr>
          <w:rFonts w:hint="eastAsia" w:ascii="宋体" w:hAnsi="宋体"/>
          <w:bCs/>
          <w:color w:val="auto"/>
          <w:sz w:val="28"/>
          <w:szCs w:val="28"/>
        </w:rPr>
        <w:t>的生产、经营活动基本没有影响。但如果周边企业生产装置设施存在重大危险源或有毒有害气体，发生火灾、爆炸、有毒气体泄露等事故，对项目生产活动产生一定影响，</w:t>
      </w:r>
      <w:r>
        <w:rPr>
          <w:rFonts w:ascii="宋体" w:hAnsi="宋体"/>
          <w:color w:val="auto"/>
          <w:sz w:val="28"/>
          <w:szCs w:val="28"/>
        </w:rPr>
        <w:t>应引起</w:t>
      </w:r>
      <w:r>
        <w:rPr>
          <w:rFonts w:hint="eastAsia" w:ascii="宋体" w:hAnsi="宋体"/>
          <w:color w:val="auto"/>
          <w:sz w:val="28"/>
          <w:szCs w:val="28"/>
        </w:rPr>
        <w:t>项目</w:t>
      </w:r>
      <w:r>
        <w:rPr>
          <w:rFonts w:ascii="宋体" w:hAnsi="宋体"/>
          <w:color w:val="auto"/>
          <w:sz w:val="28"/>
          <w:szCs w:val="28"/>
        </w:rPr>
        <w:t>单位的注意</w:t>
      </w:r>
      <w:r>
        <w:rPr>
          <w:rFonts w:hint="eastAsia" w:ascii="宋体" w:hAnsi="宋体"/>
          <w:color w:val="auto"/>
          <w:sz w:val="28"/>
          <w:szCs w:val="28"/>
        </w:rPr>
        <w:t>，</w:t>
      </w:r>
      <w:r>
        <w:rPr>
          <w:rFonts w:ascii="宋体" w:hAnsi="宋体"/>
          <w:color w:val="auto"/>
          <w:sz w:val="28"/>
          <w:szCs w:val="28"/>
        </w:rPr>
        <w:t>采取有效措施，加以防范。</w:t>
      </w:r>
    </w:p>
    <w:p>
      <w:pPr>
        <w:keepNext/>
        <w:pageBreakBefore/>
        <w:widowControl/>
        <w:spacing w:line="600" w:lineRule="exact"/>
        <w:jc w:val="left"/>
        <w:outlineLvl w:val="0"/>
        <w:rPr>
          <w:b/>
          <w:color w:val="auto"/>
          <w:kern w:val="44"/>
          <w:sz w:val="32"/>
          <w:szCs w:val="32"/>
        </w:rPr>
      </w:pPr>
      <w:bookmarkStart w:id="198" w:name="_Toc144109215"/>
      <w:r>
        <w:rPr>
          <w:b/>
          <w:color w:val="auto"/>
          <w:kern w:val="44"/>
          <w:sz w:val="32"/>
          <w:szCs w:val="32"/>
        </w:rPr>
        <w:t xml:space="preserve">8 </w:t>
      </w:r>
      <w:r>
        <w:rPr>
          <w:rFonts w:hint="eastAsia"/>
          <w:b/>
          <w:color w:val="auto"/>
          <w:kern w:val="44"/>
          <w:sz w:val="32"/>
          <w:szCs w:val="32"/>
        </w:rPr>
        <w:t>主要技术、工艺和装置、设备设施安全可靠性分析结果</w:t>
      </w:r>
      <w:bookmarkEnd w:id="198"/>
    </w:p>
    <w:p>
      <w:pPr>
        <w:keepNext/>
        <w:keepLines/>
        <w:spacing w:line="580" w:lineRule="exact"/>
        <w:jc w:val="left"/>
        <w:outlineLvl w:val="1"/>
        <w:rPr>
          <w:rFonts w:ascii="Calibri Light" w:hAnsi="Calibri Light"/>
          <w:b/>
          <w:color w:val="auto"/>
          <w:sz w:val="30"/>
          <w:szCs w:val="30"/>
        </w:rPr>
      </w:pPr>
      <w:bookmarkStart w:id="199" w:name="_Toc144109216"/>
      <w:r>
        <w:rPr>
          <w:rFonts w:ascii="Calibri Light" w:hAnsi="Calibri Light"/>
          <w:b/>
          <w:color w:val="auto"/>
          <w:sz w:val="30"/>
          <w:szCs w:val="30"/>
        </w:rPr>
        <w:t>8.1</w:t>
      </w:r>
      <w:r>
        <w:rPr>
          <w:rFonts w:hint="eastAsia" w:ascii="Calibri Light" w:hAnsi="Calibri Light"/>
          <w:b/>
          <w:color w:val="auto"/>
          <w:sz w:val="30"/>
          <w:szCs w:val="30"/>
        </w:rPr>
        <w:t>总平面布置及建构筑物评价</w:t>
      </w:r>
      <w:bookmarkEnd w:id="199"/>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1.总平面布置</w:t>
      </w:r>
    </w:p>
    <w:p>
      <w:pPr>
        <w:ind w:firstLine="560" w:firstLineChars="200"/>
        <w:rPr>
          <w:color w:val="auto"/>
          <w:sz w:val="28"/>
          <w:szCs w:val="28"/>
        </w:rPr>
      </w:pPr>
      <w:r>
        <w:rPr>
          <w:rFonts w:hint="eastAsia" w:ascii="宋体" w:hAnsi="宋体"/>
          <w:color w:val="auto"/>
          <w:sz w:val="28"/>
          <w:szCs w:val="28"/>
        </w:rPr>
        <w:t>该项目拟建于江西省吉安市新干县盐化工业城内；根据表C</w:t>
      </w:r>
      <w:r>
        <w:rPr>
          <w:rFonts w:ascii="宋体" w:hAnsi="宋体"/>
          <w:color w:val="auto"/>
          <w:sz w:val="28"/>
          <w:szCs w:val="28"/>
        </w:rPr>
        <w:t>.1</w:t>
      </w:r>
      <w:r>
        <w:rPr>
          <w:rFonts w:hint="eastAsia" w:ascii="宋体" w:hAnsi="宋体"/>
          <w:color w:val="auto"/>
          <w:sz w:val="28"/>
          <w:szCs w:val="28"/>
        </w:rPr>
        <w:t>-3、C</w:t>
      </w:r>
      <w:r>
        <w:rPr>
          <w:rFonts w:ascii="宋体" w:hAnsi="宋体"/>
          <w:color w:val="auto"/>
          <w:sz w:val="28"/>
          <w:szCs w:val="28"/>
        </w:rPr>
        <w:t>.1</w:t>
      </w:r>
      <w:r>
        <w:rPr>
          <w:rFonts w:hint="eastAsia" w:ascii="宋体" w:hAnsi="宋体"/>
          <w:color w:val="auto"/>
          <w:sz w:val="28"/>
          <w:szCs w:val="28"/>
        </w:rPr>
        <w:t>-4的检查结果。该公司总平面按功能分区，分区相互之间保持一定的通道和间距，总平面布置基本合理，总平面布置基本符合相关标准、规范的要求。该项目已通过环境影响报告审查，并取得了批复。</w:t>
      </w:r>
    </w:p>
    <w:p>
      <w:pPr>
        <w:ind w:firstLine="560" w:firstLineChars="200"/>
        <w:rPr>
          <w:color w:val="auto"/>
          <w:sz w:val="28"/>
          <w:szCs w:val="28"/>
        </w:rPr>
      </w:pPr>
      <w:r>
        <w:rPr>
          <w:rFonts w:hint="eastAsia" w:ascii="宋体" w:hAnsi="宋体"/>
          <w:color w:val="auto"/>
          <w:sz w:val="28"/>
          <w:szCs w:val="28"/>
        </w:rPr>
        <w:t>项目装置占地面积、平面布置等符合《精细化工企业工程设计防火标准》、《建筑设计防火规范》的要求。</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2.消防通道</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该公司厂内道路采用城市郊区型，道路系统的布置除满足生产及人行要求外，还考虑满足消防规范的要求。生产装置区道路成环形布置，并与厂外公路相连。厂区道路采用混凝土路面，宽度大于</w:t>
      </w:r>
      <w:r>
        <w:rPr>
          <w:rFonts w:ascii="宋体" w:hAnsi="宋体"/>
          <w:color w:val="auto"/>
          <w:sz w:val="28"/>
          <w:szCs w:val="28"/>
        </w:rPr>
        <w:t>6</w:t>
      </w:r>
      <w:r>
        <w:rPr>
          <w:rFonts w:hint="eastAsia" w:ascii="宋体" w:hAnsi="宋体"/>
          <w:color w:val="auto"/>
          <w:sz w:val="28"/>
          <w:szCs w:val="28"/>
        </w:rPr>
        <w:t>m。道路转弯半径9m。满足消防通道的要求。</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3.建（构）筑</w:t>
      </w:r>
    </w:p>
    <w:p>
      <w:pPr>
        <w:ind w:firstLine="560" w:firstLineChars="200"/>
        <w:rPr>
          <w:color w:val="auto"/>
        </w:rPr>
      </w:pPr>
      <w:r>
        <w:rPr>
          <w:rFonts w:hint="eastAsia" w:ascii="宋体" w:hAnsi="宋体"/>
          <w:color w:val="auto"/>
          <w:sz w:val="28"/>
          <w:szCs w:val="28"/>
        </w:rPr>
        <w:t>该项目</w:t>
      </w:r>
      <w:r>
        <w:rPr>
          <w:rFonts w:hint="eastAsia" w:ascii="宋体" w:hAnsi="宋体"/>
          <w:color w:val="auto"/>
          <w:kern w:val="0"/>
          <w:sz w:val="28"/>
          <w:szCs w:val="28"/>
        </w:rPr>
        <w:t>建筑物和生产装置等，拟布置在土质均匀、地基承载力较大的地段；</w:t>
      </w:r>
      <w:r>
        <w:rPr>
          <w:rFonts w:hint="eastAsia" w:ascii="宋体" w:hAnsi="宋体"/>
          <w:color w:val="auto"/>
          <w:sz w:val="28"/>
          <w:szCs w:val="28"/>
        </w:rPr>
        <w:t>主要生产建构筑物的结构安全等级按二级考虑，采用现浇钢筋混凝土框架。</w:t>
      </w:r>
    </w:p>
    <w:p>
      <w:pPr>
        <w:ind w:firstLine="560" w:firstLineChars="200"/>
        <w:rPr>
          <w:rFonts w:ascii="宋体" w:hAnsi="宋体"/>
          <w:color w:val="auto"/>
          <w:sz w:val="28"/>
          <w:szCs w:val="28"/>
        </w:rPr>
      </w:pPr>
      <w:r>
        <w:rPr>
          <w:rFonts w:ascii="宋体" w:hAnsi="宋体"/>
          <w:color w:val="auto"/>
          <w:sz w:val="28"/>
          <w:szCs w:val="28"/>
        </w:rPr>
        <w:t>综上所述，该项目装置内布置、消防道路，占地面积符合标准、规范的要求。</w:t>
      </w:r>
      <w:r>
        <w:rPr>
          <w:rFonts w:hint="eastAsia" w:ascii="宋体" w:hAnsi="宋体"/>
          <w:color w:val="auto"/>
          <w:sz w:val="28"/>
          <w:szCs w:val="28"/>
        </w:rPr>
        <w:t>装置（车间）内的设备布置、通道的宽度及其上方高度应执行《化工装置设备布置设计规定》（</w:t>
      </w:r>
      <w:r>
        <w:rPr>
          <w:rFonts w:hint="eastAsia"/>
          <w:color w:val="auto"/>
          <w:sz w:val="28"/>
          <w:szCs w:val="28"/>
        </w:rPr>
        <w:t>HG 20546</w:t>
      </w:r>
      <w:r>
        <w:rPr>
          <w:rFonts w:hint="eastAsia" w:ascii="宋体" w:hAnsi="宋体"/>
          <w:color w:val="auto"/>
          <w:sz w:val="28"/>
          <w:szCs w:val="28"/>
        </w:rPr>
        <w:t>）中的有关规定。</w:t>
      </w:r>
    </w:p>
    <w:p>
      <w:pPr>
        <w:keepNext/>
        <w:keepLines/>
        <w:spacing w:line="580" w:lineRule="exact"/>
        <w:jc w:val="left"/>
        <w:outlineLvl w:val="1"/>
        <w:rPr>
          <w:rFonts w:ascii="Calibri Light" w:hAnsi="Calibri Light"/>
          <w:b/>
          <w:color w:val="auto"/>
          <w:sz w:val="30"/>
          <w:szCs w:val="30"/>
        </w:rPr>
      </w:pPr>
      <w:bookmarkStart w:id="200" w:name="_Toc144109217"/>
      <w:r>
        <w:rPr>
          <w:rFonts w:ascii="Calibri Light" w:hAnsi="Calibri Light"/>
          <w:b/>
          <w:color w:val="auto"/>
          <w:sz w:val="30"/>
          <w:szCs w:val="30"/>
        </w:rPr>
        <w:t>8.2</w:t>
      </w:r>
      <w:r>
        <w:rPr>
          <w:rFonts w:hint="eastAsia" w:ascii="Calibri Light" w:hAnsi="Calibri Light"/>
          <w:b/>
          <w:color w:val="auto"/>
          <w:sz w:val="30"/>
          <w:szCs w:val="30"/>
        </w:rPr>
        <w:t>工艺技术及生产装置的安全可靠性评价</w:t>
      </w:r>
      <w:bookmarkEnd w:id="200"/>
    </w:p>
    <w:p>
      <w:pPr>
        <w:ind w:firstLine="560" w:firstLineChars="200"/>
        <w:rPr>
          <w:color w:val="auto"/>
          <w:sz w:val="28"/>
          <w:szCs w:val="28"/>
        </w:rPr>
      </w:pPr>
      <w:r>
        <w:rPr>
          <w:rFonts w:hint="eastAsia"/>
          <w:color w:val="auto"/>
          <w:sz w:val="28"/>
          <w:szCs w:val="28"/>
        </w:rPr>
        <w:t>1.技术、工艺安全可靠性评价</w:t>
      </w:r>
    </w:p>
    <w:p>
      <w:pPr>
        <w:ind w:firstLine="560" w:firstLineChars="200"/>
        <w:rPr>
          <w:color w:val="auto"/>
        </w:rPr>
      </w:pPr>
      <w:r>
        <w:rPr>
          <w:rFonts w:ascii="宋体" w:hAnsi="宋体"/>
          <w:color w:val="auto"/>
          <w:sz w:val="28"/>
          <w:szCs w:val="28"/>
        </w:rPr>
        <w:t>江西鑫立莱生化有限责任公司</w:t>
      </w:r>
      <w:r>
        <w:rPr>
          <w:rFonts w:hint="eastAsia" w:ascii="宋体" w:hAnsi="宋体"/>
          <w:color w:val="auto"/>
          <w:sz w:val="28"/>
          <w:szCs w:val="28"/>
        </w:rPr>
        <w:t>芸苔素内酯原药生产将原辅料经磺酰化反应、水解反应、氧化反应、还原反应、重排反应、双羟化反应、内酯化反应等步骤合成2</w:t>
      </w:r>
      <w:r>
        <w:rPr>
          <w:rFonts w:ascii="宋体" w:hAnsi="宋体"/>
          <w:color w:val="auto"/>
          <w:sz w:val="28"/>
          <w:szCs w:val="28"/>
        </w:rPr>
        <w:t>4-</w:t>
      </w:r>
      <w:r>
        <w:rPr>
          <w:rFonts w:hint="eastAsia" w:ascii="宋体" w:hAnsi="宋体"/>
          <w:color w:val="auto"/>
          <w:sz w:val="28"/>
          <w:szCs w:val="28"/>
        </w:rPr>
        <w:t>表芸苔素内酯、2</w:t>
      </w:r>
      <w:r>
        <w:rPr>
          <w:rFonts w:ascii="宋体" w:hAnsi="宋体"/>
          <w:color w:val="auto"/>
          <w:sz w:val="28"/>
          <w:szCs w:val="28"/>
        </w:rPr>
        <w:t>8-</w:t>
      </w:r>
      <w:r>
        <w:rPr>
          <w:rFonts w:hint="eastAsia" w:ascii="宋体" w:hAnsi="宋体"/>
          <w:color w:val="auto"/>
          <w:sz w:val="28"/>
          <w:szCs w:val="28"/>
        </w:rPr>
        <w:t>高芸苔素内酯和丙酰芸苔素内酯</w:t>
      </w:r>
      <w:r>
        <w:rPr>
          <w:rFonts w:ascii="宋体" w:hAnsi="宋体"/>
          <w:color w:val="auto"/>
          <w:sz w:val="28"/>
          <w:szCs w:val="28"/>
        </w:rPr>
        <w:t>。</w:t>
      </w:r>
    </w:p>
    <w:p>
      <w:pPr>
        <w:ind w:firstLine="560" w:firstLineChars="200"/>
        <w:rPr>
          <w:color w:val="auto"/>
        </w:rPr>
      </w:pPr>
      <w:r>
        <w:rPr>
          <w:rFonts w:hint="eastAsia" w:ascii="宋体" w:hAnsi="宋体"/>
          <w:color w:val="auto"/>
          <w:sz w:val="28"/>
          <w:szCs w:val="28"/>
        </w:rPr>
        <w:t>拟采用的工艺技术为公司自主研发，工艺技术已通过江西省化学化工学会出具的国内首次使用的化工工艺安全可靠性论证，其技术方案是安全、可靠的，能够满足安全生产的要求。工艺可靠性论证报告见附件。</w:t>
      </w:r>
    </w:p>
    <w:p>
      <w:pPr>
        <w:ind w:firstLine="560" w:firstLineChars="200"/>
        <w:rPr>
          <w:color w:val="auto"/>
          <w:sz w:val="28"/>
          <w:szCs w:val="28"/>
        </w:rPr>
      </w:pPr>
      <w:r>
        <w:rPr>
          <w:rFonts w:hint="eastAsia"/>
          <w:color w:val="auto"/>
          <w:sz w:val="28"/>
          <w:szCs w:val="28"/>
        </w:rPr>
        <w:t>2.装置、设施的安全可靠性分析</w:t>
      </w:r>
    </w:p>
    <w:p>
      <w:pPr>
        <w:spacing w:line="360" w:lineRule="auto"/>
        <w:ind w:firstLine="560" w:firstLineChars="200"/>
        <w:jc w:val="left"/>
        <w:rPr>
          <w:color w:val="auto"/>
          <w:sz w:val="28"/>
          <w:szCs w:val="28"/>
        </w:rPr>
      </w:pPr>
      <w:r>
        <w:rPr>
          <w:rFonts w:hint="eastAsia"/>
          <w:color w:val="auto"/>
          <w:sz w:val="28"/>
          <w:szCs w:val="28"/>
        </w:rPr>
        <w:t>1</w:t>
      </w:r>
      <w:r>
        <w:rPr>
          <w:rFonts w:hint="eastAsia" w:ascii="宋体" w:hAnsi="宋体"/>
          <w:color w:val="auto"/>
          <w:sz w:val="28"/>
          <w:szCs w:val="28"/>
        </w:rPr>
        <w:t>）该项目主要装置设备大部分均拟选用国内知名品牌企业；装置中各设备选型均经比较，节能、安全；关键部位配有安全设施或安全附件，如在受超压保护设备相关处设有安全阀等。</w:t>
      </w:r>
    </w:p>
    <w:p>
      <w:pPr>
        <w:spacing w:line="360" w:lineRule="auto"/>
        <w:ind w:firstLine="560" w:firstLineChars="200"/>
        <w:jc w:val="left"/>
        <w:rPr>
          <w:color w:val="auto"/>
          <w:sz w:val="28"/>
          <w:szCs w:val="28"/>
        </w:rPr>
      </w:pPr>
      <w:r>
        <w:rPr>
          <w:color w:val="auto"/>
          <w:sz w:val="28"/>
          <w:szCs w:val="28"/>
        </w:rPr>
        <w:t>2</w:t>
      </w:r>
      <w:r>
        <w:rPr>
          <w:rFonts w:hint="eastAsia" w:ascii="宋体" w:hAnsi="宋体"/>
          <w:color w:val="auto"/>
          <w:sz w:val="28"/>
          <w:szCs w:val="28"/>
        </w:rPr>
        <w:t>）该项目的设备类型较多，包括合成釜、萃取釜、换热器、冷凝器、离心机等，结合本工艺过程的特点部分的设备，针对各种介质的腐蚀特点和不同的工艺操作条件，分别采用了相应材质的设备。</w:t>
      </w:r>
    </w:p>
    <w:p>
      <w:pPr>
        <w:ind w:firstLine="560" w:firstLineChars="200"/>
        <w:rPr>
          <w:color w:val="auto"/>
        </w:rPr>
      </w:pPr>
      <w:r>
        <w:rPr>
          <w:color w:val="auto"/>
          <w:sz w:val="28"/>
          <w:szCs w:val="28"/>
        </w:rPr>
        <w:t>3</w:t>
      </w:r>
      <w:r>
        <w:rPr>
          <w:rFonts w:hint="eastAsia" w:ascii="宋体" w:hAnsi="宋体"/>
          <w:color w:val="auto"/>
          <w:sz w:val="28"/>
          <w:szCs w:val="28"/>
        </w:rPr>
        <w:t>）</w:t>
      </w:r>
      <w:r>
        <w:rPr>
          <w:rFonts w:hint="eastAsia" w:ascii="宋体" w:hAnsi="宋体"/>
          <w:bCs/>
          <w:color w:val="auto"/>
          <w:kern w:val="0"/>
          <w:sz w:val="28"/>
          <w:szCs w:val="28"/>
        </w:rPr>
        <w:t>本项目在工艺参数控制主要采用</w:t>
      </w:r>
      <w:r>
        <w:rPr>
          <w:rFonts w:hint="eastAsia"/>
          <w:bCs/>
          <w:color w:val="auto"/>
          <w:kern w:val="0"/>
          <w:sz w:val="28"/>
          <w:szCs w:val="28"/>
        </w:rPr>
        <w:t>DCS控制系统</w:t>
      </w:r>
      <w:r>
        <w:rPr>
          <w:rFonts w:hint="eastAsia" w:ascii="宋体" w:hAnsi="宋体"/>
          <w:bCs/>
          <w:color w:val="auto"/>
          <w:kern w:val="0"/>
          <w:sz w:val="28"/>
          <w:szCs w:val="28"/>
        </w:rPr>
        <w:t>，辅以部分就地指示仪表</w:t>
      </w:r>
      <w:r>
        <w:rPr>
          <w:rFonts w:hint="eastAsia"/>
          <w:color w:val="auto"/>
        </w:rPr>
        <w:t>，</w:t>
      </w:r>
      <w:r>
        <w:rPr>
          <w:rFonts w:hint="eastAsia" w:ascii="宋体" w:hAnsi="宋体"/>
          <w:color w:val="auto"/>
          <w:sz w:val="28"/>
          <w:szCs w:val="28"/>
        </w:rPr>
        <w:t>对重要的参数如温度、压力、液位、流量等引至控制室集中显示、记录、调节、报警。在生产、储运及使用过程中采取严格的防火、防爆、防静电措施。控制系统拟</w:t>
      </w:r>
      <w:r>
        <w:rPr>
          <w:rFonts w:hint="eastAsia" w:ascii="宋体" w:hAnsi="宋体"/>
          <w:smallCaps/>
          <w:color w:val="auto"/>
          <w:spacing w:val="-8"/>
          <w:sz w:val="28"/>
          <w:szCs w:val="28"/>
        </w:rPr>
        <w:t>对工艺参数、事故报警、安全联锁实现程序控制，均在设备附近设就地开关，以便事故时及时停车。</w:t>
      </w:r>
    </w:p>
    <w:p>
      <w:pPr>
        <w:spacing w:line="360" w:lineRule="auto"/>
        <w:ind w:firstLine="560" w:firstLineChars="200"/>
        <w:jc w:val="left"/>
        <w:rPr>
          <w:rFonts w:ascii="宋体" w:hAnsi="宋体"/>
          <w:color w:val="auto"/>
          <w:sz w:val="28"/>
          <w:szCs w:val="28"/>
        </w:rPr>
      </w:pPr>
      <w:r>
        <w:rPr>
          <w:color w:val="auto"/>
          <w:sz w:val="28"/>
          <w:szCs w:val="28"/>
        </w:rPr>
        <w:t>4</w:t>
      </w:r>
      <w:r>
        <w:rPr>
          <w:rFonts w:hint="eastAsia" w:ascii="宋体" w:hAnsi="宋体"/>
          <w:color w:val="auto"/>
          <w:sz w:val="28"/>
          <w:szCs w:val="28"/>
        </w:rPr>
        <w:t>）智能仪表均拟按规范要求进行选型设计；现场仪表拟选用全天候型；考虑物料的腐蚀性，部分选用防腐蚀型。</w:t>
      </w:r>
    </w:p>
    <w:p>
      <w:pPr>
        <w:spacing w:line="360" w:lineRule="auto"/>
        <w:ind w:firstLine="560" w:firstLineChars="200"/>
        <w:jc w:val="left"/>
        <w:rPr>
          <w:color w:val="auto"/>
          <w:sz w:val="28"/>
          <w:szCs w:val="28"/>
        </w:rPr>
      </w:pPr>
      <w:r>
        <w:rPr>
          <w:rFonts w:hint="eastAsia" w:ascii="宋体" w:hAnsi="宋体"/>
          <w:color w:val="auto"/>
          <w:sz w:val="28"/>
          <w:szCs w:val="28"/>
        </w:rPr>
        <w:t>5）在可能存在可燃气体泄露场所，设置可燃气体探头；在可能存在有毒气体泄露的场所，设置有毒气体探头；在氮气、二氧化碳等窒息性气体可能泄露的地方，设置氧浓度探测器，以便及时发现和处理气体泄露事故，确保装置和人员安全。</w:t>
      </w:r>
    </w:p>
    <w:p>
      <w:pPr>
        <w:ind w:firstLine="560" w:firstLineChars="200"/>
        <w:rPr>
          <w:color w:val="auto"/>
        </w:rPr>
      </w:pPr>
      <w:r>
        <w:rPr>
          <w:rFonts w:hint="eastAsia" w:ascii="宋体" w:hAnsi="宋体"/>
          <w:color w:val="auto"/>
          <w:sz w:val="28"/>
          <w:szCs w:val="28"/>
        </w:rPr>
        <w:t>综合以上分析可以看出，该项目拟采用的装置及设备设施安全可靠，能够满足安全生产的要求</w:t>
      </w:r>
      <w:r>
        <w:rPr>
          <w:rFonts w:hint="eastAsia" w:ascii="宋体" w:hAnsi="宋体"/>
          <w:smallCaps/>
          <w:color w:val="auto"/>
          <w:spacing w:val="-8"/>
          <w:sz w:val="28"/>
          <w:szCs w:val="28"/>
        </w:rPr>
        <w:t>。</w:t>
      </w:r>
    </w:p>
    <w:p>
      <w:pPr>
        <w:keepNext/>
        <w:keepLines/>
        <w:spacing w:line="580" w:lineRule="exact"/>
        <w:jc w:val="left"/>
        <w:outlineLvl w:val="1"/>
        <w:rPr>
          <w:rFonts w:ascii="Calibri Light" w:hAnsi="Calibri Light"/>
          <w:b/>
          <w:color w:val="auto"/>
          <w:sz w:val="30"/>
          <w:szCs w:val="30"/>
        </w:rPr>
      </w:pPr>
      <w:bookmarkStart w:id="201" w:name="_Toc144109218"/>
      <w:r>
        <w:rPr>
          <w:rFonts w:ascii="Calibri Light" w:hAnsi="Calibri Light"/>
          <w:b/>
          <w:color w:val="auto"/>
          <w:sz w:val="30"/>
          <w:szCs w:val="30"/>
        </w:rPr>
        <w:t>8.3</w:t>
      </w:r>
      <w:r>
        <w:rPr>
          <w:rFonts w:hint="eastAsia" w:ascii="Calibri Light" w:hAnsi="Calibri Light"/>
          <w:b/>
          <w:color w:val="auto"/>
          <w:sz w:val="30"/>
          <w:szCs w:val="30"/>
        </w:rPr>
        <w:t>公用工程、辅助设施配套性评价</w:t>
      </w:r>
      <w:bookmarkEnd w:id="201"/>
    </w:p>
    <w:p>
      <w:pPr>
        <w:numPr>
          <w:ilvl w:val="0"/>
          <w:numId w:val="20"/>
        </w:numPr>
        <w:ind w:firstLine="560" w:firstLineChars="200"/>
        <w:rPr>
          <w:color w:val="auto"/>
          <w:sz w:val="28"/>
          <w:szCs w:val="28"/>
        </w:rPr>
      </w:pPr>
      <w:r>
        <w:rPr>
          <w:rFonts w:hint="eastAsia"/>
          <w:color w:val="auto"/>
          <w:sz w:val="28"/>
          <w:szCs w:val="28"/>
        </w:rPr>
        <w:t>给排水：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（1）供水水源</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该项目供水水源来自新干县盐化工业城市政供水管网提供，供水管网主管为DN</w:t>
      </w:r>
      <w:r>
        <w:rPr>
          <w:rFonts w:ascii="宋体" w:hAnsi="宋体"/>
          <w:color w:val="auto"/>
          <w:sz w:val="28"/>
          <w:szCs w:val="28"/>
        </w:rPr>
        <w:t>315</w:t>
      </w:r>
      <w:r>
        <w:rPr>
          <w:rFonts w:hint="eastAsia" w:ascii="宋体" w:hAnsi="宋体"/>
          <w:color w:val="auto"/>
          <w:sz w:val="28"/>
          <w:szCs w:val="28"/>
        </w:rPr>
        <w:t>，压力不小于0</w:t>
      </w:r>
      <w:r>
        <w:rPr>
          <w:rFonts w:ascii="宋体" w:hAnsi="宋体"/>
          <w:color w:val="auto"/>
          <w:sz w:val="28"/>
          <w:szCs w:val="28"/>
        </w:rPr>
        <w:t>.35</w:t>
      </w:r>
      <w:r>
        <w:rPr>
          <w:rFonts w:hint="eastAsia" w:ascii="宋体" w:hAnsi="宋体"/>
          <w:color w:val="auto"/>
          <w:sz w:val="28"/>
          <w:szCs w:val="28"/>
        </w:rPr>
        <w:t>MPa。厂区供水管接入管径DN</w:t>
      </w:r>
      <w:r>
        <w:rPr>
          <w:rFonts w:ascii="宋体" w:hAnsi="宋体"/>
          <w:color w:val="auto"/>
          <w:sz w:val="28"/>
          <w:szCs w:val="28"/>
        </w:rPr>
        <w:t>200</w:t>
      </w:r>
      <w:r>
        <w:rPr>
          <w:rFonts w:hint="eastAsia" w:ascii="宋体" w:hAnsi="宋体"/>
          <w:color w:val="auto"/>
          <w:sz w:val="28"/>
          <w:szCs w:val="28"/>
        </w:rPr>
        <w:t>，正常生产用水由接入管网供应，消防水池补充水由接入管网提供。该项目生产用水、生活用水、绿化用水以及不可预见用水总量为3</w:t>
      </w:r>
      <w:r>
        <w:rPr>
          <w:rFonts w:ascii="宋体" w:hAnsi="宋体"/>
          <w:color w:val="auto"/>
          <w:sz w:val="28"/>
          <w:szCs w:val="28"/>
        </w:rPr>
        <w:t>372.028</w:t>
      </w:r>
      <w:r>
        <w:rPr>
          <w:rFonts w:hint="eastAsia" w:ascii="宋体" w:hAnsi="宋体"/>
          <w:color w:val="auto"/>
          <w:sz w:val="28"/>
          <w:szCs w:val="28"/>
        </w:rPr>
        <w:t xml:space="preserve"> 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d，厂区最大供水量可达4069.44m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d，可以满足供水需求。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（2）排水方案</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废水分为生产废水、生活污水和初期雨水。该项目废水产生量为11053.29t/a。生活污水产生量为5760t/a。生活污水经“化粪池”预处理后进入厂区污水处理站进一步处理，生产废水直排污水处理站处理。项目建设污水站处理能力为200t/d，可以满足污水处理需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该项目设有初期雨水池，初期雨水收集池上方设有溢流口，在初期雨水收集池自然沉淀后排入项目污水处理站处理；后期清洁雨水将通过溢流口外排雨水管网。</w:t>
      </w:r>
    </w:p>
    <w:p>
      <w:pPr>
        <w:spacing w:line="360" w:lineRule="auto"/>
        <w:ind w:left="560"/>
        <w:rPr>
          <w:rFonts w:ascii="宋体" w:hAnsi="宋体"/>
          <w:color w:val="auto"/>
          <w:sz w:val="28"/>
          <w:szCs w:val="28"/>
        </w:rPr>
      </w:pPr>
      <w:r>
        <w:rPr>
          <w:rFonts w:hint="eastAsia" w:ascii="宋体" w:hAnsi="宋体"/>
          <w:color w:val="auto"/>
          <w:sz w:val="28"/>
          <w:szCs w:val="28"/>
        </w:rPr>
        <w:t>（3）循环冷却水系统</w:t>
      </w:r>
    </w:p>
    <w:p>
      <w:pPr>
        <w:pStyle w:val="49"/>
        <w:spacing w:line="360" w:lineRule="auto"/>
        <w:ind w:firstLine="560" w:firstLineChars="200"/>
        <w:rPr>
          <w:rFonts w:hAnsi="宋体" w:cs="Times New Roman"/>
          <w:color w:val="auto"/>
          <w:kern w:val="2"/>
          <w:sz w:val="28"/>
          <w:szCs w:val="28"/>
        </w:rPr>
      </w:pPr>
      <w:r>
        <w:rPr>
          <w:rFonts w:hint="eastAsia" w:hAnsi="宋体" w:cs="Times New Roman"/>
          <w:color w:val="auto"/>
          <w:kern w:val="2"/>
          <w:sz w:val="28"/>
          <w:szCs w:val="28"/>
        </w:rPr>
        <w:t>该项目芸苔素内酯原药生产过程中需使用循环冷却水降温，当循环冷却水盐含量达到一定浓度需要进行置换，用含盐量较低的新鲜水注入循环水系统，同时向污水处理站排放部分含盐量高的循环冷却水。该项目循环冷却水排放量约9</w:t>
      </w:r>
      <w:r>
        <w:rPr>
          <w:rFonts w:hAnsi="宋体" w:cs="Times New Roman"/>
          <w:color w:val="auto"/>
          <w:kern w:val="2"/>
          <w:sz w:val="28"/>
          <w:szCs w:val="28"/>
        </w:rPr>
        <w:t>50</w:t>
      </w:r>
      <w:r>
        <w:rPr>
          <w:rFonts w:hint="eastAsia" w:hAnsi="宋体" w:cs="Times New Roman"/>
          <w:color w:val="auto"/>
          <w:kern w:val="2"/>
          <w:sz w:val="28"/>
          <w:szCs w:val="28"/>
        </w:rPr>
        <w:t>m</w:t>
      </w:r>
      <w:r>
        <w:rPr>
          <w:rFonts w:hAnsi="宋体" w:cs="Times New Roman"/>
          <w:color w:val="auto"/>
          <w:kern w:val="2"/>
          <w:sz w:val="28"/>
          <w:szCs w:val="28"/>
          <w:vertAlign w:val="superscript"/>
        </w:rPr>
        <w:t>3</w:t>
      </w:r>
      <w:r>
        <w:rPr>
          <w:rFonts w:hAnsi="宋体" w:cs="Times New Roman"/>
          <w:color w:val="auto"/>
          <w:kern w:val="2"/>
          <w:sz w:val="28"/>
          <w:szCs w:val="28"/>
        </w:rPr>
        <w:t>/</w:t>
      </w:r>
      <w:r>
        <w:rPr>
          <w:rFonts w:hint="eastAsia" w:hAnsi="宋体" w:cs="Times New Roman"/>
          <w:color w:val="auto"/>
          <w:kern w:val="2"/>
          <w:sz w:val="28"/>
          <w:szCs w:val="28"/>
        </w:rPr>
        <w:t>a。</w:t>
      </w:r>
    </w:p>
    <w:p>
      <w:pPr>
        <w:pStyle w:val="49"/>
        <w:spacing w:line="360" w:lineRule="auto"/>
        <w:ind w:firstLine="560" w:firstLineChars="200"/>
        <w:rPr>
          <w:rFonts w:hAnsi="宋体" w:cs="Times New Roman"/>
          <w:color w:val="auto"/>
          <w:kern w:val="2"/>
          <w:sz w:val="28"/>
          <w:szCs w:val="28"/>
        </w:rPr>
      </w:pPr>
      <w:r>
        <w:rPr>
          <w:rFonts w:hint="eastAsia" w:hAnsi="宋体" w:cs="Times New Roman"/>
          <w:color w:val="auto"/>
          <w:kern w:val="2"/>
          <w:sz w:val="28"/>
          <w:szCs w:val="28"/>
        </w:rPr>
        <w:t>循环冷却水系统主要设备及构筑物技术参数：</w:t>
      </w:r>
    </w:p>
    <w:p>
      <w:pPr>
        <w:pStyle w:val="49"/>
        <w:spacing w:line="360" w:lineRule="auto"/>
        <w:ind w:firstLine="560" w:firstLineChars="200"/>
        <w:jc w:val="both"/>
        <w:rPr>
          <w:rFonts w:hAnsi="宋体" w:cs="Times New Roman"/>
          <w:color w:val="auto"/>
          <w:kern w:val="2"/>
          <w:sz w:val="28"/>
          <w:szCs w:val="28"/>
        </w:rPr>
      </w:pPr>
      <w:r>
        <w:rPr>
          <w:rFonts w:hint="eastAsia" w:hAnsi="宋体" w:cs="Times New Roman"/>
          <w:color w:val="auto"/>
          <w:kern w:val="2"/>
          <w:sz w:val="28"/>
          <w:szCs w:val="28"/>
        </w:rPr>
        <w:t>循环水泵：卧式双吸离心泵，Q=</w:t>
      </w:r>
      <w:r>
        <w:rPr>
          <w:rFonts w:hAnsi="宋体" w:cs="Times New Roman"/>
          <w:color w:val="auto"/>
          <w:kern w:val="2"/>
          <w:sz w:val="28"/>
          <w:szCs w:val="28"/>
        </w:rPr>
        <w:t>50</w:t>
      </w:r>
      <w:r>
        <w:rPr>
          <w:rFonts w:hint="eastAsia" w:hAnsi="宋体" w:cs="Times New Roman"/>
          <w:color w:val="auto"/>
          <w:kern w:val="2"/>
          <w:sz w:val="28"/>
          <w:szCs w:val="28"/>
        </w:rPr>
        <w:t>m3/h，H=</w:t>
      </w:r>
      <w:r>
        <w:rPr>
          <w:rFonts w:hAnsi="宋体" w:cs="Times New Roman"/>
          <w:color w:val="auto"/>
          <w:kern w:val="2"/>
          <w:sz w:val="28"/>
          <w:szCs w:val="28"/>
        </w:rPr>
        <w:t>35</w:t>
      </w:r>
      <w:r>
        <w:rPr>
          <w:rFonts w:hint="eastAsia" w:hAnsi="宋体" w:cs="Times New Roman"/>
          <w:color w:val="auto"/>
          <w:kern w:val="2"/>
          <w:sz w:val="28"/>
          <w:szCs w:val="28"/>
        </w:rPr>
        <w:t>m，P=400kW，3台，2用1备。</w:t>
      </w:r>
    </w:p>
    <w:p>
      <w:pPr>
        <w:pStyle w:val="49"/>
        <w:spacing w:line="360" w:lineRule="auto"/>
        <w:ind w:firstLine="560" w:firstLineChars="200"/>
        <w:rPr>
          <w:rFonts w:hAnsi="宋体" w:cs="Times New Roman"/>
          <w:color w:val="auto"/>
          <w:kern w:val="2"/>
          <w:sz w:val="28"/>
          <w:szCs w:val="28"/>
        </w:rPr>
      </w:pPr>
      <w:r>
        <w:rPr>
          <w:rFonts w:hint="eastAsia" w:hAnsi="宋体" w:cs="Times New Roman"/>
          <w:color w:val="auto"/>
          <w:kern w:val="2"/>
          <w:sz w:val="28"/>
          <w:szCs w:val="28"/>
        </w:rPr>
        <w:t>冷却塔：双曲线自然通风冷却塔，处理能力1</w:t>
      </w:r>
      <w:r>
        <w:rPr>
          <w:rFonts w:hAnsi="宋体" w:cs="Times New Roman"/>
          <w:color w:val="auto"/>
          <w:kern w:val="2"/>
          <w:sz w:val="28"/>
          <w:szCs w:val="28"/>
        </w:rPr>
        <w:t>50</w:t>
      </w:r>
      <w:r>
        <w:rPr>
          <w:rFonts w:hint="eastAsia" w:hAnsi="宋体" w:cs="Times New Roman"/>
          <w:color w:val="auto"/>
          <w:kern w:val="2"/>
          <w:sz w:val="28"/>
          <w:szCs w:val="28"/>
        </w:rPr>
        <w:t>m3/h。</w:t>
      </w:r>
    </w:p>
    <w:p>
      <w:pPr>
        <w:pStyle w:val="49"/>
        <w:spacing w:line="360" w:lineRule="auto"/>
        <w:ind w:firstLine="560" w:firstLineChars="200"/>
        <w:jc w:val="both"/>
        <w:rPr>
          <w:rFonts w:hAnsi="宋体" w:cs="Times New Roman"/>
          <w:color w:val="auto"/>
          <w:kern w:val="2"/>
          <w:sz w:val="28"/>
          <w:szCs w:val="28"/>
        </w:rPr>
      </w:pPr>
      <w:r>
        <w:rPr>
          <w:rFonts w:hint="eastAsia" w:hAnsi="宋体" w:cs="Times New Roman"/>
          <w:color w:val="auto"/>
          <w:kern w:val="2"/>
          <w:sz w:val="28"/>
          <w:szCs w:val="28"/>
        </w:rPr>
        <w:t>2.供配电</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该项目供电电源从厂区东面引一路市政1</w:t>
      </w:r>
      <w:r>
        <w:rPr>
          <w:rFonts w:ascii="宋体" w:hAnsi="宋体"/>
          <w:color w:val="auto"/>
          <w:sz w:val="28"/>
          <w:szCs w:val="28"/>
        </w:rPr>
        <w:t>0</w:t>
      </w:r>
      <w:r>
        <w:rPr>
          <w:rFonts w:hint="eastAsia" w:ascii="宋体" w:hAnsi="宋体"/>
          <w:color w:val="auto"/>
          <w:sz w:val="28"/>
          <w:szCs w:val="28"/>
        </w:rPr>
        <w:t>KV高压电源，采用双回路10KV电源进线，双回路10KV电源进线互为备用，中间采用母联开关。</w:t>
      </w:r>
      <w:r>
        <w:rPr>
          <w:rFonts w:hint="eastAsia" w:hAnsi="宋体"/>
          <w:color w:val="auto"/>
          <w:sz w:val="28"/>
          <w:szCs w:val="28"/>
        </w:rPr>
        <w:t>10kV电源线路电缆采用直埋敷设进入3</w:t>
      </w:r>
      <w:r>
        <w:rPr>
          <w:rFonts w:hAnsi="宋体"/>
          <w:color w:val="auto"/>
          <w:sz w:val="28"/>
          <w:szCs w:val="28"/>
        </w:rPr>
        <w:t>01</w:t>
      </w:r>
      <w:r>
        <w:rPr>
          <w:rFonts w:hint="eastAsia" w:hAnsi="宋体"/>
          <w:color w:val="auto"/>
          <w:sz w:val="28"/>
          <w:szCs w:val="28"/>
        </w:rPr>
        <w:t>公用工程车间高压变配电间</w:t>
      </w:r>
      <w:r>
        <w:rPr>
          <w:rFonts w:hint="eastAsia" w:ascii="宋体" w:hAnsi="宋体"/>
          <w:color w:val="auto"/>
          <w:kern w:val="0"/>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根据工艺提出要求，该项目部分工艺设备长时间停电不会引起生产安全事故及污染事故的负荷供电属三级负荷；消防泵、应急照明为二级负荷，DCS、SIS系统以及可燃有毒气体报警系统电源为一级负荷中特别重要负荷，采用UPS不间断电源，持续时间不小于60分钟；应急照明拟采用自带蓄电池。其中该项目工艺装置二级负荷容量以及仪表电源、应急照明容量共计1</w:t>
      </w:r>
      <w:r>
        <w:rPr>
          <w:rFonts w:ascii="宋体" w:hAnsi="宋体"/>
          <w:color w:val="auto"/>
          <w:sz w:val="28"/>
          <w:szCs w:val="28"/>
        </w:rPr>
        <w:t>50</w:t>
      </w:r>
      <w:r>
        <w:rPr>
          <w:rFonts w:hint="eastAsia" w:ascii="宋体" w:hAnsi="宋体"/>
          <w:color w:val="auto"/>
          <w:sz w:val="28"/>
          <w:szCs w:val="28"/>
        </w:rPr>
        <w:t>KW。该项目拟在3</w:t>
      </w:r>
      <w:r>
        <w:rPr>
          <w:rFonts w:ascii="宋体" w:hAnsi="宋体"/>
          <w:color w:val="auto"/>
          <w:sz w:val="28"/>
          <w:szCs w:val="28"/>
        </w:rPr>
        <w:t>01</w:t>
      </w:r>
      <w:r>
        <w:rPr>
          <w:rFonts w:hint="eastAsia" w:ascii="宋体" w:hAnsi="宋体"/>
          <w:color w:val="auto"/>
          <w:sz w:val="28"/>
          <w:szCs w:val="28"/>
        </w:rPr>
        <w:t>公用工程车间一层发电机房设置容量为25</w:t>
      </w:r>
      <w:r>
        <w:rPr>
          <w:rFonts w:ascii="宋体" w:hAnsi="宋体"/>
          <w:color w:val="auto"/>
          <w:sz w:val="28"/>
          <w:szCs w:val="28"/>
        </w:rPr>
        <w:t>0</w:t>
      </w:r>
      <w:r>
        <w:rPr>
          <w:rFonts w:hint="eastAsia" w:ascii="宋体" w:hAnsi="宋体"/>
          <w:color w:val="auto"/>
          <w:sz w:val="28"/>
          <w:szCs w:val="28"/>
        </w:rPr>
        <w:t>KW的柴油发电机组。</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该项目3</w:t>
      </w:r>
      <w:r>
        <w:rPr>
          <w:rFonts w:ascii="宋体" w:hAnsi="宋体"/>
          <w:color w:val="auto"/>
          <w:sz w:val="28"/>
          <w:szCs w:val="28"/>
        </w:rPr>
        <w:t>01</w:t>
      </w:r>
      <w:r>
        <w:rPr>
          <w:rFonts w:hint="eastAsia" w:ascii="宋体" w:hAnsi="宋体"/>
          <w:color w:val="auto"/>
          <w:sz w:val="28"/>
          <w:szCs w:val="28"/>
        </w:rPr>
        <w:t>公用工程车间新建高、低压配电间，在高压配电间设置2台1</w:t>
      </w:r>
      <w:r>
        <w:rPr>
          <w:rFonts w:ascii="宋体" w:hAnsi="宋体"/>
          <w:color w:val="auto"/>
          <w:sz w:val="28"/>
          <w:szCs w:val="28"/>
        </w:rPr>
        <w:t>000</w:t>
      </w:r>
      <w:r>
        <w:rPr>
          <w:rFonts w:hint="eastAsia" w:ascii="宋体" w:hAnsi="宋体"/>
          <w:color w:val="auto"/>
          <w:sz w:val="28"/>
          <w:szCs w:val="28"/>
        </w:rPr>
        <w:t>KVA干式变压器，以放射式的形式向各工段用电负荷供电。该项目装机容量约为1</w:t>
      </w:r>
      <w:r>
        <w:rPr>
          <w:rFonts w:ascii="宋体" w:hAnsi="宋体"/>
          <w:color w:val="auto"/>
          <w:sz w:val="28"/>
          <w:szCs w:val="28"/>
        </w:rPr>
        <w:t>800</w:t>
      </w:r>
      <w:r>
        <w:rPr>
          <w:rFonts w:hint="eastAsia" w:ascii="宋体" w:hAnsi="宋体"/>
          <w:color w:val="auto"/>
          <w:sz w:val="28"/>
          <w:szCs w:val="28"/>
        </w:rPr>
        <w:t>KW，计算有功功率约为1</w:t>
      </w:r>
      <w:r>
        <w:rPr>
          <w:rFonts w:ascii="宋体" w:hAnsi="宋体"/>
          <w:color w:val="auto"/>
          <w:sz w:val="28"/>
          <w:szCs w:val="28"/>
        </w:rPr>
        <w:t>500</w:t>
      </w:r>
      <w:r>
        <w:rPr>
          <w:rFonts w:hint="eastAsia" w:ascii="宋体" w:hAnsi="宋体"/>
          <w:color w:val="auto"/>
          <w:sz w:val="28"/>
          <w:szCs w:val="28"/>
        </w:rPr>
        <w:t>KW，视在功率为1</w:t>
      </w:r>
      <w:r>
        <w:rPr>
          <w:rFonts w:ascii="宋体" w:hAnsi="宋体"/>
          <w:color w:val="auto"/>
          <w:sz w:val="28"/>
          <w:szCs w:val="28"/>
        </w:rPr>
        <w:t>600</w:t>
      </w:r>
      <w:r>
        <w:rPr>
          <w:rFonts w:hint="eastAsia" w:ascii="宋体" w:hAnsi="宋体"/>
          <w:color w:val="auto"/>
          <w:sz w:val="28"/>
          <w:szCs w:val="28"/>
        </w:rPr>
        <w:t>KVA。拟设置的2台1</w:t>
      </w:r>
      <w:r>
        <w:rPr>
          <w:rFonts w:ascii="宋体" w:hAnsi="宋体"/>
          <w:color w:val="auto"/>
          <w:sz w:val="28"/>
          <w:szCs w:val="28"/>
        </w:rPr>
        <w:t>000</w:t>
      </w:r>
      <w:r>
        <w:rPr>
          <w:rFonts w:hint="eastAsia" w:ascii="宋体" w:hAnsi="宋体"/>
          <w:color w:val="auto"/>
          <w:sz w:val="28"/>
          <w:szCs w:val="28"/>
        </w:rPr>
        <w:t>KVA干式变压器可以满足用电需求。</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3.供热</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该项目生产用蒸汽由园区蒸汽管网集中供应，蒸汽由管道输送至厂区，园区蒸汽管网供给饱和蒸汽压力0</w:t>
      </w:r>
      <w:r>
        <w:rPr>
          <w:rFonts w:ascii="宋体" w:hAnsi="宋体"/>
          <w:color w:val="auto"/>
          <w:sz w:val="28"/>
          <w:szCs w:val="28"/>
        </w:rPr>
        <w:t>.6</w:t>
      </w:r>
      <w:r>
        <w:rPr>
          <w:rFonts w:hint="eastAsia" w:ascii="宋体" w:hAnsi="宋体"/>
          <w:color w:val="auto"/>
          <w:sz w:val="28"/>
          <w:szCs w:val="28"/>
        </w:rPr>
        <w:t>MPa，可供应蒸汽用量153万吨/年。该项目蒸汽用量为</w:t>
      </w:r>
      <w:r>
        <w:rPr>
          <w:rFonts w:ascii="宋体" w:hAnsi="宋体"/>
          <w:color w:val="auto"/>
          <w:sz w:val="28"/>
          <w:szCs w:val="28"/>
        </w:rPr>
        <w:t>5712</w:t>
      </w:r>
      <w:r>
        <w:rPr>
          <w:rFonts w:hint="eastAsia" w:ascii="宋体" w:hAnsi="宋体"/>
          <w:color w:val="auto"/>
          <w:sz w:val="28"/>
          <w:szCs w:val="28"/>
        </w:rPr>
        <w:t>吨/年，园区供给蒸汽可满足项目蒸汽需求。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4.供气</w:t>
      </w:r>
    </w:p>
    <w:p>
      <w:pPr>
        <w:spacing w:line="360" w:lineRule="auto"/>
        <w:ind w:firstLine="560" w:firstLineChars="200"/>
        <w:rPr>
          <w:color w:val="auto"/>
        </w:rPr>
      </w:pPr>
      <w:r>
        <w:rPr>
          <w:rFonts w:hint="eastAsia" w:ascii="宋体" w:hAnsi="宋体"/>
          <w:color w:val="auto"/>
          <w:sz w:val="28"/>
          <w:szCs w:val="28"/>
        </w:rPr>
        <w:t>本项目选用两台1</w:t>
      </w:r>
      <w:r>
        <w:rPr>
          <w:rFonts w:ascii="宋体" w:hAnsi="宋体"/>
          <w:color w:val="auto"/>
          <w:sz w:val="28"/>
          <w:szCs w:val="28"/>
        </w:rPr>
        <w:t>0</w:t>
      </w:r>
      <w:r>
        <w:rPr>
          <w:rFonts w:hint="eastAsia" w:ascii="宋体" w:hAnsi="宋体"/>
          <w:color w:val="auto"/>
          <w:sz w:val="28"/>
          <w:szCs w:val="28"/>
        </w:rPr>
        <w:t>m</w:t>
      </w:r>
      <w:r>
        <w:rPr>
          <w:rFonts w:ascii="宋体" w:hAnsi="宋体"/>
          <w:color w:val="auto"/>
          <w:sz w:val="28"/>
          <w:szCs w:val="28"/>
        </w:rPr>
        <w:t>3/</w:t>
      </w:r>
      <w:r>
        <w:rPr>
          <w:rFonts w:hint="eastAsia" w:ascii="宋体" w:hAnsi="宋体"/>
          <w:color w:val="auto"/>
          <w:sz w:val="28"/>
          <w:szCs w:val="28"/>
        </w:rPr>
        <w:t>min、排气压力0</w:t>
      </w:r>
      <w:r>
        <w:rPr>
          <w:rFonts w:ascii="宋体" w:hAnsi="宋体"/>
          <w:color w:val="auto"/>
          <w:sz w:val="28"/>
          <w:szCs w:val="28"/>
        </w:rPr>
        <w:t>.8</w:t>
      </w:r>
      <w:r>
        <w:rPr>
          <w:rFonts w:hint="eastAsia" w:ascii="宋体" w:hAnsi="宋体"/>
          <w:color w:val="auto"/>
          <w:sz w:val="28"/>
          <w:szCs w:val="28"/>
        </w:rPr>
        <w:t>MPa的双螺杆空气压缩机，设置10m</w:t>
      </w:r>
      <w:r>
        <w:rPr>
          <w:rFonts w:hint="eastAsia" w:ascii="宋体" w:hAnsi="宋体"/>
          <w:color w:val="auto"/>
          <w:sz w:val="28"/>
          <w:szCs w:val="28"/>
          <w:vertAlign w:val="superscript"/>
        </w:rPr>
        <w:t>3</w:t>
      </w:r>
      <w:r>
        <w:rPr>
          <w:rFonts w:hint="eastAsia" w:ascii="宋体" w:hAnsi="宋体"/>
          <w:color w:val="auto"/>
          <w:sz w:val="28"/>
          <w:szCs w:val="28"/>
        </w:rPr>
        <w:t>储气罐。车间内及厂区压缩空气管道沿墙或柱架空敷设，压缩空气管网的设计压力为1.0MPa。压缩空气管道采用不锈钢无缝钢管。压缩空气总量5Nm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min，仪表用气量8 Nm</w:t>
      </w:r>
      <w:r>
        <w:rPr>
          <w:rFonts w:ascii="宋体" w:hAnsi="宋体"/>
          <w:color w:val="auto"/>
          <w:sz w:val="28"/>
          <w:szCs w:val="28"/>
          <w:vertAlign w:val="superscript"/>
        </w:rPr>
        <w:t>3</w:t>
      </w:r>
      <w:r>
        <w:rPr>
          <w:rFonts w:ascii="宋体" w:hAnsi="宋体"/>
          <w:color w:val="auto"/>
          <w:sz w:val="28"/>
          <w:szCs w:val="28"/>
        </w:rPr>
        <w:t>/</w:t>
      </w:r>
      <w:r>
        <w:rPr>
          <w:rFonts w:hint="eastAsia" w:ascii="宋体" w:hAnsi="宋体"/>
          <w:color w:val="auto"/>
          <w:sz w:val="28"/>
          <w:szCs w:val="28"/>
        </w:rPr>
        <w:t>min，压缩空气站设在公用工程车间。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该项目拟设置2台制氮机，制氮机产能</w:t>
      </w:r>
      <w:r>
        <w:rPr>
          <w:rFonts w:ascii="宋体" w:hAnsi="宋体"/>
          <w:color w:val="auto"/>
          <w:sz w:val="28"/>
          <w:szCs w:val="28"/>
        </w:rPr>
        <w:t>100Nm³/h</w:t>
      </w:r>
      <w:r>
        <w:rPr>
          <w:rFonts w:hint="eastAsia" w:ascii="宋体" w:hAnsi="宋体"/>
          <w:color w:val="auto"/>
          <w:sz w:val="28"/>
          <w:szCs w:val="28"/>
        </w:rPr>
        <w:t>,</w:t>
      </w:r>
      <w:r>
        <w:rPr>
          <w:rFonts w:ascii="宋体" w:hAnsi="宋体"/>
          <w:color w:val="auto"/>
          <w:sz w:val="28"/>
          <w:szCs w:val="28"/>
        </w:rPr>
        <w:t>0.</w:t>
      </w:r>
      <w:r>
        <w:rPr>
          <w:rFonts w:hint="eastAsia" w:ascii="宋体" w:hAnsi="宋体"/>
          <w:color w:val="auto"/>
          <w:sz w:val="28"/>
          <w:szCs w:val="28"/>
        </w:rPr>
        <w:t>8MPa，并设置2台10m</w:t>
      </w:r>
      <w:r>
        <w:rPr>
          <w:rFonts w:ascii="宋体" w:hAnsi="宋体"/>
          <w:color w:val="auto"/>
          <w:sz w:val="28"/>
          <w:szCs w:val="28"/>
          <w:vertAlign w:val="superscript"/>
        </w:rPr>
        <w:t>3</w:t>
      </w:r>
      <w:r>
        <w:rPr>
          <w:rFonts w:hint="eastAsia" w:ascii="宋体" w:hAnsi="宋体"/>
          <w:color w:val="auto"/>
          <w:sz w:val="28"/>
          <w:szCs w:val="28"/>
        </w:rPr>
        <w:t>氮气储罐</w:t>
      </w:r>
      <w:r>
        <w:rPr>
          <w:rFonts w:ascii="宋体" w:hAnsi="宋体"/>
          <w:color w:val="auto"/>
          <w:sz w:val="28"/>
          <w:szCs w:val="28"/>
        </w:rPr>
        <w:t>。</w:t>
      </w:r>
      <w:r>
        <w:rPr>
          <w:rFonts w:hint="eastAsia" w:ascii="宋体" w:hAnsi="宋体"/>
          <w:color w:val="auto"/>
          <w:sz w:val="28"/>
          <w:szCs w:val="28"/>
        </w:rPr>
        <w:t>该</w:t>
      </w:r>
      <w:r>
        <w:rPr>
          <w:rFonts w:ascii="宋体" w:hAnsi="宋体"/>
          <w:color w:val="auto"/>
          <w:sz w:val="28"/>
          <w:szCs w:val="28"/>
        </w:rPr>
        <w:t>项目所需氮气的量为</w:t>
      </w:r>
      <w:r>
        <w:rPr>
          <w:rFonts w:hint="eastAsia" w:ascii="宋体" w:hAnsi="宋体"/>
          <w:color w:val="auto"/>
          <w:sz w:val="28"/>
          <w:szCs w:val="28"/>
        </w:rPr>
        <w:t>80</w:t>
      </w:r>
      <w:r>
        <w:rPr>
          <w:rFonts w:ascii="宋体" w:hAnsi="宋体"/>
          <w:color w:val="auto"/>
          <w:sz w:val="28"/>
          <w:szCs w:val="28"/>
        </w:rPr>
        <w:t>Nm³/h，</w:t>
      </w:r>
      <w:r>
        <w:rPr>
          <w:rFonts w:hint="eastAsia" w:ascii="宋体" w:hAnsi="宋体"/>
          <w:color w:val="auto"/>
          <w:sz w:val="28"/>
          <w:szCs w:val="28"/>
        </w:rPr>
        <w:t>氮气供应</w:t>
      </w:r>
      <w:r>
        <w:rPr>
          <w:rFonts w:ascii="宋体" w:hAnsi="宋体"/>
          <w:color w:val="auto"/>
          <w:sz w:val="28"/>
          <w:szCs w:val="28"/>
        </w:rPr>
        <w:t>能力能满足</w:t>
      </w:r>
      <w:r>
        <w:rPr>
          <w:rFonts w:hint="eastAsia" w:ascii="宋体" w:hAnsi="宋体"/>
          <w:color w:val="auto"/>
          <w:sz w:val="28"/>
          <w:szCs w:val="28"/>
        </w:rPr>
        <w:t>该</w:t>
      </w:r>
      <w:r>
        <w:rPr>
          <w:rFonts w:ascii="宋体" w:hAnsi="宋体"/>
          <w:color w:val="auto"/>
          <w:sz w:val="28"/>
          <w:szCs w:val="28"/>
        </w:rPr>
        <w:t>项目需要。</w:t>
      </w:r>
    </w:p>
    <w:p>
      <w:pPr>
        <w:spacing w:line="360" w:lineRule="auto"/>
        <w:ind w:firstLine="560" w:firstLineChars="200"/>
        <w:rPr>
          <w:color w:val="auto"/>
        </w:rPr>
      </w:pPr>
      <w:r>
        <w:rPr>
          <w:rFonts w:hint="eastAsia" w:ascii="宋体" w:hAnsi="宋体"/>
          <w:color w:val="auto"/>
          <w:sz w:val="28"/>
          <w:szCs w:val="28"/>
        </w:rPr>
        <w:t>工艺用液氮所需用量为0</w:t>
      </w:r>
      <w:r>
        <w:rPr>
          <w:rFonts w:ascii="宋体" w:hAnsi="宋体"/>
          <w:color w:val="auto"/>
          <w:sz w:val="28"/>
          <w:szCs w:val="28"/>
        </w:rPr>
        <w:t>.</w:t>
      </w:r>
      <w:r>
        <w:rPr>
          <w:rFonts w:hint="eastAsia" w:ascii="宋体" w:hAnsi="宋体"/>
          <w:color w:val="auto"/>
          <w:sz w:val="28"/>
          <w:szCs w:val="28"/>
          <w:lang w:val="en-US" w:eastAsia="zh-CN"/>
        </w:rPr>
        <w:t>5</w:t>
      </w:r>
      <w:r>
        <w:rPr>
          <w:rFonts w:hint="eastAsia" w:ascii="宋体" w:hAnsi="宋体"/>
          <w:color w:val="auto"/>
          <w:sz w:val="28"/>
          <w:szCs w:val="28"/>
        </w:rPr>
        <w:t>m³</w:t>
      </w:r>
      <w:r>
        <w:rPr>
          <w:rFonts w:ascii="宋体" w:hAnsi="宋体"/>
          <w:color w:val="auto"/>
          <w:sz w:val="28"/>
          <w:szCs w:val="28"/>
        </w:rPr>
        <w:t>/</w:t>
      </w:r>
      <w:r>
        <w:rPr>
          <w:rFonts w:hint="eastAsia" w:ascii="宋体" w:hAnsi="宋体"/>
          <w:color w:val="auto"/>
          <w:sz w:val="28"/>
          <w:szCs w:val="28"/>
        </w:rPr>
        <w:t>h，该项目拟设置</w:t>
      </w:r>
      <w:r>
        <w:rPr>
          <w:rFonts w:hint="eastAsia" w:ascii="宋体" w:hAnsi="宋体"/>
          <w:color w:val="auto"/>
          <w:sz w:val="28"/>
          <w:szCs w:val="28"/>
          <w:lang w:val="en-US" w:eastAsia="zh-CN"/>
        </w:rPr>
        <w:t>1</w:t>
      </w:r>
      <w:r>
        <w:rPr>
          <w:rFonts w:hint="eastAsia" w:ascii="宋体" w:hAnsi="宋体"/>
          <w:color w:val="auto"/>
          <w:sz w:val="28"/>
          <w:szCs w:val="28"/>
        </w:rPr>
        <w:t>台</w:t>
      </w:r>
      <w:r>
        <w:rPr>
          <w:rFonts w:hint="eastAsia" w:ascii="宋体" w:hAnsi="宋体"/>
          <w:color w:val="auto"/>
          <w:sz w:val="28"/>
          <w:szCs w:val="28"/>
          <w:lang w:val="en-US" w:eastAsia="zh-CN"/>
        </w:rPr>
        <w:t>10</w:t>
      </w:r>
      <w:r>
        <w:rPr>
          <w:rFonts w:hint="eastAsia" w:ascii="宋体" w:hAnsi="宋体"/>
          <w:color w:val="auto"/>
          <w:sz w:val="28"/>
          <w:szCs w:val="28"/>
        </w:rPr>
        <w:t>t的液氮罐，液氮可供使用</w:t>
      </w:r>
      <w:r>
        <w:rPr>
          <w:rFonts w:hint="eastAsia" w:ascii="宋体" w:hAnsi="宋体"/>
          <w:color w:val="auto"/>
          <w:sz w:val="28"/>
          <w:szCs w:val="28"/>
          <w:lang w:val="en-US" w:eastAsia="zh-CN"/>
        </w:rPr>
        <w:t>7</w:t>
      </w:r>
      <w:r>
        <w:rPr>
          <w:rFonts w:hint="eastAsia" w:ascii="宋体" w:hAnsi="宋体"/>
          <w:color w:val="auto"/>
          <w:sz w:val="28"/>
          <w:szCs w:val="28"/>
        </w:rPr>
        <w:t>天以上。</w:t>
      </w:r>
    </w:p>
    <w:p>
      <w:pPr>
        <w:spacing w:line="360" w:lineRule="auto"/>
        <w:ind w:firstLine="560" w:firstLineChars="200"/>
        <w:rPr>
          <w:color w:val="auto"/>
          <w:sz w:val="28"/>
          <w:szCs w:val="28"/>
        </w:rPr>
      </w:pPr>
      <w:r>
        <w:rPr>
          <w:rFonts w:hint="eastAsia"/>
          <w:color w:val="auto"/>
          <w:sz w:val="28"/>
          <w:szCs w:val="28"/>
        </w:rPr>
        <w:t>5.通讯</w:t>
      </w:r>
    </w:p>
    <w:p>
      <w:pPr>
        <w:ind w:firstLine="560" w:firstLineChars="200"/>
        <w:rPr>
          <w:rFonts w:ascii="宋体" w:hAnsi="宋体"/>
          <w:color w:val="auto"/>
          <w:sz w:val="28"/>
          <w:szCs w:val="28"/>
        </w:rPr>
      </w:pPr>
      <w:r>
        <w:rPr>
          <w:rFonts w:hint="eastAsia" w:ascii="宋体" w:hAnsi="宋体"/>
          <w:color w:val="auto"/>
          <w:sz w:val="28"/>
          <w:szCs w:val="28"/>
        </w:rPr>
        <w:t>该项目采用电视、电话、网络三位一体式光纤通讯系统，在4</w:t>
      </w:r>
      <w:r>
        <w:rPr>
          <w:rFonts w:ascii="宋体" w:hAnsi="宋体"/>
          <w:color w:val="auto"/>
          <w:sz w:val="28"/>
          <w:szCs w:val="28"/>
        </w:rPr>
        <w:t>01</w:t>
      </w:r>
      <w:r>
        <w:rPr>
          <w:rFonts w:hint="eastAsia" w:ascii="宋体" w:hAnsi="宋体"/>
          <w:color w:val="auto"/>
          <w:sz w:val="28"/>
          <w:szCs w:val="28"/>
        </w:rPr>
        <w:t>综合楼一层公共区域设置电信综合布线机箱。</w:t>
      </w:r>
    </w:p>
    <w:p>
      <w:pPr>
        <w:ind w:firstLine="560" w:firstLineChars="200"/>
        <w:rPr>
          <w:color w:val="auto"/>
        </w:rPr>
      </w:pPr>
      <w:r>
        <w:rPr>
          <w:rFonts w:hint="eastAsia" w:ascii="宋体" w:hAnsi="宋体"/>
          <w:color w:val="auto"/>
          <w:sz w:val="28"/>
          <w:szCs w:val="28"/>
        </w:rPr>
        <w:t>该项目拟在4</w:t>
      </w:r>
      <w:r>
        <w:rPr>
          <w:rFonts w:ascii="宋体" w:hAnsi="宋体"/>
          <w:color w:val="auto"/>
          <w:sz w:val="28"/>
          <w:szCs w:val="28"/>
        </w:rPr>
        <w:t>03</w:t>
      </w:r>
      <w:r>
        <w:rPr>
          <w:rFonts w:hint="eastAsia" w:ascii="宋体" w:hAnsi="宋体"/>
          <w:color w:val="auto"/>
          <w:sz w:val="28"/>
          <w:szCs w:val="28"/>
        </w:rPr>
        <w:t>控制室内设置生产调度电话、DCS（SIS）控制机柜、工业电视监控机柜、气体报警控制机柜等。控制室兼做厂区消防控制室，内设火灾自动报警联动控制器及相关消防配套设备。火灾自动报警与消防联动控制系统采用智能二总线制系统，能自行完成报警及消防联动控制。消防控制室内设置消防专用电话总机，在消防泵房、变配电室、控制室等处设置消防专用电话分机。消防控制室内设置消防专用</w:t>
      </w:r>
      <w:r>
        <w:rPr>
          <w:rFonts w:hint="eastAsia"/>
          <w:color w:val="auto"/>
          <w:sz w:val="28"/>
          <w:szCs w:val="28"/>
        </w:rPr>
        <w:t>119</w:t>
      </w:r>
      <w:r>
        <w:rPr>
          <w:rFonts w:hint="eastAsia" w:ascii="宋体" w:hAnsi="宋体"/>
          <w:color w:val="auto"/>
          <w:sz w:val="28"/>
          <w:szCs w:val="28"/>
        </w:rPr>
        <w:t>电话，并设置2</w:t>
      </w:r>
      <w:r>
        <w:rPr>
          <w:rFonts w:ascii="宋体" w:hAnsi="宋体"/>
          <w:color w:val="auto"/>
          <w:sz w:val="28"/>
          <w:szCs w:val="28"/>
        </w:rPr>
        <w:t>4</w:t>
      </w:r>
      <w:r>
        <w:rPr>
          <w:rFonts w:hint="eastAsia" w:ascii="宋体" w:hAnsi="宋体"/>
          <w:color w:val="auto"/>
          <w:sz w:val="28"/>
          <w:szCs w:val="28"/>
        </w:rPr>
        <w:t>小时专人值班。</w:t>
      </w:r>
    </w:p>
    <w:p>
      <w:pPr>
        <w:spacing w:line="360" w:lineRule="auto"/>
        <w:ind w:firstLine="560" w:firstLineChars="200"/>
        <w:rPr>
          <w:rFonts w:ascii="宋体" w:hAnsi="宋体"/>
          <w:color w:val="auto"/>
          <w:sz w:val="28"/>
          <w:szCs w:val="28"/>
        </w:rPr>
      </w:pPr>
      <w:r>
        <w:rPr>
          <w:color w:val="auto"/>
          <w:sz w:val="28"/>
          <w:szCs w:val="28"/>
        </w:rPr>
        <w:t>6.</w:t>
      </w:r>
      <w:r>
        <w:rPr>
          <w:rFonts w:hint="eastAsia"/>
          <w:color w:val="auto"/>
          <w:sz w:val="28"/>
          <w:szCs w:val="28"/>
        </w:rPr>
        <w:t>消防：</w:t>
      </w:r>
      <w:r>
        <w:rPr>
          <w:rFonts w:ascii="宋体" w:hAnsi="宋体"/>
          <w:color w:val="auto"/>
          <w:sz w:val="28"/>
          <w:szCs w:val="28"/>
        </w:rPr>
        <w:t>根据《消防给水及消火栓系统技术规范》</w:t>
      </w:r>
      <w:r>
        <w:rPr>
          <w:rFonts w:hint="eastAsia" w:ascii="宋体" w:hAnsi="宋体"/>
          <w:color w:val="auto"/>
          <w:sz w:val="28"/>
          <w:szCs w:val="28"/>
        </w:rPr>
        <w:t>3</w:t>
      </w:r>
      <w:r>
        <w:rPr>
          <w:rFonts w:ascii="宋体" w:hAnsi="宋体"/>
          <w:color w:val="auto"/>
          <w:sz w:val="28"/>
          <w:szCs w:val="28"/>
        </w:rPr>
        <w:t>.1.1</w:t>
      </w:r>
      <w:r>
        <w:rPr>
          <w:rFonts w:hint="eastAsia" w:ascii="宋体" w:hAnsi="宋体"/>
          <w:color w:val="auto"/>
          <w:sz w:val="28"/>
          <w:szCs w:val="28"/>
        </w:rPr>
        <w:t>条</w:t>
      </w:r>
      <w:r>
        <w:rPr>
          <w:rFonts w:ascii="宋体" w:hAnsi="宋体"/>
          <w:color w:val="auto"/>
          <w:sz w:val="28"/>
          <w:szCs w:val="28"/>
        </w:rPr>
        <w:t>，</w:t>
      </w:r>
      <w:r>
        <w:rPr>
          <w:rFonts w:hint="eastAsia" w:ascii="宋体" w:hAnsi="宋体"/>
          <w:color w:val="auto"/>
          <w:sz w:val="28"/>
          <w:szCs w:val="28"/>
        </w:rPr>
        <w:t>该项目厂区占地面积为3</w:t>
      </w:r>
      <w:r>
        <w:rPr>
          <w:rFonts w:ascii="宋体" w:hAnsi="宋体"/>
          <w:color w:val="auto"/>
          <w:sz w:val="28"/>
          <w:szCs w:val="28"/>
        </w:rPr>
        <w:t>2413.79</w:t>
      </w:r>
      <w:r>
        <w:rPr>
          <w:rFonts w:hint="eastAsia" w:ascii="宋体" w:hAnsi="宋体"/>
          <w:color w:val="auto"/>
          <w:sz w:val="28"/>
          <w:szCs w:val="28"/>
        </w:rPr>
        <w:t>m</w:t>
      </w:r>
      <w:r>
        <w:rPr>
          <w:rFonts w:ascii="宋体" w:hAnsi="宋体"/>
          <w:color w:val="auto"/>
          <w:sz w:val="28"/>
          <w:szCs w:val="28"/>
        </w:rPr>
        <w:t>2</w:t>
      </w:r>
      <w:r>
        <w:rPr>
          <w:rFonts w:hint="eastAsia" w:ascii="宋体" w:hAnsi="宋体"/>
          <w:color w:val="auto"/>
          <w:sz w:val="28"/>
          <w:szCs w:val="28"/>
        </w:rPr>
        <w:t>，小于1</w:t>
      </w:r>
      <w:r>
        <w:rPr>
          <w:rFonts w:ascii="宋体" w:hAnsi="宋体"/>
          <w:color w:val="auto"/>
          <w:sz w:val="28"/>
          <w:szCs w:val="28"/>
        </w:rPr>
        <w:t>00</w:t>
      </w:r>
      <w:r>
        <w:rPr>
          <w:rFonts w:hint="eastAsia" w:ascii="宋体" w:hAnsi="宋体"/>
          <w:color w:val="auto"/>
          <w:sz w:val="28"/>
          <w:szCs w:val="28"/>
        </w:rPr>
        <w:t>hm</w:t>
      </w:r>
      <w:r>
        <w:rPr>
          <w:rFonts w:ascii="宋体" w:hAnsi="宋体"/>
          <w:color w:val="auto"/>
          <w:sz w:val="28"/>
          <w:szCs w:val="28"/>
        </w:rPr>
        <w:t>2</w:t>
      </w:r>
      <w:r>
        <w:rPr>
          <w:rFonts w:hint="eastAsia" w:ascii="宋体" w:hAnsi="宋体"/>
          <w:color w:val="auto"/>
          <w:sz w:val="28"/>
          <w:szCs w:val="28"/>
        </w:rPr>
        <w:t>。因此</w:t>
      </w:r>
      <w:r>
        <w:rPr>
          <w:rFonts w:ascii="宋体" w:hAnsi="宋体"/>
          <w:color w:val="auto"/>
          <w:sz w:val="28"/>
          <w:szCs w:val="28"/>
        </w:rPr>
        <w:t>同一时间内的火灾次数为一次。</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该项目火灾用水量最大的建筑物为1</w:t>
      </w:r>
      <w:r>
        <w:rPr>
          <w:rFonts w:ascii="宋体" w:hAnsi="宋体"/>
          <w:color w:val="auto"/>
          <w:sz w:val="28"/>
          <w:szCs w:val="28"/>
        </w:rPr>
        <w:t>03</w:t>
      </w:r>
      <w:r>
        <w:rPr>
          <w:rFonts w:hint="eastAsia" w:ascii="宋体" w:hAnsi="宋体"/>
          <w:color w:val="auto"/>
          <w:sz w:val="28"/>
          <w:szCs w:val="28"/>
        </w:rPr>
        <w:t>液体制剂车间，1</w:t>
      </w:r>
      <w:r>
        <w:rPr>
          <w:rFonts w:ascii="宋体" w:hAnsi="宋体"/>
          <w:color w:val="auto"/>
          <w:sz w:val="28"/>
          <w:szCs w:val="28"/>
        </w:rPr>
        <w:t>03</w:t>
      </w:r>
      <w:r>
        <w:rPr>
          <w:rFonts w:hint="eastAsia" w:ascii="宋体" w:hAnsi="宋体"/>
          <w:color w:val="auto"/>
          <w:sz w:val="28"/>
          <w:szCs w:val="28"/>
        </w:rPr>
        <w:t>液体制剂车间</w:t>
      </w:r>
      <w:r>
        <w:rPr>
          <w:rFonts w:ascii="宋体" w:hAnsi="宋体"/>
          <w:color w:val="auto"/>
          <w:sz w:val="28"/>
          <w:szCs w:val="28"/>
        </w:rPr>
        <w:t>火灾危险类别为</w:t>
      </w:r>
      <w:r>
        <w:rPr>
          <w:rFonts w:hint="eastAsia" w:ascii="宋体" w:hAnsi="宋体"/>
          <w:color w:val="auto"/>
          <w:sz w:val="28"/>
          <w:szCs w:val="28"/>
        </w:rPr>
        <w:t>丙</w:t>
      </w:r>
      <w:r>
        <w:rPr>
          <w:rFonts w:ascii="宋体" w:hAnsi="宋体"/>
          <w:color w:val="auto"/>
          <w:sz w:val="28"/>
          <w:szCs w:val="28"/>
        </w:rPr>
        <w:t>类，占地面积为1280.4m²，</w:t>
      </w:r>
      <w:r>
        <w:rPr>
          <w:rFonts w:hint="eastAsia" w:ascii="宋体" w:hAnsi="宋体"/>
          <w:color w:val="auto"/>
          <w:sz w:val="28"/>
          <w:szCs w:val="28"/>
        </w:rPr>
        <w:t>层高</w:t>
      </w:r>
      <w:r>
        <w:rPr>
          <w:rFonts w:hint="eastAsia" w:ascii="宋体" w:hAnsi="宋体"/>
          <w:color w:val="auto"/>
          <w:sz w:val="28"/>
          <w:szCs w:val="28"/>
          <w:lang w:val="en-US" w:eastAsia="zh-CN"/>
        </w:rPr>
        <w:t>5</w:t>
      </w:r>
      <w:r>
        <w:rPr>
          <w:rFonts w:hint="eastAsia" w:ascii="宋体" w:hAnsi="宋体"/>
          <w:color w:val="auto"/>
          <w:sz w:val="28"/>
          <w:szCs w:val="28"/>
        </w:rPr>
        <w:t>层，</w:t>
      </w:r>
      <w:r>
        <w:rPr>
          <w:rFonts w:ascii="宋体" w:hAnsi="宋体"/>
          <w:color w:val="auto"/>
          <w:sz w:val="28"/>
          <w:szCs w:val="28"/>
        </w:rPr>
        <w:t>建筑</w:t>
      </w:r>
      <w:r>
        <w:rPr>
          <w:rFonts w:hint="eastAsia" w:ascii="宋体" w:hAnsi="宋体"/>
          <w:color w:val="auto"/>
          <w:sz w:val="28"/>
          <w:szCs w:val="28"/>
        </w:rPr>
        <w:t>高</w:t>
      </w:r>
      <w:r>
        <w:rPr>
          <w:rFonts w:ascii="宋体" w:hAnsi="宋体"/>
          <w:color w:val="auto"/>
          <w:sz w:val="28"/>
          <w:szCs w:val="28"/>
        </w:rPr>
        <w:t>度</w:t>
      </w:r>
      <w:r>
        <w:rPr>
          <w:rFonts w:hint="eastAsia" w:ascii="宋体" w:hAnsi="宋体"/>
          <w:color w:val="auto"/>
          <w:sz w:val="28"/>
          <w:szCs w:val="28"/>
        </w:rPr>
        <w:t>约</w:t>
      </w:r>
      <w:r>
        <w:rPr>
          <w:rFonts w:hint="eastAsia" w:ascii="宋体" w:hAnsi="宋体"/>
          <w:color w:val="auto"/>
          <w:sz w:val="28"/>
          <w:szCs w:val="28"/>
          <w:lang w:val="en-US" w:eastAsia="zh-CN"/>
        </w:rPr>
        <w:t>23.3</w:t>
      </w:r>
      <w:r>
        <w:rPr>
          <w:rFonts w:ascii="宋体" w:hAnsi="宋体"/>
          <w:color w:val="auto"/>
          <w:sz w:val="28"/>
          <w:szCs w:val="28"/>
        </w:rPr>
        <w:t>m，体积V=1280.4×</w:t>
      </w:r>
      <w:r>
        <w:rPr>
          <w:rFonts w:hint="eastAsia" w:ascii="宋体" w:hAnsi="宋体"/>
          <w:color w:val="auto"/>
          <w:sz w:val="28"/>
          <w:szCs w:val="28"/>
          <w:lang w:val="en-US" w:eastAsia="zh-CN"/>
        </w:rPr>
        <w:t>23.3</w:t>
      </w:r>
      <w:r>
        <w:rPr>
          <w:rFonts w:ascii="宋体" w:hAnsi="宋体"/>
          <w:color w:val="auto"/>
          <w:sz w:val="28"/>
          <w:szCs w:val="28"/>
        </w:rPr>
        <w:t>=</w:t>
      </w:r>
      <w:r>
        <w:rPr>
          <w:rFonts w:hint="eastAsia" w:ascii="宋体" w:hAnsi="宋体"/>
          <w:color w:val="auto"/>
          <w:sz w:val="28"/>
          <w:szCs w:val="28"/>
          <w:lang w:val="en-US" w:eastAsia="zh-CN"/>
        </w:rPr>
        <w:t>29833.32</w:t>
      </w:r>
      <w:r>
        <w:rPr>
          <w:rFonts w:ascii="宋体" w:hAnsi="宋体"/>
          <w:color w:val="auto"/>
          <w:sz w:val="28"/>
          <w:szCs w:val="28"/>
        </w:rPr>
        <w:t>m³。根据《消防给水及消火栓系统技术规范》第3.3.2条和第3.5.2条，其室外消火栓用水量为30L/s，室内消火栓用水量2</w:t>
      </w:r>
      <w:r>
        <w:rPr>
          <w:rFonts w:hint="eastAsia" w:ascii="宋体" w:hAnsi="宋体"/>
          <w:color w:val="auto"/>
          <w:sz w:val="28"/>
          <w:szCs w:val="28"/>
        </w:rPr>
        <w:t>0</w:t>
      </w:r>
      <w:r>
        <w:rPr>
          <w:rFonts w:ascii="宋体" w:hAnsi="宋体"/>
          <w:color w:val="auto"/>
          <w:sz w:val="28"/>
          <w:szCs w:val="28"/>
        </w:rPr>
        <w:t>L/s，总消火栓用水流量为50L/s，火灾延续时间为3小时，一次火灾用水量540m³。</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w:t>
      </w:r>
      <w:r>
        <w:rPr>
          <w:rFonts w:ascii="宋体" w:hAnsi="宋体"/>
          <w:color w:val="auto"/>
          <w:sz w:val="28"/>
          <w:szCs w:val="28"/>
        </w:rPr>
        <w:t>项目拟</w:t>
      </w:r>
      <w:r>
        <w:rPr>
          <w:rFonts w:hint="eastAsia" w:ascii="宋体" w:hAnsi="宋体"/>
          <w:color w:val="auto"/>
          <w:sz w:val="28"/>
          <w:szCs w:val="28"/>
        </w:rPr>
        <w:t>在3</w:t>
      </w:r>
      <w:r>
        <w:rPr>
          <w:rFonts w:ascii="宋体" w:hAnsi="宋体"/>
          <w:color w:val="auto"/>
          <w:sz w:val="28"/>
          <w:szCs w:val="28"/>
        </w:rPr>
        <w:t>05</w:t>
      </w:r>
      <w:r>
        <w:rPr>
          <w:rFonts w:hint="eastAsia" w:ascii="宋体" w:hAnsi="宋体"/>
          <w:color w:val="auto"/>
          <w:sz w:val="28"/>
          <w:szCs w:val="28"/>
        </w:rPr>
        <w:t>泵房</w:t>
      </w:r>
      <w:r>
        <w:rPr>
          <w:rFonts w:ascii="宋体" w:hAnsi="宋体"/>
          <w:color w:val="auto"/>
          <w:sz w:val="28"/>
          <w:szCs w:val="28"/>
        </w:rPr>
        <w:t>设</w:t>
      </w:r>
      <w:r>
        <w:rPr>
          <w:rFonts w:hint="eastAsia" w:ascii="宋体" w:hAnsi="宋体"/>
          <w:color w:val="auto"/>
          <w:sz w:val="28"/>
          <w:szCs w:val="28"/>
        </w:rPr>
        <w:t>消防泵两台（一用一备），型号为</w:t>
      </w:r>
      <w:r>
        <w:rPr>
          <w:rFonts w:ascii="宋体" w:hAnsi="宋体"/>
          <w:color w:val="auto"/>
          <w:sz w:val="28"/>
          <w:szCs w:val="28"/>
        </w:rPr>
        <w:t>XBD5.8/50G-FLG</w:t>
      </w:r>
      <w:r>
        <w:rPr>
          <w:rFonts w:hint="eastAsia" w:ascii="宋体" w:hAnsi="宋体"/>
          <w:color w:val="auto"/>
          <w:sz w:val="28"/>
          <w:szCs w:val="28"/>
        </w:rPr>
        <w:t>，</w:t>
      </w:r>
      <w:r>
        <w:rPr>
          <w:rFonts w:ascii="宋体" w:hAnsi="宋体"/>
          <w:color w:val="auto"/>
          <w:sz w:val="28"/>
          <w:szCs w:val="28"/>
        </w:rPr>
        <w:t>Q=</w:t>
      </w:r>
      <w:r>
        <w:rPr>
          <w:rFonts w:hint="eastAsia" w:ascii="宋体" w:hAnsi="宋体"/>
          <w:color w:val="auto"/>
          <w:sz w:val="28"/>
          <w:szCs w:val="28"/>
        </w:rPr>
        <w:t>5</w:t>
      </w:r>
      <w:r>
        <w:rPr>
          <w:rFonts w:ascii="宋体" w:hAnsi="宋体"/>
          <w:color w:val="auto"/>
          <w:sz w:val="28"/>
          <w:szCs w:val="28"/>
        </w:rPr>
        <w:t>0</w:t>
      </w:r>
      <w:r>
        <w:rPr>
          <w:rFonts w:hint="eastAsia" w:ascii="宋体" w:hAnsi="宋体"/>
          <w:color w:val="auto"/>
          <w:sz w:val="28"/>
          <w:szCs w:val="28"/>
        </w:rPr>
        <w:t>L</w:t>
      </w:r>
      <w:r>
        <w:rPr>
          <w:rFonts w:ascii="宋体" w:hAnsi="宋体"/>
          <w:color w:val="auto"/>
          <w:sz w:val="28"/>
          <w:szCs w:val="28"/>
        </w:rPr>
        <w:t>/</w:t>
      </w:r>
      <w:r>
        <w:rPr>
          <w:rFonts w:hint="eastAsia" w:ascii="宋体" w:hAnsi="宋体"/>
          <w:color w:val="auto"/>
          <w:sz w:val="28"/>
          <w:szCs w:val="28"/>
        </w:rPr>
        <w:t>s，P</w:t>
      </w:r>
      <w:r>
        <w:rPr>
          <w:rFonts w:ascii="宋体" w:hAnsi="宋体"/>
          <w:color w:val="auto"/>
          <w:sz w:val="28"/>
          <w:szCs w:val="28"/>
        </w:rPr>
        <w:t>=0.7</w:t>
      </w:r>
      <w:r>
        <w:rPr>
          <w:rFonts w:hint="eastAsia" w:ascii="宋体" w:hAnsi="宋体"/>
          <w:color w:val="auto"/>
          <w:sz w:val="28"/>
          <w:szCs w:val="28"/>
        </w:rPr>
        <w:t>MPa，电机功率</w:t>
      </w:r>
      <w:r>
        <w:rPr>
          <w:rFonts w:ascii="宋体" w:hAnsi="宋体"/>
          <w:color w:val="auto"/>
          <w:sz w:val="28"/>
          <w:szCs w:val="28"/>
        </w:rPr>
        <w:t>P=</w:t>
      </w:r>
      <w:r>
        <w:rPr>
          <w:rFonts w:hint="eastAsia" w:ascii="宋体" w:hAnsi="宋体"/>
          <w:color w:val="auto"/>
          <w:sz w:val="28"/>
          <w:szCs w:val="28"/>
        </w:rPr>
        <w:t>55kW。厂区设有消防水池（</w:t>
      </w:r>
      <w:r>
        <w:rPr>
          <w:rFonts w:ascii="宋体" w:hAnsi="宋体"/>
          <w:color w:val="auto"/>
          <w:sz w:val="28"/>
          <w:szCs w:val="28"/>
        </w:rPr>
        <w:t>540</w:t>
      </w:r>
      <w:r>
        <w:rPr>
          <w:rFonts w:hint="eastAsia" w:ascii="宋体" w:hAnsi="宋体"/>
          <w:color w:val="auto"/>
          <w:sz w:val="28"/>
          <w:szCs w:val="28"/>
        </w:rPr>
        <w:t>m</w:t>
      </w:r>
      <w:r>
        <w:rPr>
          <w:rFonts w:ascii="宋体" w:hAnsi="宋体"/>
          <w:color w:val="auto"/>
          <w:sz w:val="28"/>
          <w:szCs w:val="28"/>
          <w:vertAlign w:val="superscript"/>
        </w:rPr>
        <w:t>3</w:t>
      </w:r>
      <w:r>
        <w:rPr>
          <w:rFonts w:hint="eastAsia" w:ascii="宋体" w:hAnsi="宋体"/>
          <w:color w:val="auto"/>
          <w:sz w:val="28"/>
          <w:szCs w:val="28"/>
        </w:rPr>
        <w:t>）和事故应急池（</w:t>
      </w:r>
      <w:r>
        <w:rPr>
          <w:rFonts w:ascii="宋体" w:hAnsi="宋体"/>
          <w:color w:val="auto"/>
          <w:sz w:val="28"/>
          <w:szCs w:val="28"/>
        </w:rPr>
        <w:t>630</w:t>
      </w:r>
      <w:r>
        <w:rPr>
          <w:rFonts w:hint="eastAsia" w:ascii="宋体" w:hAnsi="宋体"/>
          <w:color w:val="auto"/>
          <w:sz w:val="28"/>
          <w:szCs w:val="28"/>
        </w:rPr>
        <w:t>m</w:t>
      </w:r>
      <w:r>
        <w:rPr>
          <w:rFonts w:hint="eastAsia" w:ascii="宋体" w:hAnsi="宋体"/>
          <w:color w:val="auto"/>
          <w:sz w:val="28"/>
          <w:szCs w:val="28"/>
          <w:vertAlign w:val="superscript"/>
        </w:rPr>
        <w:t>3</w:t>
      </w:r>
      <w:r>
        <w:rPr>
          <w:rFonts w:hint="eastAsia" w:ascii="宋体" w:hAnsi="宋体"/>
          <w:color w:val="auto"/>
          <w:sz w:val="28"/>
          <w:szCs w:val="28"/>
        </w:rPr>
        <w:t>），</w:t>
      </w:r>
      <w:r>
        <w:rPr>
          <w:rFonts w:ascii="宋体" w:hAnsi="宋体"/>
          <w:color w:val="auto"/>
          <w:sz w:val="28"/>
          <w:szCs w:val="28"/>
        </w:rPr>
        <w:t>能满足项目消防供水需求。</w:t>
      </w:r>
    </w:p>
    <w:p>
      <w:pPr>
        <w:pStyle w:val="49"/>
        <w:spacing w:line="360" w:lineRule="auto"/>
        <w:jc w:val="both"/>
        <w:rPr>
          <w:rFonts w:hAnsi="宋体" w:cs="Times New Roman"/>
          <w:color w:val="auto"/>
          <w:kern w:val="2"/>
          <w:sz w:val="28"/>
          <w:szCs w:val="28"/>
        </w:rPr>
      </w:pPr>
    </w:p>
    <w:p>
      <w:pPr>
        <w:keepNext/>
        <w:pageBreakBefore/>
        <w:widowControl/>
        <w:spacing w:line="600" w:lineRule="exact"/>
        <w:jc w:val="left"/>
        <w:outlineLvl w:val="0"/>
        <w:rPr>
          <w:b/>
          <w:color w:val="auto"/>
          <w:kern w:val="44"/>
          <w:sz w:val="32"/>
          <w:szCs w:val="32"/>
        </w:rPr>
      </w:pPr>
      <w:bookmarkStart w:id="202" w:name="_Toc144109219"/>
      <w:r>
        <w:rPr>
          <w:b/>
          <w:color w:val="auto"/>
          <w:kern w:val="44"/>
          <w:sz w:val="32"/>
          <w:szCs w:val="32"/>
        </w:rPr>
        <w:t>9</w:t>
      </w:r>
      <w:r>
        <w:rPr>
          <w:rFonts w:hint="eastAsia"/>
          <w:b/>
          <w:color w:val="auto"/>
          <w:kern w:val="44"/>
          <w:sz w:val="32"/>
          <w:szCs w:val="32"/>
        </w:rPr>
        <w:t>.安全对策措施</w:t>
      </w:r>
      <w:bookmarkEnd w:id="202"/>
    </w:p>
    <w:p>
      <w:pPr>
        <w:keepNext/>
        <w:keepLines/>
        <w:spacing w:line="580" w:lineRule="exact"/>
        <w:jc w:val="left"/>
        <w:outlineLvl w:val="1"/>
        <w:rPr>
          <w:rFonts w:ascii="Calibri Light" w:hAnsi="Calibri Light"/>
          <w:b/>
          <w:color w:val="auto"/>
          <w:sz w:val="30"/>
          <w:szCs w:val="30"/>
        </w:rPr>
      </w:pPr>
      <w:bookmarkStart w:id="203" w:name="_Toc144109220"/>
      <w:r>
        <w:rPr>
          <w:rFonts w:ascii="Calibri Light" w:hAnsi="Calibri Light"/>
          <w:b/>
          <w:color w:val="auto"/>
          <w:sz w:val="30"/>
          <w:szCs w:val="30"/>
        </w:rPr>
        <w:t>9.1 安全对策措施建议的依据、原则</w:t>
      </w:r>
      <w:bookmarkEnd w:id="203"/>
    </w:p>
    <w:p>
      <w:pPr>
        <w:ind w:firstLine="560" w:firstLineChars="200"/>
        <w:rPr>
          <w:rFonts w:ascii="宋体" w:hAnsi="宋体" w:cs="宋体"/>
          <w:color w:val="auto"/>
          <w:sz w:val="28"/>
          <w:szCs w:val="28"/>
        </w:rPr>
      </w:pPr>
      <w:r>
        <w:rPr>
          <w:rFonts w:ascii="宋体" w:hAnsi="宋体" w:cs="宋体"/>
          <w:color w:val="auto"/>
          <w:sz w:val="28"/>
          <w:szCs w:val="28"/>
        </w:rPr>
        <w:t>安全对策措施建议的依据：</w:t>
      </w:r>
    </w:p>
    <w:p>
      <w:pPr>
        <w:ind w:firstLine="560" w:firstLineChars="200"/>
        <w:rPr>
          <w:rFonts w:ascii="宋体" w:hAnsi="宋体" w:cs="宋体"/>
          <w:color w:val="auto"/>
          <w:sz w:val="28"/>
          <w:szCs w:val="28"/>
        </w:rPr>
      </w:pPr>
      <w:r>
        <w:rPr>
          <w:rFonts w:ascii="宋体" w:hAnsi="宋体" w:cs="宋体"/>
          <w:color w:val="auto"/>
          <w:sz w:val="28"/>
          <w:szCs w:val="28"/>
        </w:rPr>
        <w:t>1、工程的危险、有害因素的辨识分析；</w:t>
      </w:r>
    </w:p>
    <w:p>
      <w:pPr>
        <w:ind w:firstLine="560" w:firstLineChars="200"/>
        <w:rPr>
          <w:rFonts w:ascii="宋体" w:hAnsi="宋体" w:cs="宋体"/>
          <w:color w:val="auto"/>
          <w:sz w:val="28"/>
          <w:szCs w:val="28"/>
        </w:rPr>
      </w:pPr>
      <w:r>
        <w:rPr>
          <w:rFonts w:ascii="宋体" w:hAnsi="宋体" w:cs="宋体"/>
          <w:color w:val="auto"/>
          <w:sz w:val="28"/>
          <w:szCs w:val="28"/>
        </w:rPr>
        <w:t>2、符合性评价的结果；</w:t>
      </w:r>
    </w:p>
    <w:p>
      <w:pPr>
        <w:ind w:firstLine="560" w:firstLineChars="200"/>
        <w:rPr>
          <w:rFonts w:ascii="宋体" w:hAnsi="宋体" w:cs="宋体"/>
          <w:color w:val="auto"/>
          <w:sz w:val="28"/>
          <w:szCs w:val="28"/>
        </w:rPr>
      </w:pPr>
      <w:r>
        <w:rPr>
          <w:rFonts w:ascii="宋体" w:hAnsi="宋体" w:cs="宋体"/>
          <w:color w:val="auto"/>
          <w:sz w:val="28"/>
          <w:szCs w:val="28"/>
        </w:rPr>
        <w:t>3、国家有关安全生产法律、法规、规章、标准、规范。</w:t>
      </w:r>
    </w:p>
    <w:p>
      <w:pPr>
        <w:ind w:firstLine="560" w:firstLineChars="200"/>
        <w:rPr>
          <w:rFonts w:ascii="宋体" w:hAnsi="宋体" w:cs="宋体"/>
          <w:color w:val="auto"/>
          <w:sz w:val="28"/>
          <w:szCs w:val="28"/>
        </w:rPr>
      </w:pPr>
      <w:r>
        <w:rPr>
          <w:rFonts w:ascii="宋体" w:hAnsi="宋体" w:cs="宋体"/>
          <w:color w:val="auto"/>
          <w:sz w:val="28"/>
          <w:szCs w:val="28"/>
        </w:rPr>
        <w:t>安全对策措施建议的原则：</w:t>
      </w:r>
    </w:p>
    <w:p>
      <w:pPr>
        <w:ind w:firstLine="560" w:firstLineChars="200"/>
        <w:rPr>
          <w:rFonts w:ascii="宋体" w:hAnsi="宋体" w:cs="宋体"/>
          <w:color w:val="auto"/>
          <w:sz w:val="28"/>
          <w:szCs w:val="28"/>
        </w:rPr>
      </w:pPr>
      <w:r>
        <w:rPr>
          <w:rFonts w:ascii="宋体" w:hAnsi="宋体" w:cs="宋体"/>
          <w:color w:val="auto"/>
          <w:sz w:val="28"/>
          <w:szCs w:val="28"/>
        </w:rPr>
        <w:t>1、安全技术措施等级顺序：</w:t>
      </w:r>
    </w:p>
    <w:p>
      <w:pPr>
        <w:ind w:firstLine="560" w:firstLineChars="200"/>
        <w:rPr>
          <w:rFonts w:ascii="宋体" w:hAnsi="宋体" w:cs="宋体"/>
          <w:color w:val="auto"/>
          <w:sz w:val="28"/>
          <w:szCs w:val="28"/>
        </w:rPr>
      </w:pPr>
      <w:r>
        <w:rPr>
          <w:rFonts w:ascii="宋体" w:hAnsi="宋体" w:cs="宋体"/>
          <w:color w:val="auto"/>
          <w:sz w:val="28"/>
          <w:szCs w:val="28"/>
        </w:rPr>
        <w:t>1）直接安全技术措施；2）间接安全技术措施；3）指示性安全技术措施；4）若间接、指示性安全技术措施仍然不能避免事故，则应采取安全操作规程、安全教育、安全培训和台体防护等措施来预防、减弱系统的危险、危害程度。</w:t>
      </w:r>
    </w:p>
    <w:p>
      <w:pPr>
        <w:ind w:firstLine="560" w:firstLineChars="200"/>
        <w:rPr>
          <w:rFonts w:ascii="宋体" w:hAnsi="宋体" w:cs="宋体"/>
          <w:color w:val="auto"/>
          <w:sz w:val="28"/>
          <w:szCs w:val="28"/>
        </w:rPr>
      </w:pPr>
      <w:r>
        <w:rPr>
          <w:rFonts w:ascii="宋体" w:hAnsi="宋体" w:cs="宋体"/>
          <w:color w:val="auto"/>
          <w:sz w:val="28"/>
          <w:szCs w:val="28"/>
        </w:rPr>
        <w:t>2、根据安全技术措施等级顺序的要求应遵循的具体原则：</w:t>
      </w:r>
    </w:p>
    <w:p>
      <w:pPr>
        <w:ind w:firstLine="560" w:firstLineChars="200"/>
        <w:rPr>
          <w:rFonts w:ascii="宋体" w:hAnsi="宋体" w:cs="宋体"/>
          <w:color w:val="auto"/>
          <w:sz w:val="28"/>
          <w:szCs w:val="28"/>
        </w:rPr>
      </w:pPr>
      <w:r>
        <w:rPr>
          <w:rFonts w:ascii="宋体" w:hAnsi="宋体" w:cs="宋体"/>
          <w:color w:val="auto"/>
          <w:sz w:val="28"/>
          <w:szCs w:val="28"/>
        </w:rPr>
        <w:t>1）消除；2）预防；3）减弱；4）隔离；5）连锁；6）警告。</w:t>
      </w:r>
    </w:p>
    <w:p>
      <w:pPr>
        <w:ind w:firstLine="560" w:firstLineChars="200"/>
        <w:rPr>
          <w:rFonts w:ascii="宋体" w:hAnsi="宋体" w:cs="宋体"/>
          <w:color w:val="auto"/>
          <w:sz w:val="28"/>
          <w:szCs w:val="28"/>
        </w:rPr>
      </w:pPr>
      <w:r>
        <w:rPr>
          <w:rFonts w:ascii="宋体" w:hAnsi="宋体" w:cs="宋体"/>
          <w:color w:val="auto"/>
          <w:sz w:val="28"/>
          <w:szCs w:val="28"/>
        </w:rPr>
        <w:t>3、安全对策措施建议具有针对性、可操作性和经济合理性。</w:t>
      </w:r>
    </w:p>
    <w:p>
      <w:pPr>
        <w:ind w:firstLine="560" w:firstLineChars="200"/>
        <w:rPr>
          <w:rFonts w:ascii="宋体" w:hAnsi="宋体" w:cs="宋体"/>
          <w:color w:val="auto"/>
          <w:sz w:val="28"/>
          <w:szCs w:val="28"/>
        </w:rPr>
      </w:pPr>
      <w:r>
        <w:rPr>
          <w:rFonts w:ascii="宋体" w:hAnsi="宋体" w:cs="宋体"/>
          <w:color w:val="auto"/>
          <w:sz w:val="28"/>
          <w:szCs w:val="28"/>
        </w:rPr>
        <w:t>4、对策措施符合国家有关法规、标准及规范的规定。</w:t>
      </w:r>
    </w:p>
    <w:p>
      <w:pPr>
        <w:ind w:firstLine="560" w:firstLineChars="200"/>
        <w:rPr>
          <w:rFonts w:ascii="宋体" w:hAnsi="宋体" w:cs="宋体"/>
          <w:color w:val="auto"/>
          <w:sz w:val="28"/>
          <w:szCs w:val="28"/>
        </w:rPr>
      </w:pPr>
      <w:r>
        <w:rPr>
          <w:rFonts w:ascii="宋体" w:hAnsi="宋体" w:cs="宋体"/>
          <w:color w:val="auto"/>
          <w:sz w:val="28"/>
          <w:szCs w:val="28"/>
        </w:rPr>
        <w:t>5、在满足基本安全要求的基础上，对项目重大危险源或重大风险控制提出保障安全运行的对策建议。</w:t>
      </w:r>
    </w:p>
    <w:p>
      <w:pPr>
        <w:keepNext/>
        <w:keepLines/>
        <w:spacing w:line="580" w:lineRule="exact"/>
        <w:jc w:val="left"/>
        <w:outlineLvl w:val="1"/>
        <w:rPr>
          <w:rFonts w:ascii="Calibri Light" w:hAnsi="Calibri Light"/>
          <w:b/>
          <w:color w:val="auto"/>
          <w:sz w:val="30"/>
          <w:szCs w:val="30"/>
        </w:rPr>
      </w:pPr>
      <w:bookmarkStart w:id="204" w:name="_Toc144109221"/>
      <w:r>
        <w:rPr>
          <w:rFonts w:ascii="Calibri Light" w:hAnsi="Calibri Light"/>
          <w:b/>
          <w:color w:val="auto"/>
          <w:sz w:val="30"/>
          <w:szCs w:val="30"/>
        </w:rPr>
        <w:t>9</w:t>
      </w:r>
      <w:r>
        <w:rPr>
          <w:rFonts w:hint="eastAsia" w:ascii="Calibri Light" w:hAnsi="Calibri Light"/>
          <w:b/>
          <w:color w:val="auto"/>
          <w:sz w:val="30"/>
          <w:szCs w:val="30"/>
        </w:rPr>
        <w:t>.2 可研中的安全对策措施</w:t>
      </w:r>
      <w:bookmarkEnd w:id="204"/>
    </w:p>
    <w:p>
      <w:pPr>
        <w:ind w:firstLine="560" w:firstLineChars="200"/>
        <w:rPr>
          <w:color w:val="auto"/>
        </w:rPr>
      </w:pPr>
      <w:r>
        <w:rPr>
          <w:rFonts w:hint="eastAsia" w:ascii="宋体" w:hAnsi="宋体" w:cs="宋体"/>
          <w:color w:val="auto"/>
          <w:sz w:val="28"/>
          <w:szCs w:val="28"/>
        </w:rPr>
        <w:t>根据生产工艺的特性，</w:t>
      </w:r>
      <w:r>
        <w:rPr>
          <w:rFonts w:hint="eastAsia" w:ascii="宋体" w:hAnsi="宋体" w:cs="Arial"/>
          <w:color w:val="auto"/>
          <w:sz w:val="28"/>
          <w:szCs w:val="28"/>
        </w:rPr>
        <w:t>结合原材料、中间体、产品的危险特性，严格执行国家有关规定，贯彻“安全第一、预防为主、综合治理”的方针，在安全方面采取各种有效的防范措施。具体有以下安全措施:</w:t>
      </w:r>
    </w:p>
    <w:p>
      <w:pPr>
        <w:ind w:firstLine="560" w:firstLineChars="200"/>
        <w:rPr>
          <w:rFonts w:ascii="宋体" w:hAnsi="宋体" w:cs="宋体"/>
          <w:color w:val="auto"/>
          <w:sz w:val="28"/>
          <w:szCs w:val="28"/>
        </w:rPr>
      </w:pPr>
      <w:r>
        <w:rPr>
          <w:rFonts w:hint="eastAsia" w:ascii="宋体" w:hAnsi="宋体" w:cs="宋体"/>
          <w:color w:val="auto"/>
          <w:sz w:val="28"/>
          <w:szCs w:val="28"/>
        </w:rPr>
        <w:t>1</w:t>
      </w:r>
      <w:r>
        <w:rPr>
          <w:rFonts w:ascii="宋体" w:hAnsi="宋体" w:cs="宋体"/>
          <w:color w:val="auto"/>
          <w:sz w:val="28"/>
          <w:szCs w:val="28"/>
        </w:rPr>
        <w:t>.</w:t>
      </w:r>
      <w:r>
        <w:rPr>
          <w:rFonts w:hint="eastAsia" w:ascii="宋体" w:hAnsi="宋体" w:cs="宋体"/>
          <w:color w:val="auto"/>
          <w:sz w:val="28"/>
          <w:szCs w:val="28"/>
        </w:rPr>
        <w:t>选址、总体布局</w:t>
      </w:r>
    </w:p>
    <w:p>
      <w:pPr>
        <w:ind w:firstLine="560" w:firstLineChars="200"/>
        <w:rPr>
          <w:rFonts w:ascii="宋体" w:hAnsi="宋体" w:cs="宋体"/>
          <w:color w:val="auto"/>
          <w:sz w:val="28"/>
          <w:szCs w:val="28"/>
        </w:rPr>
      </w:pPr>
      <w:r>
        <w:rPr>
          <w:rFonts w:hint="eastAsia" w:ascii="宋体" w:hAnsi="宋体" w:cs="宋体"/>
          <w:color w:val="auto"/>
          <w:sz w:val="28"/>
          <w:szCs w:val="28"/>
        </w:rPr>
        <w:t>该项目位于江西省吉安市新干县盐化工业城化工集中区，符合新干县盐化工业城土地利用总体规划。</w:t>
      </w:r>
    </w:p>
    <w:p>
      <w:pPr>
        <w:ind w:firstLine="560" w:firstLineChars="200"/>
        <w:rPr>
          <w:rFonts w:ascii="宋体" w:hAnsi="宋体" w:cs="宋体"/>
          <w:color w:val="auto"/>
          <w:sz w:val="28"/>
          <w:szCs w:val="28"/>
        </w:rPr>
      </w:pPr>
      <w:r>
        <w:rPr>
          <w:rFonts w:hint="eastAsia" w:ascii="宋体" w:hAnsi="宋体" w:cs="宋体"/>
          <w:color w:val="auto"/>
          <w:sz w:val="28"/>
          <w:szCs w:val="28"/>
        </w:rPr>
        <w:t>该项目选址地地形为低洼地、缓坡，无台风、无地震、且水利条件较好，交通便利，对项目的不利影响较小。</w:t>
      </w:r>
    </w:p>
    <w:p>
      <w:pPr>
        <w:ind w:firstLine="560" w:firstLineChars="200"/>
        <w:rPr>
          <w:rFonts w:ascii="宋体" w:hAnsi="宋体" w:cs="宋体"/>
          <w:color w:val="auto"/>
          <w:sz w:val="28"/>
          <w:szCs w:val="28"/>
        </w:rPr>
      </w:pPr>
      <w:r>
        <w:rPr>
          <w:rFonts w:hint="eastAsia" w:ascii="宋体" w:hAnsi="宋体" w:cs="宋体"/>
          <w:color w:val="auto"/>
          <w:sz w:val="28"/>
          <w:szCs w:val="28"/>
        </w:rPr>
        <w:t>该项目对周围居民的影响及与周边设施场所的距离均满足国家规范要求。</w:t>
      </w:r>
    </w:p>
    <w:p>
      <w:pPr>
        <w:spacing w:line="600" w:lineRule="exact"/>
        <w:ind w:firstLine="560" w:firstLineChars="200"/>
        <w:rPr>
          <w:rFonts w:ascii="宋体" w:hAnsi="宋体" w:cs="宋体"/>
          <w:color w:val="auto"/>
          <w:sz w:val="28"/>
          <w:szCs w:val="28"/>
        </w:rPr>
      </w:pPr>
      <w:r>
        <w:rPr>
          <w:rFonts w:ascii="宋体" w:hAnsi="宋体" w:cs="宋体"/>
          <w:color w:val="auto"/>
          <w:sz w:val="28"/>
          <w:szCs w:val="28"/>
        </w:rPr>
        <w:t>总平面布置、建构筑物之间的安全距离满足</w:t>
      </w:r>
      <w:r>
        <w:rPr>
          <w:rFonts w:hint="eastAsia" w:ascii="宋体" w:hAnsi="宋体" w:cs="宋体"/>
          <w:color w:val="auto"/>
          <w:sz w:val="28"/>
          <w:szCs w:val="28"/>
        </w:rPr>
        <w:t>《精细化工企业工程设计防火标准》、</w:t>
      </w:r>
      <w:r>
        <w:rPr>
          <w:rFonts w:ascii="宋体" w:hAnsi="宋体" w:cs="宋体"/>
          <w:color w:val="auto"/>
          <w:sz w:val="28"/>
          <w:szCs w:val="28"/>
        </w:rPr>
        <w:t>《建筑设计防火规范》的要求。</w:t>
      </w:r>
    </w:p>
    <w:p>
      <w:pPr>
        <w:ind w:firstLine="560" w:firstLineChars="200"/>
        <w:rPr>
          <w:rFonts w:ascii="宋体" w:hAnsi="宋体" w:cs="宋体"/>
          <w:color w:val="auto"/>
          <w:sz w:val="28"/>
          <w:szCs w:val="28"/>
        </w:rPr>
      </w:pPr>
      <w:r>
        <w:rPr>
          <w:rFonts w:hint="eastAsia" w:ascii="宋体" w:hAnsi="宋体" w:cs="宋体"/>
          <w:color w:val="auto"/>
          <w:sz w:val="28"/>
          <w:szCs w:val="28"/>
        </w:rPr>
        <w:t>该项目所在地与公路、铁路的距离满足国家相关法律、法规、标准、规范的要求。</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2.防尘防毒</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（1）采用机械化、自动化的密闭生产设备，避免人工直接接触。</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2）产生不同职业病危害因素的设备布置在同一建筑物内时，危害大的与危害小的隔开。如布置在多层建筑物内时，散发危害大的生产过程布置在建筑物的上层；如必须布置在下层时，采取有效源头控制措施，防止污染上层空气。</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（3）采取各种有效措施，避免或控制职业病危害因素的逸散。如：</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a．设置专用密闭容器或其他通风设施，用以回收采样、溢流、事故、检修时排出的物料或废弃物；</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b．设备、管道采取有效的密封措施，防止物料跑、冒、滴、漏。</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4）凡在生产过程中产生有毒有害气体、粉尘、酸雾等物质，设计成密闭的生产工艺和设备，或结合生产工艺采取通风排毒措施，尽可能避免敞开式操作，并结合生产工艺，采取有效的密闭通风防尘、除尘、排毒等净化设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（5）含有易挥发物质的液体原料、成品、中间产品等贮存设施，有防止挥发物质逸出的措施。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6）能够采用自然通风的各类建筑物通风优先利用有组织的自然通风来改善工作区的劳动卫生条件。各生产厂房根据主导专业所提供的介质特性或要求设置必要的机械通风、除尘设施。对于有爆炸危险的场所，选用防爆型设备。各类生产厂房的通风换气次数及除尘风量根据相关标准规范中的有关规定或按各装置主导专业的要求确定。</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（7）在工艺装置区可能有有毒气体泄漏和积聚的地方设置有毒气体检测报警仪，以检测设备泄漏及空气中有毒气体浓度。一旦浓度超过设定值，将立即报警。</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（8）采用DCS控制系统进行自动化生产和操作，实现远距离控制。在设计中设置安全控制和联锁系统。</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（9）可能接触有毒有害介质的岗位配备空气呼吸器及防毒面具等个体防护器材，接触噪声的岗位配备防噪声耳塞，可能产生灼伤的岗位配备洗眼淋浴器等。</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（10）化验工采样分析时，根据不同的介质配带相应的防护用品。</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3.防噪声与振动</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管道设计与调节阀的选型考虑防止振动和噪声，避免管道截面突变；管道与强烈振动的设备连接处具有一定的柔性；对辐射强噪声的管道，采取隔声、消声措施。产生强振动或冲击的机械设备，其基础单独设置，并采取减振降噪措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高噪声厂房尽量集中布置；高噪声厂房与低噪声厂房分开布置；要求安静的建筑物集中布置在安静区。合理规划装置区内外的运输线路，以避免交通噪声对装置区各种场所的影响。设计中优先选用低噪声设备，对高噪声的风机、压缩机等基础采取减震措施。管线外敷设隔音材料，风机进口加消音器，风道敷设隔音材料。对短时间接触噪声的操作人员，配备个人防护用品。同时可通过提高自动化程度，减少接触时间，使操作人员减少噪音危害。</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4.安全防护措施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压力容器上均装有安全阀。</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所有压力容器的设计、制造均遵照执行《压力容器安全技术监察规程》的规定，从本质上保证压力容器的安全运行。加强压力容器的安全管理，压力容器在安装完毕后，必须经当地压力容器监察机构检验合格后方能使用。在设备使用过程中，要建立压力容器安全操作规程，并定期对压力容器进行检验。</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建构筑物的设计切实按照国家有关标准规范的要求设计，保证厂房的耐火等级达到要求，通风良好，避免有害气体聚集造成人员中毒和火灾危险。按规范留有一定的防火间距，以保证消防车辆防火作业。防爆区域内的电气设备，采用防爆型或隔爆型。为保证消防设施的正常使用，设置了消防备用电源，在爆炸环境选用防爆电机、防爆开关、防爆灯等防爆设施，对建构筑物均采取避雷措施，防止雷击事故的发生，对地电阻保证连接可靠，电阻阻值达到要求。为防止触电事故发生，电气设备的选型必须符合安全要求，并加强生产管理，杜绝触电事故的发生。对输送易燃易爆的管道和设备设置静电接地保护，接地电阻小于10Ω。对可能产生火灾和爆炸的设备和管道设置爆破板、安全水封。对压力容器严格按照相关标准规范进行设计和制作，并定期检验，保证设备的完好和安全。在自控设计中，超温、超压的设置连锁和报警装置，避免事故的发生。</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生产装置按规范进行电源配线及设置各种保护装置；对于会产生静电积累的设备、管道采取可靠的防静电措施；电气设备按规范设置防触电的接地保护措施。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5.其他防护措施</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（1）防灼烫：</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反应釜等高温设备以及输送蒸气管道，采取防烫保温绝热措施，避免人体接触而引起烫防。</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（2）防护栏：</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装置内距离基准面小于2m的平台、通道及作业场所，设置高度为不低于900mm的防护栏杆；距离基准面大于2m且小于20m的平台、通道及作业场所，设置高度不低于1050mm的防护栏杆；距离基准面大于20m的平台、通道及作业场所，设置高度不低于1200mm的防护栏杆。</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平台、通道及作业场所的防护栏杆的设置符合《固定式钢梯及平台安全要求第3部分：工业防护栏杆及钢平台》（GB4053.3-2009）的要求。</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（3）安全标志：</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拟在作业场所设置有“禁止烟火”、“防中毒”等安全警示标志，变配电室设置有“防止触电”等标识。</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（4）风向标：</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拟在车间顶部安装风向标，可以在紧急状态下指引人员安全疏散。</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（5）个体防护装备：</w:t>
      </w:r>
    </w:p>
    <w:p>
      <w:pPr>
        <w:spacing w:line="360" w:lineRule="auto"/>
        <w:ind w:firstLine="560" w:firstLineChars="200"/>
        <w:jc w:val="left"/>
        <w:rPr>
          <w:rFonts w:ascii="宋体" w:hAnsi="宋体" w:cs="Arial"/>
          <w:color w:val="auto"/>
          <w:sz w:val="28"/>
          <w:szCs w:val="28"/>
        </w:rPr>
      </w:pPr>
      <w:r>
        <w:rPr>
          <w:rFonts w:hint="eastAsia" w:ascii="宋体" w:hAnsi="宋体" w:cs="Arial"/>
          <w:color w:val="auto"/>
          <w:sz w:val="28"/>
          <w:szCs w:val="28"/>
        </w:rPr>
        <w:t>按照制度要求，拟定期为职工发放防静电工作服、防静电或劳保鞋。劳动防护用品的配备符合化工行业的要求。</w:t>
      </w:r>
    </w:p>
    <w:p>
      <w:pPr>
        <w:keepNext/>
        <w:keepLines/>
        <w:tabs>
          <w:tab w:val="left" w:pos="5420"/>
        </w:tabs>
        <w:spacing w:line="580" w:lineRule="exact"/>
        <w:jc w:val="left"/>
        <w:outlineLvl w:val="1"/>
        <w:rPr>
          <w:rFonts w:ascii="Calibri Light" w:hAnsi="Calibri Light"/>
          <w:b/>
          <w:color w:val="auto"/>
          <w:sz w:val="30"/>
          <w:szCs w:val="30"/>
        </w:rPr>
      </w:pPr>
      <w:bookmarkStart w:id="205" w:name="_Toc144109222"/>
      <w:r>
        <w:rPr>
          <w:rFonts w:ascii="Calibri Light" w:hAnsi="Calibri Light"/>
          <w:b/>
          <w:color w:val="auto"/>
          <w:sz w:val="30"/>
          <w:szCs w:val="30"/>
        </w:rPr>
        <w:t>9</w:t>
      </w:r>
      <w:r>
        <w:rPr>
          <w:rFonts w:hint="eastAsia" w:ascii="Calibri Light" w:hAnsi="Calibri Light"/>
          <w:b/>
          <w:color w:val="auto"/>
          <w:sz w:val="30"/>
          <w:szCs w:val="30"/>
        </w:rPr>
        <w:t>.3 本评价提出的安全对策措施</w:t>
      </w:r>
      <w:bookmarkEnd w:id="205"/>
    </w:p>
    <w:p>
      <w:pPr>
        <w:keepNext/>
        <w:keepLines/>
        <w:spacing w:line="360" w:lineRule="auto"/>
        <w:jc w:val="left"/>
        <w:outlineLvl w:val="2"/>
        <w:rPr>
          <w:rFonts w:ascii="Calibri" w:hAnsi="Calibri"/>
          <w:b/>
          <w:color w:val="auto"/>
          <w:sz w:val="28"/>
          <w:szCs w:val="32"/>
        </w:rPr>
      </w:pPr>
      <w:bookmarkStart w:id="206" w:name="_Toc144109223"/>
      <w:r>
        <w:rPr>
          <w:rFonts w:hint="eastAsia" w:ascii="Calibri" w:hAnsi="Calibri"/>
          <w:b/>
          <w:color w:val="auto"/>
          <w:sz w:val="28"/>
          <w:szCs w:val="32"/>
        </w:rPr>
        <w:t>1.建设项目的选址方面</w:t>
      </w:r>
      <w:bookmarkEnd w:id="206"/>
    </w:p>
    <w:p>
      <w:pPr>
        <w:spacing w:line="360" w:lineRule="auto"/>
        <w:ind w:firstLine="560" w:firstLineChars="200"/>
        <w:rPr>
          <w:rFonts w:ascii="宋体" w:hAnsi="宋体"/>
          <w:color w:val="auto"/>
          <w:sz w:val="28"/>
          <w:szCs w:val="28"/>
        </w:rPr>
      </w:pPr>
      <w:r>
        <w:rPr>
          <w:rFonts w:hint="eastAsia" w:ascii="宋体" w:hAnsi="宋体"/>
          <w:color w:val="auto"/>
          <w:sz w:val="28"/>
          <w:szCs w:val="28"/>
        </w:rPr>
        <w:t>1）</w:t>
      </w:r>
      <w:r>
        <w:rPr>
          <w:rFonts w:hint="eastAsia" w:ascii="宋体" w:hAnsi="宋体"/>
          <w:color w:val="auto"/>
          <w:kern w:val="0"/>
          <w:sz w:val="28"/>
          <w:szCs w:val="28"/>
        </w:rPr>
        <w:t>该公司所在地</w:t>
      </w:r>
      <w:r>
        <w:rPr>
          <w:rFonts w:hint="eastAsia" w:ascii="宋体" w:hAnsi="宋体"/>
          <w:color w:val="auto"/>
          <w:sz w:val="28"/>
          <w:szCs w:val="28"/>
        </w:rPr>
        <w:t>地震烈度为Ⅵ度，</w:t>
      </w:r>
      <w:r>
        <w:rPr>
          <w:rFonts w:hint="eastAsia" w:ascii="宋体" w:hAnsi="宋体"/>
          <w:color w:val="auto"/>
          <w:kern w:val="0"/>
          <w:sz w:val="28"/>
          <w:szCs w:val="28"/>
        </w:rPr>
        <w:t>建设单位应根据场地地震基本烈度，作抗震设防。抗震设防按《建筑抗震设计规范》（GB50011-2010）和《构筑物抗震设计规范》（GB50191-2012）执行，其中重要构筑物（1</w:t>
      </w:r>
      <w:r>
        <w:rPr>
          <w:rFonts w:ascii="宋体" w:hAnsi="宋体"/>
          <w:color w:val="auto"/>
          <w:kern w:val="0"/>
          <w:sz w:val="28"/>
          <w:szCs w:val="28"/>
        </w:rPr>
        <w:t>01</w:t>
      </w:r>
      <w:r>
        <w:rPr>
          <w:rFonts w:hint="eastAsia" w:ascii="宋体" w:hAnsi="宋体"/>
          <w:color w:val="auto"/>
          <w:kern w:val="0"/>
          <w:sz w:val="28"/>
          <w:szCs w:val="28"/>
        </w:rPr>
        <w:t>甲类车间一、2</w:t>
      </w:r>
      <w:r>
        <w:rPr>
          <w:rFonts w:ascii="宋体" w:hAnsi="宋体"/>
          <w:color w:val="auto"/>
          <w:kern w:val="0"/>
          <w:sz w:val="28"/>
          <w:szCs w:val="28"/>
        </w:rPr>
        <w:t>01</w:t>
      </w:r>
      <w:r>
        <w:rPr>
          <w:rFonts w:hint="eastAsia" w:ascii="宋体" w:hAnsi="宋体"/>
          <w:color w:val="auto"/>
          <w:kern w:val="0"/>
          <w:sz w:val="28"/>
          <w:szCs w:val="28"/>
        </w:rPr>
        <w:t>甲类仓库一、2</w:t>
      </w:r>
      <w:r>
        <w:rPr>
          <w:rFonts w:ascii="宋体" w:hAnsi="宋体"/>
          <w:color w:val="auto"/>
          <w:kern w:val="0"/>
          <w:sz w:val="28"/>
          <w:szCs w:val="28"/>
        </w:rPr>
        <w:t>02</w:t>
      </w:r>
      <w:r>
        <w:rPr>
          <w:rFonts w:hint="eastAsia" w:ascii="宋体" w:hAnsi="宋体"/>
          <w:color w:val="auto"/>
          <w:kern w:val="0"/>
          <w:sz w:val="28"/>
          <w:szCs w:val="28"/>
        </w:rPr>
        <w:t>甲类仓库二、2</w:t>
      </w:r>
      <w:r>
        <w:rPr>
          <w:rFonts w:ascii="宋体" w:hAnsi="宋体"/>
          <w:color w:val="auto"/>
          <w:kern w:val="0"/>
          <w:sz w:val="28"/>
          <w:szCs w:val="28"/>
        </w:rPr>
        <w:t>05</w:t>
      </w:r>
      <w:r>
        <w:rPr>
          <w:rFonts w:hint="eastAsia" w:ascii="宋体" w:hAnsi="宋体"/>
          <w:color w:val="auto"/>
          <w:kern w:val="0"/>
          <w:sz w:val="28"/>
          <w:szCs w:val="28"/>
        </w:rPr>
        <w:t>甲类仓库三）抗震设防应采用提高一度。</w:t>
      </w:r>
    </w:p>
    <w:p>
      <w:pPr>
        <w:spacing w:line="360" w:lineRule="auto"/>
        <w:ind w:firstLine="560" w:firstLineChars="200"/>
        <w:jc w:val="left"/>
        <w:rPr>
          <w:rFonts w:ascii="宋体" w:hAnsi="宋体"/>
          <w:b/>
          <w:color w:val="auto"/>
          <w:sz w:val="28"/>
          <w:szCs w:val="28"/>
        </w:rPr>
      </w:pPr>
      <w:r>
        <w:rPr>
          <w:rFonts w:hint="eastAsia" w:ascii="宋体" w:hAnsi="宋体"/>
          <w:color w:val="auto"/>
          <w:sz w:val="28"/>
          <w:szCs w:val="28"/>
        </w:rPr>
        <w:t>2）</w:t>
      </w:r>
      <w:r>
        <w:rPr>
          <w:rFonts w:hint="eastAsia" w:ascii="宋体" w:hAnsi="宋体"/>
          <w:color w:val="auto"/>
          <w:kern w:val="0"/>
          <w:sz w:val="28"/>
          <w:szCs w:val="28"/>
        </w:rPr>
        <w:t>在工程设计前应根据勘查结果和地质资料和工程的要求，因地制宜，采取以地基处理为主的综合措施，对所有建筑、设备、设施等的基础采取相应的加固处理措施，防止地基湿陷对建筑物产生危害。</w:t>
      </w:r>
      <w:r>
        <w:rPr>
          <w:rFonts w:hint="eastAsia" w:ascii="宋体" w:hAnsi="宋体"/>
          <w:color w:val="auto"/>
          <w:sz w:val="28"/>
          <w:szCs w:val="28"/>
        </w:rPr>
        <w:t>按要求做好该项目的埋地电缆、排水的设计与施工。</w:t>
      </w:r>
    </w:p>
    <w:p>
      <w:pPr>
        <w:keepNext/>
        <w:keepLines/>
        <w:spacing w:line="360" w:lineRule="auto"/>
        <w:jc w:val="left"/>
        <w:outlineLvl w:val="2"/>
        <w:rPr>
          <w:rFonts w:ascii="Calibri" w:hAnsi="Calibri"/>
          <w:b/>
          <w:color w:val="auto"/>
          <w:sz w:val="28"/>
          <w:szCs w:val="32"/>
        </w:rPr>
      </w:pPr>
      <w:bookmarkStart w:id="207" w:name="_Toc144109224"/>
      <w:r>
        <w:rPr>
          <w:rFonts w:hint="eastAsia" w:ascii="Calibri" w:hAnsi="Calibri"/>
          <w:b/>
          <w:color w:val="auto"/>
          <w:sz w:val="28"/>
          <w:szCs w:val="32"/>
        </w:rPr>
        <w:t>2.建设项目中主要装置、设备设施的布局及建构筑物方面</w:t>
      </w:r>
      <w:bookmarkEnd w:id="207"/>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易燃、易爆危险品生产设施的布置，应保证生产人员的安全操作及疏散方便，并应符合国家现行的有关标准的规定；</w:t>
      </w:r>
      <w:r>
        <w:rPr>
          <w:rFonts w:hint="eastAsia" w:ascii="宋体" w:hAnsi="宋体"/>
          <w:color w:val="auto"/>
          <w:sz w:val="28"/>
          <w:szCs w:val="28"/>
        </w:rPr>
        <w:t>装置（车间）内的设备布置、通道的宽度及其上方高度应执行《化工装置设备布置设计规定》（HG 20546-2009）中的有关规定。</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具有可燃性、爆炸危险性及有毒性介质的管道，不应穿越与其无关的建筑物、构筑物、生产装置、辅助生产及仓储设施、贮罐区等。</w:t>
      </w:r>
    </w:p>
    <w:p>
      <w:pPr>
        <w:pStyle w:val="57"/>
        <w:numPr>
          <w:ilvl w:val="0"/>
          <w:numId w:val="21"/>
        </w:numPr>
        <w:spacing w:line="360" w:lineRule="auto"/>
        <w:ind w:left="0" w:firstLine="560"/>
        <w:jc w:val="left"/>
        <w:rPr>
          <w:rFonts w:ascii="宋体" w:hAnsi="宋体"/>
          <w:color w:val="auto"/>
          <w:kern w:val="0"/>
          <w:sz w:val="28"/>
          <w:szCs w:val="28"/>
        </w:rPr>
      </w:pPr>
      <w:r>
        <w:rPr>
          <w:rFonts w:ascii="宋体" w:hAnsi="宋体"/>
          <w:color w:val="auto"/>
          <w:sz w:val="28"/>
          <w:szCs w:val="28"/>
        </w:rPr>
        <w:t>厂房内有可燃液体设备的楼层时，分隔防火分区之间的楼板应采用钢筋混凝土楼板或复合楼板，耐火极限不应低于</w:t>
      </w:r>
      <w:r>
        <w:rPr>
          <w:color w:val="auto"/>
          <w:sz w:val="28"/>
          <w:szCs w:val="28"/>
        </w:rPr>
        <w:t>1.50h</w:t>
      </w:r>
      <w:r>
        <w:rPr>
          <w:rFonts w:ascii="宋体" w:hAnsi="宋体"/>
          <w:color w:val="auto"/>
          <w:sz w:val="28"/>
          <w:szCs w:val="28"/>
        </w:rPr>
        <w:t>，并应采取防止可燃液体流淌的措施。</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该项目生产车间多为多层厂房，厂房的耐火等级、层数和每个防火分区的最大允许建筑面积除《建筑防火设计规范》另有规定者外，应符合《建筑防火设计规范》表3.3.1的规定；</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1</w:t>
      </w:r>
      <w:r>
        <w:rPr>
          <w:rFonts w:ascii="宋体" w:hAnsi="宋体"/>
          <w:color w:val="auto"/>
          <w:sz w:val="28"/>
          <w:szCs w:val="28"/>
        </w:rPr>
        <w:t>01</w:t>
      </w:r>
      <w:r>
        <w:rPr>
          <w:rFonts w:hint="eastAsia" w:ascii="宋体" w:hAnsi="宋体"/>
          <w:color w:val="auto"/>
          <w:sz w:val="28"/>
          <w:szCs w:val="28"/>
        </w:rPr>
        <w:t>甲类车间一和2</w:t>
      </w:r>
      <w:r>
        <w:rPr>
          <w:rFonts w:ascii="宋体" w:hAnsi="宋体"/>
          <w:color w:val="auto"/>
          <w:sz w:val="28"/>
          <w:szCs w:val="28"/>
        </w:rPr>
        <w:t>01</w:t>
      </w:r>
      <w:r>
        <w:rPr>
          <w:rFonts w:hint="eastAsia" w:ascii="宋体" w:hAnsi="宋体"/>
          <w:color w:val="auto"/>
          <w:sz w:val="28"/>
          <w:szCs w:val="28"/>
        </w:rPr>
        <w:t>甲类仓库一、2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03</w:t>
      </w:r>
      <w:r>
        <w:rPr>
          <w:rFonts w:hint="eastAsia" w:ascii="宋体" w:hAnsi="宋体"/>
          <w:color w:val="auto"/>
          <w:sz w:val="28"/>
          <w:szCs w:val="28"/>
        </w:rPr>
        <w:t>丙类仓库一、2</w:t>
      </w:r>
      <w:r>
        <w:rPr>
          <w:rFonts w:ascii="宋体" w:hAnsi="宋体"/>
          <w:color w:val="auto"/>
          <w:sz w:val="28"/>
          <w:szCs w:val="28"/>
        </w:rPr>
        <w:t>05</w:t>
      </w:r>
      <w:r>
        <w:rPr>
          <w:rFonts w:hint="eastAsia" w:ascii="宋体" w:hAnsi="宋体"/>
          <w:color w:val="auto"/>
          <w:sz w:val="28"/>
          <w:szCs w:val="28"/>
        </w:rPr>
        <w:t>甲类仓库三内的防火墙，其耐火极限不应低于4.00h。二级耐火等级单层厂房（仓库）的柱，其耐火极限不应低于2.50h。二级耐火等级厂房（仓库）的上人平屋顶，其屋面板的耐火极限不应低于1.50h。</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有爆炸危险的1</w:t>
      </w:r>
      <w:r>
        <w:rPr>
          <w:rFonts w:ascii="宋体" w:hAnsi="宋体"/>
          <w:color w:val="auto"/>
          <w:kern w:val="0"/>
          <w:sz w:val="28"/>
          <w:szCs w:val="28"/>
        </w:rPr>
        <w:t>01</w:t>
      </w:r>
      <w:r>
        <w:rPr>
          <w:rFonts w:hint="eastAsia" w:ascii="宋体" w:hAnsi="宋体"/>
          <w:color w:val="auto"/>
          <w:kern w:val="0"/>
          <w:sz w:val="28"/>
          <w:szCs w:val="28"/>
        </w:rPr>
        <w:t>甲类车间一应设置泄压设施。</w:t>
      </w:r>
      <w:r>
        <w:rPr>
          <w:rFonts w:hint="eastAsia" w:ascii="宋体" w:hAnsi="宋体"/>
          <w:color w:val="auto"/>
          <w:sz w:val="28"/>
          <w:szCs w:val="28"/>
        </w:rPr>
        <w:t>泄</w:t>
      </w:r>
      <w:r>
        <w:rPr>
          <w:rFonts w:hint="eastAsia" w:ascii="宋体" w:hAnsi="宋体"/>
          <w:color w:val="auto"/>
          <w:kern w:val="0"/>
          <w:sz w:val="28"/>
          <w:szCs w:val="28"/>
        </w:rPr>
        <w:t>压设施宜采用轻质屋面板、轻质墙体和易于泄压的门、窗等，应采用安全玻璃等在爆炸时不产生尖锐碎片的材料。泄压设施的设置应避开人员密集场所和主要交通道路，并宜靠近有爆炸危险的部位。作为泄压设施的轻质屋面板和墙体的质量不宜大于60kg/m</w:t>
      </w:r>
      <w:r>
        <w:rPr>
          <w:rFonts w:hint="eastAsia" w:ascii="宋体" w:hAnsi="宋体"/>
          <w:color w:val="auto"/>
          <w:kern w:val="0"/>
          <w:sz w:val="28"/>
          <w:szCs w:val="28"/>
          <w:vertAlign w:val="superscript"/>
        </w:rPr>
        <w:t>2</w:t>
      </w:r>
      <w:r>
        <w:rPr>
          <w:rFonts w:hint="eastAsia" w:ascii="宋体" w:hAnsi="宋体"/>
          <w:color w:val="auto"/>
          <w:kern w:val="0"/>
          <w:sz w:val="28"/>
          <w:szCs w:val="28"/>
        </w:rPr>
        <w:t>。厂房泄压面积与厂房体积的比值（平方米／立方米）宜采用0.10～</w:t>
      </w:r>
      <w:r>
        <w:rPr>
          <w:rFonts w:hint="eastAsia" w:ascii="宋体" w:hAnsi="宋体"/>
          <w:color w:val="auto"/>
          <w:sz w:val="28"/>
          <w:szCs w:val="28"/>
        </w:rPr>
        <w:t>0.22。</w:t>
      </w:r>
      <w:r>
        <w:rPr>
          <w:rFonts w:hint="eastAsia" w:ascii="宋体" w:hAnsi="宋体"/>
          <w:color w:val="auto"/>
          <w:kern w:val="0"/>
          <w:sz w:val="28"/>
          <w:szCs w:val="28"/>
        </w:rPr>
        <w:t>涉及高压、具有爆炸性设备装置车间内布置时，应避开避开厂房的梁、柱等主要承重构件布置。</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控制室应进行抗爆计算。</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配电室不应设置在甲、乙类厂房内或贴邻，且不应设置在爆炸性气体、粉尘环境的危险区域内。</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生产设施内设备、建筑物布置应符合下列规定：（1）设备布置在封闭式厂房内时，操作温度不低于自燃点的工艺设备与其它甲类气体介质及甲B、乙A类液体介质工艺设备的间距不应小于4.5m；厂房间防火间距应符合《精细化工企业工程设计防火标准》第4.2.9条的规定；联合厂房各功能场所的布置应符合《精细化工企业工程设计防火标准》第8.3.3条规定；（2）设备布置在非封闭式厂房内时，车间设备、建筑物平面布置的防火间距，除《精细化工企业工程设计防火标准》另有规定外，不应小于《精细化工企业工程设计防火标准》表5.5.2-2的规定。</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有腐蚀性液态介质泄漏作用时基础的埋置深度不应小于1．5m.</w:t>
      </w:r>
      <w:r>
        <w:rPr>
          <w:rFonts w:hint="eastAsia" w:ascii="宋体" w:hAnsi="宋体"/>
          <w:color w:val="auto"/>
          <w:kern w:val="0"/>
          <w:sz w:val="28"/>
          <w:szCs w:val="28"/>
        </w:rPr>
        <w:t>该项目涉及腐蚀性物料，该项目各生产装置、电气设备以及采取的安全措施的具体情况依据《化工企业腐蚀环境电力设计规程》3.0.2、3.0.3条进行腐蚀环境划分，防腐级别不应低于WF2；</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散发较空气重的可燃气体、可燃蒸气的1</w:t>
      </w:r>
      <w:r>
        <w:rPr>
          <w:rFonts w:ascii="宋体" w:hAnsi="宋体"/>
          <w:color w:val="auto"/>
          <w:kern w:val="0"/>
          <w:sz w:val="28"/>
          <w:szCs w:val="28"/>
        </w:rPr>
        <w:t>01</w:t>
      </w:r>
      <w:r>
        <w:rPr>
          <w:rFonts w:hint="eastAsia" w:ascii="宋体" w:hAnsi="宋体"/>
          <w:color w:val="auto"/>
          <w:kern w:val="0"/>
          <w:sz w:val="28"/>
          <w:szCs w:val="28"/>
        </w:rPr>
        <w:t>甲类车间一应符合下列规定：（1）应采用不发火花的地面。采用绝缘材料作整体面层时，应采取防静电措施；（2）散发可燃粉尘、纤维的厂房，其内表面应平整、光滑，并易于清扫；（3）厂房内不宜设置地沟，确需设置时，其盖板应严密，地沟应采取防止可燃气体、可燃蒸气和粉尘、纤维在地沟积聚的有效措施，且应在与相邻厂房连通处采用防火材料密封。</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使用和生产甲、乙、丙类液体的厂房，其管、沟不应与相邻厂房的管、沟相通，下水道应设置隔油设施。</w:t>
      </w:r>
    </w:p>
    <w:p>
      <w:pPr>
        <w:pStyle w:val="57"/>
        <w:numPr>
          <w:ilvl w:val="0"/>
          <w:numId w:val="21"/>
        </w:numPr>
        <w:spacing w:line="360" w:lineRule="auto"/>
        <w:ind w:left="0" w:firstLine="560"/>
        <w:jc w:val="left"/>
        <w:rPr>
          <w:rFonts w:ascii="宋体" w:hAnsi="宋体"/>
          <w:color w:val="auto"/>
        </w:rPr>
      </w:pPr>
      <w:r>
        <w:rPr>
          <w:rFonts w:hint="eastAsia" w:ascii="宋体" w:hAnsi="宋体"/>
          <w:color w:val="auto"/>
          <w:kern w:val="0"/>
          <w:sz w:val="28"/>
          <w:szCs w:val="28"/>
        </w:rPr>
        <w:t>车间内</w:t>
      </w:r>
      <w:r>
        <w:rPr>
          <w:rFonts w:hint="eastAsia" w:ascii="宋体" w:hAnsi="宋体"/>
          <w:color w:val="auto"/>
          <w:sz w:val="28"/>
          <w:szCs w:val="28"/>
        </w:rPr>
        <w:t>作业场所一般不允许储存危险化学品原料、产品，如果条件需要必须储存时，所存放危险化学品量或设置的中间储罐内危险化学品存放量不应超过一天的用量。</w:t>
      </w:r>
    </w:p>
    <w:p>
      <w:pPr>
        <w:pStyle w:val="57"/>
        <w:numPr>
          <w:ilvl w:val="0"/>
          <w:numId w:val="21"/>
        </w:numPr>
        <w:spacing w:line="360" w:lineRule="auto"/>
        <w:ind w:left="0" w:firstLine="560"/>
        <w:jc w:val="left"/>
        <w:rPr>
          <w:rFonts w:ascii="宋体" w:hAnsi="宋体"/>
          <w:color w:val="auto"/>
          <w:sz w:val="28"/>
          <w:szCs w:val="28"/>
          <w:shd w:val="clear" w:color="auto" w:fill="FFFFFF"/>
        </w:rPr>
      </w:pPr>
      <w:r>
        <w:rPr>
          <w:rFonts w:hint="eastAsia" w:ascii="宋体" w:hAnsi="宋体"/>
          <w:color w:val="auto"/>
          <w:sz w:val="28"/>
          <w:szCs w:val="28"/>
          <w:shd w:val="clear" w:color="auto" w:fill="FFFFFF"/>
        </w:rPr>
        <w:t xml:space="preserve">离心分离、干燥区域应设置在独立的隔间内，与其他生产区域之间采用防火实墙进行分隔，且应确保有足够的泄压面积，同时应加强离心分离区域的通风。应严格控制作业场所危险化学品的存放量。有条件的企业尽量使用管道输送。若作业现场需要使用桶装物料直接加料，应划出专门的中间物料存放区，物料存放区与生产作业区域应采用防火实墙进行分隔，尽量做到使用溶剂区域无物料堆放。离心作业区域严禁存放危险化学品，特别应注意离心残液不得存放在离心间。 离心作业区域应严格控制现场操作人员人数。 </w:t>
      </w:r>
    </w:p>
    <w:p>
      <w:pPr>
        <w:pStyle w:val="57"/>
        <w:numPr>
          <w:ilvl w:val="0"/>
          <w:numId w:val="21"/>
        </w:numPr>
        <w:spacing w:line="360" w:lineRule="auto"/>
        <w:ind w:left="0" w:firstLine="560"/>
        <w:jc w:val="left"/>
        <w:rPr>
          <w:rFonts w:ascii="宋体" w:hAnsi="宋体"/>
          <w:color w:val="auto"/>
          <w:sz w:val="28"/>
          <w:szCs w:val="28"/>
          <w:shd w:val="clear" w:color="auto" w:fill="FFFFFF"/>
        </w:rPr>
      </w:pPr>
      <w:r>
        <w:rPr>
          <w:rFonts w:hint="eastAsia" w:ascii="宋体" w:hAnsi="宋体"/>
          <w:color w:val="auto"/>
          <w:sz w:val="28"/>
          <w:szCs w:val="28"/>
          <w:shd w:val="clear" w:color="auto" w:fill="FFFFFF"/>
        </w:rPr>
        <w:t>柱层析区域应设置在独立的隔间内，与其他生产区域之间采用防火实墙进行分隔，且应确保有足够的泄压面积，同时应加强柱层析区域的通风。</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厂房的安全出口应分散布置。每个防火分区或一个防火分区的每个楼层，其相邻2个安全出口最近边缘之间的水平距离不应小于5m。仓库的安全出口不应少于2个，通向疏散走道或楼梯的门应为乙级防火门。</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作业场所、仓库应设置安全通道；应设应急照明、安全标志和疏散指示标志；通道和出口应保持畅通；出入口的设置应符合有关规定。</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危险性的作业场所，应设计安全通道和出口，门窗应向外开启，通道和出入口应保持畅通。人员集中的房间应布置在火灾危险性较小的建筑物一端。下列情况应设置防火墙：（1）建筑物内部进行防火分区分隔时设置的分隔墙；（2）建筑物内防火要求不同或灭火方法不同的部位之间；（3）火灾危险类别为甲、乙类生产车间与附属的变配电、更衣、生产管理房之间，且同时满足防爆隔离的要求。</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化工装置内的各种散发热量的设备和管道应采取有效的隔热措施。设备及管道的保温设计应符合现行国家标准《设备及管道绝热技术通则》GB/T 4272的规定。</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产生大量热的封闭厂房应采用自然通风降温，必要时可以设计排风、送风、降温设施，排、送风降温系统可与尘毒排风系统联合设计。高温作业点宜采用局部通风降温措施。</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 xml:space="preserve">车间的围护结构应防止雨水渗入，内表面应防止凝结水产生。用水量较多、产湿量较大的车间，应采取排水防湿设施，防止顶棚滴水和地面积水。 </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kern w:val="0"/>
          <w:sz w:val="28"/>
          <w:szCs w:val="28"/>
        </w:rPr>
        <w:t>有甲、乙、丙类火灾危险性、腐蚀性及毒性介质的管道，除使用该管线的建筑物、构筑物外，均不得采用建筑物、构筑物支撑式敷设。</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管线敷设方式符合下列规定：1 有可燃性、爆炸危险性、毒性及腐蚀性介质的管道，应采用地上敷设；2 在散发比空气重的可燃、有毒性气体的场所，不应采用管沟敷设；必须采用管沟敷设时，应采取防止可燃气体在管沟内积聚的措施。</w:t>
      </w:r>
    </w:p>
    <w:p>
      <w:pPr>
        <w:pStyle w:val="15"/>
        <w:numPr>
          <w:ilvl w:val="0"/>
          <w:numId w:val="21"/>
        </w:numPr>
        <w:shd w:val="clear" w:color="auto" w:fill="FFFFFF"/>
        <w:spacing w:line="360" w:lineRule="auto"/>
        <w:ind w:left="0" w:firstLine="560" w:firstLineChars="200"/>
        <w:jc w:val="left"/>
        <w:rPr>
          <w:rFonts w:hAnsi="宋体"/>
          <w:color w:val="auto"/>
          <w:sz w:val="28"/>
          <w:szCs w:val="28"/>
        </w:rPr>
      </w:pPr>
      <w:r>
        <w:rPr>
          <w:rFonts w:hint="eastAsia" w:hAnsi="宋体"/>
          <w:color w:val="auto"/>
          <w:sz w:val="28"/>
          <w:szCs w:val="28"/>
        </w:rPr>
        <w:t>管线系统的支撑和隔热应安全可靠，对热胀冷缩产生的应力和位移，应有预防措施；《生产过程安全卫生要求总则》</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管道及管架应采用油漆进行防腐。对碳钢和铁素体合金钢类工艺管道、管架首先按《涂装前钢材表面锈蚀等级和除锈等级》（GB8923—88）要求进行表面处理，再按《工业设备、管道防腐蚀工程施工及验收规范》（HGJ229）要求进行油漆防腐。酸性储罐、管线金属表面原则上采用中等防腐等级进行涂漆。</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管线敷设方式符合下列规定：1 有可燃性、爆炸危险性、毒性及腐蚀性介质的管道，应采用地上敷设；2 在散发比空气重的可燃、有毒性气体的场所，不应采用管沟敷设；必须采用管沟敷设时，应采取防止可燃气体在管沟内积聚的措施。</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具有可燃性、爆炸危险性及有毒性介质的管道，不应穿越与其无关的建筑物、构筑物、生产装置、辅助生产及仓储设施、贮罐区等。</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输送强腐蚀介质的地下管道，应设置在管沟内；管沟与厂房或重要设备的基础的水平净距离，不宜小于1m。穿越楼面的管道和电缆，宜集中设置。不耐腐蚀的管道或电缆，不应埋设在有腐蚀性液态介质作用的底层地面下。</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具有化学灼伤危险的生产装置，其设备布置应保证作业场所有足够空间，并保证作业场所畅通，避免交叉作业。如果交叉作业不可避免，在危险作业点应装设避免化学灼伤危险的防护措施。</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具有酸碱性腐蚀的作业区中的建（构）筑物的地面、墙壁、设备基础，应进行防腐处理。建筑防腐按现行国家标准《建筑防腐蚀工程施工及验收规范》GB 50212的规定执行。</w:t>
      </w:r>
      <w:r>
        <w:rPr>
          <w:rFonts w:hint="eastAsia" w:ascii="宋体" w:hAnsi="宋体"/>
          <w:color w:val="auto"/>
          <w:sz w:val="28"/>
          <w:szCs w:val="28"/>
        </w:rPr>
        <w:t>生产或储存腐蚀性溶液的大型设备不宜邻近厂房基础。基础附近有腐蚀性溶液的储槽或储罐的地坑时，基础的底面应低于储槽或地坑的底面不小于500mm。</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腐蚀环境等级为强、中时，桁架、柱、主梁等重要受力构件不应采用格构式和冷弯薄壁型钢。</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钢结构杆件截面的选择，应符合下列规定：1 杆件应采用实腹式或闭口截面，闭口截面端部应进行封闭；对封闭截面进行热镀浸锌时，应采取开孔防爆措施。2 腐蚀性等级为强、中时，不应采用由双角钢组成的T形截面或由双槽钢组成的工形截面；腐蚀性等级为弱时，不宜采用上述T形或工形截面。3 当采用型钢组合的杆件时，型钢间的空隙宽度应满足防护层施工和维修的要求。</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桁架、柱、主梁等重要钢构件和闭口截面杆件的焊缝，应采用连续焊缝。角焊缝的焊脚尺寸不应小于8mm；当杆件厚度小于8mm时，焊脚尺寸不应小于杆件厚度。加劲肋应切角；切角的尺寸应满足排水、施工维修要求。</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钢柱柱脚应置于混凝土基础上，基础顶面宜高出地面不小于300mm。</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在腐蚀环境下，不应采用下列结构：1）钢与混凝土组合的屋架和吊车梁。2）以压型钢板为模板兼配筋的混凝土组合结构。</w:t>
      </w:r>
    </w:p>
    <w:p>
      <w:pPr>
        <w:pStyle w:val="57"/>
        <w:numPr>
          <w:ilvl w:val="0"/>
          <w:numId w:val="21"/>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基础的埋置深度应符合下列规定：生产过程中，当有腐蚀性液态介质泄漏作用时，埋置深度不应小于1.5m。</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kern w:val="0"/>
          <w:sz w:val="28"/>
          <w:szCs w:val="28"/>
        </w:rPr>
        <w:t>该项目各车间内</w:t>
      </w:r>
      <w:r>
        <w:rPr>
          <w:rFonts w:hint="eastAsia" w:ascii="宋体" w:hAnsi="宋体"/>
          <w:color w:val="auto"/>
          <w:sz w:val="28"/>
          <w:szCs w:val="28"/>
        </w:rPr>
        <w:t>应有良好的自然通风或机械通风设施；部分存在有毒气体、可燃气体车间应设置可燃、有毒气体浓度监测、报警和相应的事故通风装置。</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厂区内的全厂性管道的敷设，应与厂区内的装置 (单元)、道路、建筑物、构筑物等协调，避免管道包围装置 (单元)，减少管道与铁路、道路的交叉。管道应架空或地上敷设;如确有需要，可埋地或敷设在管沟内。管道宜集中成排布置。地上的管道应敷设在管架或管墩上。 管道系统应有正确和可靠的支承，不应发生管道与其支承件脱离、管道扭曲、下垂或立管不垂直的现象。管道布置宜做到“步步高”或 “步步低”，减少气袋或液袋。否则应根据操作、检修要求设置放空、放净。管道布置应减少 “盲肠气。</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管道穿过建筑物的楼板、屋顶或墙面时，应加套管，套管与管道间的空隙应密封。套管的直径应大于管道隔热层的外径，并不得影响管道的热位移。管道上的焊缝不应在套管内，并距离套管端部不应小于150mm。套管应高出楼板、屋顶面50mm。管道穿过屋顶时应设防雨罩，管道不应穿过防火墙或防爆墙。</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布置腐蚀性介质、有毒介质和高压管道时，应避免由于法兰、螺纹和填料密封等泄漏而造成对人身和设备的危害。易泄漏部位应避免位于人行通道或机泵上方，否则应设安全防护。有隔热层的管道，在管墩、管架处应设管托。无隔热层的管道，如无要求，可不设管托。当隔热层厚度小于或等于80mm时，选用高100mm的管托；隔热层厚度大于80mm时，选用高150mm的管托；隔热层厚度大于130mm 时，选用高200mm的管托。保冷管道应选用保冷管托。</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全厂性管道敷设应有坡度，并宜与地面坡度一致。管道的最小坡度宜为2%。管道变坡点宜设在转弯处或固定点附近。对于跨越、穿越厂区内道路的管道，在其跨越段或穿越段上不得装设阀门、金属波纹管补偿器和法兰、螺纹接头等管道组成件。有热位移的埋地管道，在管道强度允许的条件下可设置挡墩，否则应采取热补偿措施；管道跨越厂内道路时，路面以上的净空高度不应小于5m;管道跨越装置内的检修道路和消防道路时，路面以上的净空高度不应小于4.5m;管架立柱边缘距铁路中心线不应小于3m，距道路路肩不应小于1m .</w:t>
      </w:r>
    </w:p>
    <w:p>
      <w:pPr>
        <w:pStyle w:val="57"/>
        <w:numPr>
          <w:ilvl w:val="0"/>
          <w:numId w:val="21"/>
        </w:numPr>
        <w:spacing w:line="360" w:lineRule="auto"/>
        <w:ind w:left="0" w:firstLine="560"/>
        <w:jc w:val="left"/>
        <w:rPr>
          <w:rFonts w:ascii="宋体" w:hAnsi="宋体"/>
          <w:color w:val="auto"/>
          <w:sz w:val="28"/>
          <w:szCs w:val="28"/>
        </w:rPr>
      </w:pPr>
      <w:r>
        <w:rPr>
          <w:rFonts w:hint="eastAsia" w:ascii="宋体" w:hAnsi="宋体"/>
          <w:color w:val="auto"/>
          <w:sz w:val="28"/>
          <w:szCs w:val="28"/>
        </w:rPr>
        <w:t>全厂性工艺及热力管道:全厂性工艺及热力管道，宜地上敷设。在跨越道路的工艺管道上，不应设阀门、波纹管或套筒补偿器，并不得采用法兰或螺纹连接。工艺管道的连接，应符合下列规定：a.与阀门、设备开口连接，除要求法兰或螺纹连接外，应焊接连接；b.输送高粘、易凝介质的管道，必要时可采用法兰连接。在无隔热层，不排空的地上甲、乙类液体管道的每对切断阀之间，应采取泄压措施。</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厂内道路在弯道的横净距三角形范围内，不得有妨碍驾驶员视线的障碍物。</w:t>
      </w:r>
    </w:p>
    <w:p>
      <w:pPr>
        <w:pStyle w:val="57"/>
        <w:numPr>
          <w:ilvl w:val="0"/>
          <w:numId w:val="21"/>
        </w:numPr>
        <w:spacing w:line="360" w:lineRule="auto"/>
        <w:ind w:left="0" w:firstLine="560"/>
        <w:jc w:val="left"/>
        <w:rPr>
          <w:rFonts w:ascii="宋体" w:hAnsi="宋体"/>
          <w:color w:val="auto"/>
          <w:kern w:val="0"/>
          <w:sz w:val="28"/>
          <w:szCs w:val="28"/>
        </w:rPr>
      </w:pPr>
      <w:r>
        <w:rPr>
          <w:rFonts w:ascii="宋体" w:hAnsi="宋体"/>
          <w:color w:val="auto"/>
          <w:sz w:val="28"/>
          <w:szCs w:val="28"/>
        </w:rPr>
        <w:t>作业区的布置应保证人员有足够的安全活动空间。设备、工机具、辅助设施的布置，生产物料、产品和剩余物料的堆放，人行道、车行道的布置和间隔距离，都不应妨碍人员工作和造成危害</w:t>
      </w:r>
      <w:r>
        <w:rPr>
          <w:rFonts w:hint="eastAsia" w:ascii="宋体" w:hAnsi="宋体"/>
          <w:color w:val="auto"/>
          <w:sz w:val="28"/>
          <w:szCs w:val="28"/>
        </w:rPr>
        <w:t>。</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该项目原材料液氨为高毒物品，高毒作业场所与其他作业场所隔离，作业场所设置有效通风装置，可能突然泄漏大量有毒物品或者易造成急性中毒的作业场所，设置自动报警装置和事故联锁通风设施。</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高毒作业场所应设置应急撤离通道和必要的泄险区。应设置红色区域警示线、警示标识和中文警示说明，并设置通讯报警设备。</w:t>
      </w:r>
    </w:p>
    <w:p>
      <w:pPr>
        <w:pStyle w:val="57"/>
        <w:numPr>
          <w:ilvl w:val="0"/>
          <w:numId w:val="21"/>
        </w:numPr>
        <w:spacing w:line="360" w:lineRule="auto"/>
        <w:ind w:left="0" w:firstLine="560"/>
        <w:jc w:val="left"/>
        <w:rPr>
          <w:rFonts w:ascii="宋体" w:hAnsi="宋体"/>
          <w:color w:val="auto"/>
          <w:kern w:val="0"/>
          <w:sz w:val="28"/>
          <w:szCs w:val="28"/>
        </w:rPr>
      </w:pPr>
      <w:r>
        <w:rPr>
          <w:rFonts w:hint="eastAsia" w:ascii="宋体" w:hAnsi="宋体"/>
          <w:color w:val="auto"/>
          <w:sz w:val="28"/>
          <w:szCs w:val="28"/>
        </w:rPr>
        <w:t>涉及高毒物质工作场所墙壁、顶棚和地面等内部结构和表面应采用耐腐蚀、不吸收、不吸附毒物的材料，必要时加设保护层；车间地面应平整防滑，易于冲洗清扫；可能产生积液的地面应做防渗透处理，并采用坡向排水系统，其废水纳入工业废水处理系统。</w:t>
      </w:r>
    </w:p>
    <w:p>
      <w:pPr>
        <w:keepNext/>
        <w:keepLines/>
        <w:spacing w:line="360" w:lineRule="auto"/>
        <w:jc w:val="left"/>
        <w:outlineLvl w:val="2"/>
        <w:rPr>
          <w:rFonts w:ascii="Calibri" w:hAnsi="Calibri"/>
          <w:b/>
          <w:color w:val="auto"/>
          <w:sz w:val="28"/>
          <w:szCs w:val="32"/>
        </w:rPr>
      </w:pPr>
      <w:bookmarkStart w:id="208" w:name="_Toc144109225"/>
      <w:r>
        <w:rPr>
          <w:rFonts w:hint="eastAsia" w:ascii="Calibri" w:hAnsi="Calibri"/>
          <w:b/>
          <w:color w:val="auto"/>
          <w:sz w:val="28"/>
          <w:szCs w:val="32"/>
        </w:rPr>
        <w:t>3.主要技术、工艺或者方式和装置、设备、设施方面</w:t>
      </w:r>
      <w:bookmarkEnd w:id="208"/>
    </w:p>
    <w:p>
      <w:pPr>
        <w:pStyle w:val="57"/>
        <w:numPr>
          <w:ilvl w:val="0"/>
          <w:numId w:val="22"/>
        </w:numPr>
        <w:spacing w:line="360" w:lineRule="auto"/>
        <w:ind w:left="0" w:firstLine="560"/>
        <w:rPr>
          <w:rFonts w:ascii="宋体" w:hAnsi="宋体"/>
          <w:color w:val="auto"/>
          <w:sz w:val="28"/>
          <w:szCs w:val="28"/>
        </w:rPr>
      </w:pPr>
      <w:r>
        <w:rPr>
          <w:rFonts w:hint="eastAsia" w:ascii="宋体" w:hAnsi="宋体"/>
          <w:color w:val="auto"/>
          <w:sz w:val="28"/>
          <w:szCs w:val="28"/>
        </w:rPr>
        <w:t>企业应根据反应安全风险评估报告中反应工艺危险度等级，从工艺设计、仪表控制、报警与紧急干预（安全仪表系统）、物料释放后的收集与保护，厂区和周边区域的应急响应等完善安全风险防控措施；要根据反应风险评估建议，设置相应的安全设施和安全仪表系统；</w:t>
      </w:r>
    </w:p>
    <w:p>
      <w:pPr>
        <w:pStyle w:val="57"/>
        <w:numPr>
          <w:ilvl w:val="0"/>
          <w:numId w:val="22"/>
        </w:numPr>
        <w:spacing w:line="360" w:lineRule="auto"/>
        <w:ind w:left="0" w:firstLine="560"/>
        <w:rPr>
          <w:rFonts w:ascii="宋体" w:hAnsi="宋体"/>
          <w:color w:val="auto"/>
          <w:sz w:val="28"/>
          <w:szCs w:val="28"/>
        </w:rPr>
      </w:pPr>
      <w:r>
        <w:rPr>
          <w:rFonts w:hint="eastAsia" w:ascii="宋体" w:hAnsi="宋体"/>
          <w:color w:val="auto"/>
          <w:sz w:val="28"/>
          <w:szCs w:val="28"/>
        </w:rPr>
        <w:t>企业要把反应安全风险评估作为安全管理的重要内容，新建项目要以反应安全风险评估结果为依据，开展工艺设计及安全设施设计，保证各项安全控制措施落实到位；</w:t>
      </w:r>
      <w:r>
        <w:rPr>
          <w:rFonts w:ascii="宋体" w:hAnsi="宋体"/>
          <w:color w:val="auto"/>
          <w:sz w:val="28"/>
          <w:szCs w:val="28"/>
        </w:rPr>
        <w:t>较高危险度等级的反应工艺过程应配置独立的安全仪表系统，其安全完整性等级应在过程危险分析的基础上，通过风险分析确定。</w:t>
      </w:r>
    </w:p>
    <w:p>
      <w:pPr>
        <w:pStyle w:val="57"/>
        <w:widowControl/>
        <w:numPr>
          <w:ilvl w:val="0"/>
          <w:numId w:val="22"/>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依据《国家安全监管总局关于加强化工安全仪表系统管理的指导意见》（安监总管三〔2014〕116号），该项目设计危险化工工艺和重点监管危险化学品的化工装置和危险化学品储存设施要设计符合要求的安全仪表系统。其他装置、危险化学品储存设施安全仪表系统应执行功能安全相关标准要求，设计符合要求的安全仪表系统。</w:t>
      </w:r>
    </w:p>
    <w:p>
      <w:pPr>
        <w:pStyle w:val="57"/>
        <w:widowControl/>
        <w:numPr>
          <w:ilvl w:val="0"/>
          <w:numId w:val="22"/>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企业要根据江西省化学化工学会出具的《国内首次使用的化工工艺技术安全可靠性论证报告》，对论证报告中提出的建议措施在后续设施设计中逐一落实。</w:t>
      </w:r>
    </w:p>
    <w:p>
      <w:pPr>
        <w:pStyle w:val="57"/>
        <w:widowControl/>
        <w:numPr>
          <w:ilvl w:val="0"/>
          <w:numId w:val="22"/>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该项目应根据《江西省应急管理厅关于印发&lt;江西省化工企业自动化提升实施方案</w:t>
      </w:r>
      <w:r>
        <w:rPr>
          <w:rFonts w:ascii="宋体" w:hAnsi="宋体"/>
          <w:color w:val="auto"/>
          <w:kern w:val="0"/>
          <w:sz w:val="28"/>
          <w:szCs w:val="28"/>
        </w:rPr>
        <w:t>&gt;</w:t>
      </w:r>
      <w:r>
        <w:rPr>
          <w:rFonts w:hint="eastAsia" w:ascii="宋体" w:hAnsi="宋体"/>
          <w:color w:val="auto"/>
          <w:kern w:val="0"/>
          <w:sz w:val="28"/>
          <w:szCs w:val="28"/>
        </w:rPr>
        <w:t>（试行）的通知》（赣应急字〔20</w:t>
      </w:r>
      <w:r>
        <w:rPr>
          <w:rFonts w:ascii="宋体" w:hAnsi="宋体"/>
          <w:color w:val="auto"/>
          <w:kern w:val="0"/>
          <w:sz w:val="28"/>
          <w:szCs w:val="28"/>
        </w:rPr>
        <w:t>21</w:t>
      </w:r>
      <w:r>
        <w:rPr>
          <w:rFonts w:hint="eastAsia" w:ascii="宋体" w:hAnsi="宋体"/>
          <w:color w:val="auto"/>
          <w:kern w:val="0"/>
          <w:sz w:val="28"/>
          <w:szCs w:val="28"/>
        </w:rPr>
        <w:t>〕1</w:t>
      </w:r>
      <w:r>
        <w:rPr>
          <w:rFonts w:ascii="宋体" w:hAnsi="宋体"/>
          <w:color w:val="auto"/>
          <w:kern w:val="0"/>
          <w:sz w:val="28"/>
          <w:szCs w:val="28"/>
        </w:rPr>
        <w:t>90</w:t>
      </w:r>
      <w:r>
        <w:rPr>
          <w:rFonts w:hint="eastAsia" w:ascii="宋体" w:hAnsi="宋体"/>
          <w:color w:val="auto"/>
          <w:kern w:val="0"/>
          <w:sz w:val="28"/>
          <w:szCs w:val="28"/>
        </w:rPr>
        <w:t>号）的要求进行自动化控制系统设计。</w:t>
      </w:r>
    </w:p>
    <w:p>
      <w:pPr>
        <w:pStyle w:val="57"/>
        <w:numPr>
          <w:ilvl w:val="0"/>
          <w:numId w:val="22"/>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生产车间、仓库应设置音视频监控报警系统，监视突发的危险因素或初期的火灾报警等情况。摄像头的设置个数和位置，应根据现场的实际情况而定，既要覆盖全面，也要重点考虑危险性较大的区域。摄像视频监控报警系统应可实现与危险参数监控报警的联动。</w:t>
      </w:r>
    </w:p>
    <w:p>
      <w:pPr>
        <w:pStyle w:val="57"/>
        <w:numPr>
          <w:ilvl w:val="0"/>
          <w:numId w:val="22"/>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该项目</w:t>
      </w:r>
      <w:r>
        <w:rPr>
          <w:rFonts w:ascii="宋体" w:hAnsi="宋体"/>
          <w:color w:val="auto"/>
          <w:sz w:val="28"/>
          <w:szCs w:val="28"/>
        </w:rPr>
        <w:t>24-</w:t>
      </w:r>
      <w:r>
        <w:rPr>
          <w:rFonts w:hint="eastAsia" w:ascii="宋体" w:hAnsi="宋体"/>
          <w:color w:val="auto"/>
          <w:sz w:val="28"/>
          <w:szCs w:val="28"/>
        </w:rPr>
        <w:t>表芸苔素内酯合成涉及重点监管</w:t>
      </w:r>
      <w:r>
        <w:rPr>
          <w:rFonts w:hint="eastAsia" w:ascii="宋体" w:hAnsi="宋体" w:cs="Arial"/>
          <w:bCs/>
          <w:smallCaps/>
          <w:color w:val="auto"/>
          <w:sz w:val="28"/>
          <w:szCs w:val="28"/>
        </w:rPr>
        <w:t>磺化工艺和氧化工艺</w:t>
      </w:r>
      <w:r>
        <w:rPr>
          <w:rFonts w:hint="eastAsia" w:ascii="宋体" w:hAnsi="宋体"/>
          <w:color w:val="auto"/>
          <w:sz w:val="28"/>
          <w:szCs w:val="28"/>
        </w:rPr>
        <w:t>；2</w:t>
      </w:r>
      <w:r>
        <w:rPr>
          <w:rFonts w:ascii="宋体" w:hAnsi="宋体"/>
          <w:color w:val="auto"/>
          <w:sz w:val="28"/>
          <w:szCs w:val="28"/>
        </w:rPr>
        <w:t>8-</w:t>
      </w:r>
      <w:r>
        <w:rPr>
          <w:rFonts w:hint="eastAsia" w:ascii="宋体" w:hAnsi="宋体"/>
          <w:color w:val="auto"/>
          <w:sz w:val="28"/>
          <w:szCs w:val="28"/>
        </w:rPr>
        <w:t>高芸苔素内酯合成涉及重点监管磺化工艺和氧化工艺；丙酰芸苔素内酯合成涉及重点监管磺化工艺和氧化工艺</w:t>
      </w:r>
      <w:r>
        <w:rPr>
          <w:rFonts w:hint="eastAsia" w:ascii="宋体" w:hAnsi="宋体" w:cs="Arial"/>
          <w:bCs/>
          <w:smallCaps/>
          <w:color w:val="auto"/>
          <w:sz w:val="28"/>
          <w:szCs w:val="28"/>
        </w:rPr>
        <w:t>；</w:t>
      </w:r>
      <w:r>
        <w:rPr>
          <w:rFonts w:hint="eastAsia" w:ascii="宋体" w:hAnsi="宋体"/>
          <w:color w:val="auto"/>
          <w:kern w:val="0"/>
          <w:sz w:val="28"/>
          <w:szCs w:val="28"/>
        </w:rPr>
        <w:t>建设单位应当根据涉及重点监管的危险工艺生产、使用工艺（方式）或者相关设备、设施等实际情况，按照3.3.2节要求完善</w:t>
      </w:r>
      <w:r>
        <w:rPr>
          <w:rFonts w:hint="eastAsia" w:ascii="宋体" w:hAnsi="宋体"/>
          <w:color w:val="auto"/>
          <w:sz w:val="28"/>
          <w:szCs w:val="28"/>
        </w:rPr>
        <w:t>重点监控参数、各上下游工序间联锁控制装置、安全监控及自动控制方案。根据首次工艺论证报告提出的建议措施，在后续设计中完善安全设施。</w:t>
      </w:r>
    </w:p>
    <w:p>
      <w:pPr>
        <w:pStyle w:val="57"/>
        <w:numPr>
          <w:ilvl w:val="0"/>
          <w:numId w:val="22"/>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该项目涉及重点监管的危险化学品为</w:t>
      </w:r>
      <w:r>
        <w:rPr>
          <w:rFonts w:hint="eastAsia"/>
          <w:color w:val="auto"/>
          <w:sz w:val="28"/>
          <w:szCs w:val="28"/>
        </w:rPr>
        <w:t>液氨、甲醇、乙酸乙酯、甲苯、中间产物二氧化硫、中间产物氢气</w:t>
      </w:r>
      <w:r>
        <w:rPr>
          <w:rFonts w:hint="eastAsia" w:ascii="宋体" w:hAnsi="宋体"/>
          <w:color w:val="auto"/>
          <w:kern w:val="0"/>
          <w:sz w:val="28"/>
          <w:szCs w:val="28"/>
        </w:rPr>
        <w:t>等，建设单位应当根据涉及重点监管的危险化学品的数量、生产、使用工艺（方式）或者相关设备、设施等实际情况，按照3.3.2节要求完善安全措施和应急处置措施。</w:t>
      </w:r>
    </w:p>
    <w:p>
      <w:pPr>
        <w:pStyle w:val="57"/>
        <w:numPr>
          <w:ilvl w:val="0"/>
          <w:numId w:val="22"/>
        </w:numPr>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该项目涉及的</w:t>
      </w:r>
      <w:r>
        <w:rPr>
          <w:rFonts w:hint="eastAsia" w:ascii="宋体" w:hAnsi="宋体"/>
          <w:color w:val="auto"/>
          <w:sz w:val="28"/>
          <w:szCs w:val="28"/>
        </w:rPr>
        <w:t>液氨</w:t>
      </w:r>
      <w:r>
        <w:rPr>
          <w:rFonts w:hint="eastAsia" w:ascii="宋体" w:hAnsi="宋体"/>
          <w:color w:val="auto"/>
          <w:kern w:val="0"/>
          <w:sz w:val="28"/>
          <w:szCs w:val="28"/>
        </w:rPr>
        <w:t>钢瓶的重量、温度压力及其</w:t>
      </w:r>
      <w:r>
        <w:rPr>
          <w:rFonts w:hint="eastAsia" w:ascii="宋体" w:hAnsi="宋体"/>
          <w:color w:val="auto"/>
          <w:sz w:val="28"/>
          <w:szCs w:val="28"/>
        </w:rPr>
        <w:t>机泵、控制阀门的开关状态，应在相关项目自动控制系统内均有显示，</w:t>
      </w:r>
      <w:r>
        <w:rPr>
          <w:rFonts w:hint="eastAsia" w:ascii="宋体" w:hAnsi="宋体"/>
          <w:color w:val="auto"/>
          <w:kern w:val="0"/>
          <w:sz w:val="28"/>
          <w:szCs w:val="28"/>
        </w:rPr>
        <w:t>应设置动联锁切断装置，检测和报警信号传至</w:t>
      </w:r>
      <w:r>
        <w:rPr>
          <w:rFonts w:hint="eastAsia" w:ascii="宋体" w:hAnsi="宋体"/>
          <w:color w:val="auto"/>
          <w:sz w:val="28"/>
          <w:szCs w:val="28"/>
        </w:rPr>
        <w:t>相关项目自动控制系统</w:t>
      </w:r>
      <w:r>
        <w:rPr>
          <w:rFonts w:hint="eastAsia" w:ascii="宋体" w:hAnsi="宋体"/>
          <w:color w:val="auto"/>
          <w:kern w:val="0"/>
          <w:sz w:val="28"/>
          <w:szCs w:val="28"/>
        </w:rPr>
        <w:t>。环境温度变化可能导致体积膨胀而超压的液体管道，应设有安全泄压装置。</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液氨钢瓶存储仓库应设置氨气体浓度报警仪，并与相应的事故排风机联锁，事故风机应保证可靠供电。</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金属锂投料应设置加料斗、机械加料装置，进料量与反应温度或压力等联锁并设置切断设施。</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kern w:val="0"/>
          <w:sz w:val="28"/>
          <w:szCs w:val="28"/>
        </w:rPr>
        <w:t>紧急切断装置应同时考虑对上下游装置安全生产的影响，并实现与上下游装置的报警通讯、延迟执行功能。应同时设置紧急泄压或物料回收设施。</w:t>
      </w:r>
      <w:r>
        <w:rPr>
          <w:rFonts w:hint="eastAsia" w:ascii="宋体" w:hAnsi="宋体"/>
          <w:color w:val="auto"/>
          <w:sz w:val="28"/>
          <w:szCs w:val="28"/>
        </w:rPr>
        <w:t>对现场运行的动力设备设置手动停机操作和事故联锁停机等。</w:t>
      </w:r>
    </w:p>
    <w:p>
      <w:pPr>
        <w:pStyle w:val="57"/>
        <w:numPr>
          <w:ilvl w:val="0"/>
          <w:numId w:val="22"/>
        </w:numPr>
        <w:spacing w:line="360" w:lineRule="auto"/>
        <w:ind w:left="0" w:firstLine="560"/>
        <w:rPr>
          <w:rFonts w:ascii="宋体" w:hAnsi="宋体"/>
          <w:color w:val="auto"/>
          <w:sz w:val="28"/>
          <w:szCs w:val="28"/>
        </w:rPr>
      </w:pPr>
      <w:r>
        <w:rPr>
          <w:rFonts w:hint="eastAsia" w:ascii="宋体" w:hAnsi="宋体"/>
          <w:color w:val="auto"/>
          <w:sz w:val="28"/>
          <w:szCs w:val="28"/>
        </w:rPr>
        <w:t>控制室操作联锁的控制器和常规控制器应分别分开单独设置。辅助操作台上设有重要动设备的紧急停车按钮以及相应的外报警灯，控制室的操作人员可以在生产装置紧急状态下进行手动机组停车，在确认有效信息的前提下，操作人员可以发出全线停车指令，使工程系统处于紧急保护停机状态。</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蒸馏系统应根据</w:t>
      </w:r>
      <w:r>
        <w:rPr>
          <w:rFonts w:hint="eastAsia" w:ascii="宋体" w:hAnsi="宋体"/>
          <w:color w:val="auto"/>
          <w:kern w:val="0"/>
          <w:sz w:val="28"/>
          <w:szCs w:val="28"/>
        </w:rPr>
        <w:t>相关设备、设施等实际情况</w:t>
      </w:r>
      <w:r>
        <w:rPr>
          <w:rFonts w:hint="eastAsia" w:ascii="宋体" w:hAnsi="宋体"/>
          <w:color w:val="auto"/>
          <w:sz w:val="28"/>
          <w:szCs w:val="28"/>
        </w:rPr>
        <w:t>设置以下措施：（1）有爆炸危险的蒸馏装置设置安全联锁停车系统或具有安全联锁停车功能的其他系统，以保证操作人员及设备运行的安全。（2）应有防止管道被凝固点较高的物质凝结堵塞，使塔内压增高而引起爆炸的措施，如管道伴热，设置双压力表，安全阀前串联爆破片等。（3）蒸馏装置宜采取露天或敞开式布置，尽量靠近生产区的边沿，蒸馏装置上方不宜设置其它装置或房间，爆炸危险性较大的蒸馏釜宜采用防爆墙与其它部位相隔。（4）应注意塔板、填料材料、塔底泵和换热设备与物料的相容性，如：物料组合对特定材料的应力腐蚀，介质与设备材料的是否相互反应等。（5）易燃物料减压蒸馏的真空泵应装有止回阀。（6）高级危害(Ⅱ级)的职业性接触毒物和高温及强腐蚀性物料的液面指示，不得采用玻璃管液面计。承载易燃、爆炸和毒性为中度的危险性介质的容器一般不得采用玻璃管液面计。（7）根据工艺过程要求，向塔顶馏出管道注入与操作介质不同的添加剂时，其接管上应设置止回阀和切断阀。（8）冷凝液管道要有坡度要求，坡向回流罐。（9）需要设置安全联锁停车系统的蒸馏装置应配置备用电源或应急电源，以保证在主供电源停电时仍能正常启动。</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萃取检测与控制至少应包括下列内容:萃取液、反萃液计量罐位检测、控制；萃取液、反萃液流量检测；进萃取釜液流量检测、控制；萃取釜物位相界面检测、控制；</w:t>
      </w:r>
    </w:p>
    <w:p>
      <w:pPr>
        <w:pStyle w:val="57"/>
        <w:widowControl/>
        <w:numPr>
          <w:ilvl w:val="0"/>
          <w:numId w:val="22"/>
        </w:numPr>
        <w:shd w:val="clear" w:color="auto" w:fill="FAFAFA"/>
        <w:spacing w:line="360" w:lineRule="auto"/>
        <w:ind w:left="0" w:firstLine="560"/>
        <w:jc w:val="left"/>
        <w:rPr>
          <w:rFonts w:ascii="宋体" w:hAnsi="宋体"/>
          <w:color w:val="auto"/>
          <w:kern w:val="0"/>
          <w:sz w:val="28"/>
          <w:szCs w:val="28"/>
        </w:rPr>
      </w:pPr>
      <w:r>
        <w:rPr>
          <w:rFonts w:hint="eastAsia" w:ascii="宋体" w:hAnsi="宋体"/>
          <w:color w:val="auto"/>
          <w:kern w:val="0"/>
          <w:sz w:val="28"/>
          <w:szCs w:val="28"/>
        </w:rPr>
        <w:t>具有超压危险的生产设备和管道应设计安全阀、爆破片等泄压系统。输送可燃性物料并有可能产生火焰蔓延的放空管和管道间应设置阻火器、水封等阻火设施。因物料爆聚、分解造成超温、超压，可能引起火灾、爆炸的反应设备应设报警信号和泄压排放设施，以及自动或手动遥控的紧急切断进料设施。</w:t>
      </w:r>
    </w:p>
    <w:p>
      <w:pPr>
        <w:pStyle w:val="57"/>
        <w:numPr>
          <w:ilvl w:val="0"/>
          <w:numId w:val="22"/>
        </w:numPr>
        <w:spacing w:line="360" w:lineRule="auto"/>
        <w:ind w:left="0" w:firstLine="560"/>
        <w:jc w:val="left"/>
        <w:rPr>
          <w:rFonts w:ascii="宋体" w:hAnsi="宋体"/>
          <w:bCs/>
          <w:color w:val="auto"/>
          <w:sz w:val="28"/>
          <w:szCs w:val="28"/>
        </w:rPr>
      </w:pPr>
      <w:r>
        <w:rPr>
          <w:rStyle w:val="63"/>
          <w:rFonts w:ascii="宋体" w:hAnsi="宋体"/>
          <w:bCs/>
          <w:color w:val="auto"/>
          <w:sz w:val="28"/>
          <w:szCs w:val="28"/>
        </w:rPr>
        <w:t>有突然超压或发生瞬时分解爆炸危险物料的反应设备，如设安全阀不能满足要求时，应装爆破片或爆破片和导爆管，导爆管口必须朝向无火源的安全方向；必要时应采取防止二次爆炸、火灾的措施。</w:t>
      </w:r>
    </w:p>
    <w:p>
      <w:pPr>
        <w:pStyle w:val="57"/>
        <w:widowControl/>
        <w:numPr>
          <w:ilvl w:val="0"/>
          <w:numId w:val="22"/>
        </w:numPr>
        <w:shd w:val="clear" w:color="auto" w:fill="FAFAFA"/>
        <w:spacing w:line="360" w:lineRule="auto"/>
        <w:ind w:left="0" w:firstLine="560"/>
        <w:jc w:val="left"/>
        <w:rPr>
          <w:rStyle w:val="63"/>
          <w:rFonts w:ascii="宋体" w:hAnsi="宋体"/>
          <w:bCs/>
          <w:color w:val="auto"/>
          <w:sz w:val="28"/>
          <w:szCs w:val="28"/>
        </w:rPr>
      </w:pPr>
      <w:r>
        <w:rPr>
          <w:rStyle w:val="63"/>
          <w:rFonts w:hint="eastAsia" w:ascii="宋体" w:hAnsi="宋体"/>
          <w:bCs/>
          <w:color w:val="auto"/>
          <w:sz w:val="28"/>
          <w:szCs w:val="28"/>
        </w:rPr>
        <w:t>爆炸性气体环境电气设备的选择应符合下列规定：（1）根据爆炸危险区域的分区、电气设备的种类和防爆结构的要求，应选择相应的电气设备。涉及丙酮、甲苯、液氨、二氯甲烷等具有易燃易爆性物料的场所内的设备防爆等级应不低于Ⅱ类，A级T1组。该项目涉及丁酮、DMF、乙酸乙酯、叔丁醇、甲醇、乙醇、丙酸酐、异丙醇、环己酮、N</w:t>
      </w:r>
      <w:r>
        <w:rPr>
          <w:rStyle w:val="63"/>
          <w:rFonts w:ascii="宋体" w:hAnsi="宋体"/>
          <w:bCs/>
          <w:color w:val="auto"/>
          <w:sz w:val="28"/>
          <w:szCs w:val="28"/>
        </w:rPr>
        <w:t>-</w:t>
      </w:r>
      <w:r>
        <w:rPr>
          <w:rStyle w:val="63"/>
          <w:rFonts w:hint="eastAsia" w:ascii="宋体" w:hAnsi="宋体"/>
          <w:bCs/>
          <w:color w:val="auto"/>
          <w:sz w:val="28"/>
          <w:szCs w:val="28"/>
        </w:rPr>
        <w:t>甲基吗啉等具有易燃易爆性物料场所内电气防爆等级应不低于Ⅱ类，A级T</w:t>
      </w:r>
      <w:r>
        <w:rPr>
          <w:rStyle w:val="63"/>
          <w:rFonts w:ascii="宋体" w:hAnsi="宋体"/>
          <w:bCs/>
          <w:color w:val="auto"/>
          <w:sz w:val="28"/>
          <w:szCs w:val="28"/>
        </w:rPr>
        <w:t>2</w:t>
      </w:r>
      <w:r>
        <w:rPr>
          <w:rStyle w:val="63"/>
          <w:rFonts w:hint="eastAsia" w:ascii="宋体" w:hAnsi="宋体"/>
          <w:bCs/>
          <w:color w:val="auto"/>
          <w:sz w:val="28"/>
          <w:szCs w:val="28"/>
        </w:rPr>
        <w:t>组; 涉及四氢呋喃场所内电气防爆等级应不低于Ⅱ类，B级T</w:t>
      </w:r>
      <w:r>
        <w:rPr>
          <w:rStyle w:val="63"/>
          <w:rFonts w:ascii="宋体" w:hAnsi="宋体"/>
          <w:bCs/>
          <w:color w:val="auto"/>
          <w:sz w:val="28"/>
          <w:szCs w:val="28"/>
        </w:rPr>
        <w:t>3</w:t>
      </w:r>
      <w:r>
        <w:rPr>
          <w:rStyle w:val="63"/>
          <w:rFonts w:hint="eastAsia" w:ascii="宋体" w:hAnsi="宋体"/>
          <w:bCs/>
          <w:color w:val="auto"/>
          <w:sz w:val="28"/>
          <w:szCs w:val="28"/>
        </w:rPr>
        <w:t>组；涉及石油醚、三乙胺、柴油场所内电气防爆等级应不低于Ⅱ类，A级T</w:t>
      </w:r>
      <w:r>
        <w:rPr>
          <w:rStyle w:val="63"/>
          <w:rFonts w:ascii="宋体" w:hAnsi="宋体"/>
          <w:bCs/>
          <w:color w:val="auto"/>
          <w:sz w:val="28"/>
          <w:szCs w:val="28"/>
        </w:rPr>
        <w:t>3</w:t>
      </w:r>
      <w:r>
        <w:rPr>
          <w:rStyle w:val="63"/>
          <w:rFonts w:hint="eastAsia" w:ascii="宋体" w:hAnsi="宋体"/>
          <w:bCs/>
          <w:color w:val="auto"/>
          <w:sz w:val="28"/>
          <w:szCs w:val="28"/>
        </w:rPr>
        <w:t>组；涉及氢气场所内电气防爆等级应不低于Ⅱ类，C级T</w:t>
      </w:r>
      <w:r>
        <w:rPr>
          <w:rStyle w:val="63"/>
          <w:rFonts w:ascii="宋体" w:hAnsi="宋体"/>
          <w:bCs/>
          <w:color w:val="auto"/>
          <w:sz w:val="28"/>
          <w:szCs w:val="28"/>
        </w:rPr>
        <w:t>1</w:t>
      </w:r>
      <w:r>
        <w:rPr>
          <w:rStyle w:val="63"/>
          <w:rFonts w:hint="eastAsia" w:ascii="宋体" w:hAnsi="宋体"/>
          <w:bCs/>
          <w:color w:val="auto"/>
          <w:sz w:val="28"/>
          <w:szCs w:val="28"/>
        </w:rPr>
        <w:t>组；防爆型电气设备或仪表因需要在爆炸危险区域使用非防爆设备时应采取隔爆措施。（2）选用的防爆电气设备的级别和组别，不应低于该爆炸性气体环境内爆炸性气体混合物的级别和组别。当存在有两种以上易燃性物质形成的爆炸性气体混合物时，应按危险程度较高的级别和组别选用防爆电气设备。（3）爆炸危险区域内的电气设备，应符合周围环境内化学的、机械的、热的、霉菌以及风沙等不同环境条件对电气设备的要求。（4）电气设备结构应满足电气设备在规定的运行条件下不降低防爆性能的要求。</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可能存在爆炸性气体环境的生产设施，除进行电气设备防爆设计外，应进行非电气设备防爆设计。</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使用或生产可燃/有毒气体或甲、乙类可燃液体的生产和储运区域，应按现行国家标准《石油化工可燃气体和有毒气体检测报警设计规范》GB 50493、《爆炸危险环境电力装置设计规范》GB 50058的规定，设置独立于基本控制系统的可燃/有毒气体检测报警系统，现场电子仪表设备应采取合适的防爆措施，符合爆炸危险环境的防爆要求。</w:t>
      </w:r>
    </w:p>
    <w:p>
      <w:pPr>
        <w:pStyle w:val="57"/>
        <w:numPr>
          <w:ilvl w:val="0"/>
          <w:numId w:val="22"/>
        </w:numPr>
        <w:spacing w:line="360" w:lineRule="auto"/>
        <w:ind w:left="0" w:firstLine="560"/>
        <w:jc w:val="left"/>
        <w:rPr>
          <w:rFonts w:ascii="宋体" w:hAnsi="宋体"/>
          <w:bCs/>
          <w:color w:val="auto"/>
          <w:sz w:val="28"/>
          <w:szCs w:val="28"/>
        </w:rPr>
      </w:pPr>
      <w:r>
        <w:rPr>
          <w:rFonts w:hint="eastAsia" w:ascii="宋体" w:hAnsi="宋体"/>
          <w:bCs/>
          <w:color w:val="auto"/>
          <w:sz w:val="28"/>
          <w:szCs w:val="28"/>
        </w:rPr>
        <w:t>可燃/有毒气体释放源处于封闭或局部通风不良的半敞开厂房内，可燃气体检（探）测器距其所覆盖范围内的释放源不宜大于5m。有毒气体检（探）测器距释放源不宜大于2m。有毒气体检（探）测器距释放源不宜大于4m。</w:t>
      </w:r>
    </w:p>
    <w:p>
      <w:pPr>
        <w:pStyle w:val="57"/>
        <w:numPr>
          <w:ilvl w:val="0"/>
          <w:numId w:val="22"/>
        </w:numPr>
        <w:spacing w:line="360" w:lineRule="auto"/>
        <w:ind w:left="0" w:firstLine="560"/>
        <w:jc w:val="left"/>
        <w:rPr>
          <w:rFonts w:ascii="宋体" w:hAnsi="宋体"/>
          <w:bCs/>
          <w:color w:val="auto"/>
          <w:sz w:val="28"/>
          <w:szCs w:val="28"/>
        </w:rPr>
      </w:pPr>
      <w:r>
        <w:rPr>
          <w:rFonts w:hint="eastAsia" w:ascii="宋体" w:hAnsi="宋体"/>
          <w:color w:val="auto"/>
          <w:sz w:val="28"/>
          <w:szCs w:val="28"/>
        </w:rPr>
        <w:t>检测比空气重的四氢呋喃、三乙胺、丙酮、甲苯、丁酮、DMF、乙酸乙酯、叔丁醇、石油醚、甲醇、乙醇、丙酸酐、异丙醇、环己酮、N-甲基吗啉、柴油等可燃气体/有毒气体的检（探）测器，其安装高度应距地坪（或楼地板）0.3～0.6m；检测比空气略重的可燃气体/有毒气体距释放源下方0.5-1m内。检测比空气轻的液氨、氢气等可燃气体/有毒气体，其安装高度应距释放源上方2m内。检测比空气略轻的可燃气体/有毒气体，其安装高度应距释放源上方0.5-1内。</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建议高级危险程度（Ⅱ级）的职业性接触毒和高温及强腐蚀性物料的液面指示，不得采用璃璃管液面计。建议腐蚀性介质的测量仪表管线，应有相应的隔离、冲洗、吹气等防护措施。</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建议存在发生故障可能导致危险的泵，应有备用。建议强腐蚀液体的排液阀门设双阀。</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物料倒流会产生危险的设备管道，应根据具体情况设置自动切断阀、止回阀或中间容器等。在不正常情况下，物料串通会产生危险时，应根据具体情况采取防止措施。氮气进设备前应设置减压阀、缓冲罐，氮气进气管道应设置止逆阀。</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储存、输送酸、碱等强腐蚀性化学物料的储罐、泵、管道等应按其特性选材，其周围地面、排水管道及基础应作防腐处理。腐蚀性介质的测量仪表管线，应有相应的隔离、冲洗、吹气等防护措施。</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从配电室或控制室通向户外或腐蚀性厂房的电缆，在穿墙部位应予以防腐、防火封堵。穿墙孔洞及保护管的空隙同样予以防腐、防火密封。腐蚀环境现场控制电器和其他电气设施（如控制箱、检修电源箱、接插件、分线箱、灯具等），应按腐蚀环境类别选用相应的防腐电工产品。</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户内腐蚀环境配电装置、控制装置、电力变压器、电动机、控制电器和仪表、灯具电缆电缆桥架等用电设备应根据环境类别选用：1类（中等腐蚀环境）内，防腐级别不应低于F1级防腐型；2类（中等腐蚀环境）内，防腐级别不应低于F2级防腐型；户外腐蚀环境配电装置、控制装置、电力变压器、电动机、控制电器和仪表、灯具电缆电缆桥架等用电设备应根据环境类别选用：1类（中等腐蚀环境）内，防腐级别不应低于WF1级防腐型；2类（中等腐蚀环境）内，防腐级别不应低于WF2级防腐型；</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腐蚀环境的密封式动力（照明）配电箱、控制箱、操作柱、电动机接线盒等电缆进出口处应采用金属或塑料的带橡胶密封圈的密封防腐措施。</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腐蚀环境建、构筑物上的裸露防雷装置，应有防腐措施。宜利用建筑物的内部钢筋作应有为接闪器、引下线和接地体。</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表面温度超过60℃的设备和管道，在下列范围内应设防烫伤隔热层：距地面或工作台高度2.1m以内者；距操作平台周围0.75m以内者。</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阀门布置比较集中，易因误操作而引发事故时，应在阀门附近标明输送介质的名称、称号或高明显的标志。</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不得采用明渠排放含有挥发性毒物的废水、废液。非饮用水管道严禁与生活饮用水管道连接。</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在有毒液体容易泄漏的场所，应用不易渗透的建筑材料铺砌地面，并设围堰。</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在涉及氮气区域内作业，应采用防止窒息措施并应设置氧气含量检测报警，作业区内气体经化验合格后方准工作。</w:t>
      </w:r>
    </w:p>
    <w:p>
      <w:pPr>
        <w:pStyle w:val="57"/>
        <w:numPr>
          <w:ilvl w:val="0"/>
          <w:numId w:val="22"/>
        </w:numPr>
        <w:spacing w:line="360" w:lineRule="auto"/>
        <w:ind w:left="0" w:firstLine="560"/>
        <w:jc w:val="left"/>
        <w:rPr>
          <w:rFonts w:ascii="宋体" w:hAnsi="宋体"/>
          <w:color w:val="auto"/>
          <w:sz w:val="28"/>
          <w:szCs w:val="28"/>
          <w:shd w:val="clear" w:color="auto" w:fill="FFFFFF"/>
        </w:rPr>
      </w:pPr>
      <w:r>
        <w:rPr>
          <w:rFonts w:hint="eastAsia" w:ascii="宋体" w:hAnsi="宋体"/>
          <w:color w:val="auto"/>
          <w:sz w:val="28"/>
          <w:szCs w:val="28"/>
        </w:rPr>
        <w:t>该项目涉及采用离心机作业，</w:t>
      </w:r>
      <w:r>
        <w:rPr>
          <w:rFonts w:hint="eastAsia" w:ascii="宋体" w:hAnsi="宋体"/>
          <w:color w:val="auto"/>
          <w:sz w:val="28"/>
          <w:szCs w:val="28"/>
          <w:shd w:val="clear" w:color="auto" w:fill="FFFFFF"/>
        </w:rPr>
        <w:t>离心含有易燃易爆物料的溶液时，应确保离心机的密闭防爆并应采用惰性气体或其它气体保护；在离心机氮气保护系统设计中设置在线氧气检测装置和压力变送传感器，对运行过程中的离心机内腔的氧气浓度进行检测，实行定量的控制，控制其氧气含量在安全范围以内(也即保证机内的氧气浓度在易燃易爆介质的爆炸极限之外)。离心设备应设计发生故障、人员误操作危险状态时的自动报警、连锁保护装置和安全装置；</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该项目涉及粉料烘干设施，应设置安全阀爆破片等泄压设施、温度报警及与进料、热源等设施的联锁装置；如烘干温度可能达到自燃点附近时应设置自动灭火设施；</w:t>
      </w:r>
    </w:p>
    <w:p>
      <w:pPr>
        <w:pStyle w:val="57"/>
        <w:numPr>
          <w:ilvl w:val="0"/>
          <w:numId w:val="22"/>
        </w:numPr>
        <w:spacing w:line="360" w:lineRule="auto"/>
        <w:ind w:left="0" w:firstLine="560"/>
        <w:rPr>
          <w:rFonts w:ascii="宋体" w:hAnsi="宋体"/>
          <w:color w:val="auto"/>
          <w:sz w:val="28"/>
          <w:szCs w:val="28"/>
        </w:rPr>
      </w:pPr>
      <w:r>
        <w:rPr>
          <w:rFonts w:hint="eastAsia" w:ascii="宋体" w:hAnsi="宋体"/>
          <w:color w:val="auto"/>
          <w:sz w:val="28"/>
          <w:szCs w:val="28"/>
        </w:rPr>
        <w:t>具有化学灼伤危险的作业区，应设计必要的洗眼器、淋洗器等安全防护措施，并在装置区设置救护箱。工作人员配备必要的个人防护用品。生产过程中接触强酸、强碱和易经皮肤吸收的毒物的场所，应设现场人身冲洗设施和洗眼器。具有化学灼伤危险的作业区，应设计必要的洗眼器、淋洗器等安全防护措施，并在装置区设置救护箱。工作人员配备必要的个人防护用品。《化工企业安全卫生设计规定》4.6.5</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生产和辅助设备应选用国家定点生产企业生产的产品，非标设备应委托具有相应资质的单位设计、制造。对于压力容器、压力管道等特种设备及其附属设施，应选用有国家承认资质的企业的定型产品，进口设备应有相关证书。由取得国家承认的资质的专业队伍进行安装施工，并按照国家规定取得相应的质监部门的检验合格证和使用许可证。</w:t>
      </w:r>
    </w:p>
    <w:p>
      <w:pPr>
        <w:pStyle w:val="57"/>
        <w:numPr>
          <w:ilvl w:val="0"/>
          <w:numId w:val="22"/>
        </w:numPr>
        <w:spacing w:line="360" w:lineRule="auto"/>
        <w:ind w:left="0" w:firstLine="560"/>
        <w:jc w:val="left"/>
        <w:rPr>
          <w:rFonts w:ascii="宋体" w:hAnsi="宋体"/>
          <w:color w:val="auto"/>
          <w:sz w:val="28"/>
          <w:szCs w:val="28"/>
        </w:rPr>
      </w:pPr>
      <w:r>
        <w:rPr>
          <w:rFonts w:hint="eastAsia" w:ascii="宋体" w:hAnsi="宋体"/>
          <w:color w:val="auto"/>
          <w:sz w:val="28"/>
          <w:szCs w:val="28"/>
        </w:rPr>
        <w:t>为了使泄漏的可能性降至最低，防止设备、管线的腐蚀，要合理选择设备和管线、阀门、法兰及密封件的材质。特别是在化工设备的设计中，要考虑到物料与密封材料的相容型式、负载情况、极限压力、工作速度大小、环境温度的变化等因素，合理选用密封结构和密封件。</w:t>
      </w:r>
    </w:p>
    <w:p>
      <w:pPr>
        <w:keepNext/>
        <w:keepLines/>
        <w:spacing w:line="360" w:lineRule="auto"/>
        <w:jc w:val="left"/>
        <w:outlineLvl w:val="2"/>
        <w:rPr>
          <w:rFonts w:ascii="Calibri" w:hAnsi="Calibri"/>
          <w:b/>
          <w:color w:val="auto"/>
          <w:sz w:val="28"/>
          <w:szCs w:val="32"/>
        </w:rPr>
      </w:pPr>
      <w:bookmarkStart w:id="209" w:name="_Toc144109226"/>
      <w:r>
        <w:rPr>
          <w:rFonts w:hint="eastAsia" w:ascii="Calibri" w:hAnsi="Calibri"/>
          <w:b/>
          <w:color w:val="auto"/>
          <w:sz w:val="28"/>
          <w:szCs w:val="32"/>
        </w:rPr>
        <w:t>4.危险化学品生产或者储存过程配套和辅助工程方面</w:t>
      </w:r>
      <w:bookmarkEnd w:id="209"/>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仓库应根据物料性质设计相应的防火、防爆、防腐、泄压、通风、调节温度、防潮、防雨等设施，并应配备通讯报警装置和工作人员防护物品。</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该项目金属锂属于遇湿易燃类别1，应按甲类3、4项的要求存储在甲类仓库并应设置防水浸设施。金属锂仓库内应设置温湿度监测监控装置。</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金属锂仓库应设置现场摄像监控系统、温度计、湿度计和自动红外线温感报警装置，应记录和保存数据，每个防火分区应安装不少于2套皆覆盖整个防火分区的视频监控、自动红外线温度感应报警仪和温度监控报警仪。仓库内物品存放应采用隔离、隔开方式进行储存，应配备搬运、</w:t>
      </w:r>
      <w:r>
        <w:rPr>
          <w:rFonts w:hint="eastAsia" w:ascii="宋体" w:hAnsi="宋体"/>
          <w:color w:val="auto"/>
          <w:spacing w:val="-6"/>
          <w:sz w:val="28"/>
          <w:szCs w:val="28"/>
        </w:rPr>
        <w:t>装卸设备。仓库周围的场地绿化宜选择水分大、油脂少、蜡质少的常绿树种。</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金属锂库房应采用防爆型照明、通风设施，不应使用易产生火花与静电的机械设备和工具，储存区应备有收容泄露物的器具。库房内应设置具有声光报警功能的氢气检测报警仪，库内地面、墙体应有防潮措施，地面严禁有积水坑、沟。库房内不应存放闲置、木质等易吸潮的托盘和其他易燃材料。</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循环冷却水塔布置应距离金属锂仓库2</w:t>
      </w:r>
      <w:r>
        <w:rPr>
          <w:rFonts w:ascii="宋体" w:hAnsi="宋体"/>
          <w:color w:val="auto"/>
          <w:sz w:val="28"/>
          <w:szCs w:val="28"/>
        </w:rPr>
        <w:t>5</w:t>
      </w:r>
      <w:r>
        <w:rPr>
          <w:rFonts w:hint="eastAsia" w:ascii="宋体" w:hAnsi="宋体"/>
          <w:color w:val="auto"/>
          <w:sz w:val="28"/>
          <w:szCs w:val="28"/>
        </w:rPr>
        <w:t>m以上，仓库四周应设置排水设施。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剧毒化学品、易制毒化学品、易制爆危险化学品应按规定将储存地点、储存数量、流向及管理人员的情况报相关部门备案，剧毒化学品应实行双人收发、双人保管制度。</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过氧化物储存应避免阳光直射。</w:t>
      </w:r>
    </w:p>
    <w:p>
      <w:pPr>
        <w:pStyle w:val="57"/>
        <w:numPr>
          <w:ilvl w:val="0"/>
          <w:numId w:val="23"/>
        </w:numPr>
        <w:spacing w:line="360" w:lineRule="auto"/>
        <w:ind w:left="0" w:firstLine="560"/>
        <w:rPr>
          <w:rFonts w:ascii="宋体" w:hAnsi="宋体"/>
          <w:color w:val="auto"/>
          <w:sz w:val="28"/>
          <w:szCs w:val="28"/>
        </w:rPr>
      </w:pPr>
      <w:r>
        <w:rPr>
          <w:rFonts w:hint="eastAsia" w:ascii="Calibri" w:hAnsi="Calibri"/>
          <w:color w:val="auto"/>
          <w:sz w:val="28"/>
          <w:szCs w:val="22"/>
        </w:rPr>
        <w:t>甲基磺酰氯存储仓库应设置防盗报警、视频监控，并设双锁，由双人收发和保管。仓库内应保持整洁，对散落的甲基磺酰氯及时清除。使用过的工作服和手套等用品必须存在在库外安全地点，妥善保管或及时处理。库房内温度不应超过3</w:t>
      </w:r>
      <w:r>
        <w:rPr>
          <w:rFonts w:ascii="Calibri" w:hAnsi="Calibri"/>
          <w:color w:val="auto"/>
          <w:sz w:val="28"/>
          <w:szCs w:val="22"/>
        </w:rPr>
        <w:t>5</w:t>
      </w:r>
      <w:r>
        <w:rPr>
          <w:rFonts w:hint="eastAsia" w:ascii="Calibri" w:hAnsi="Calibri"/>
          <w:color w:val="auto"/>
          <w:sz w:val="28"/>
          <w:szCs w:val="22"/>
        </w:rPr>
        <w:t>℃。</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建设单位应将</w:t>
      </w:r>
      <w:r>
        <w:rPr>
          <w:rFonts w:hint="eastAsia" w:ascii="Calibri" w:hAnsi="Calibri"/>
          <w:color w:val="auto"/>
          <w:sz w:val="28"/>
          <w:szCs w:val="22"/>
        </w:rPr>
        <w:t>甲基磺酰氯存储数量、地点及单位负责人等情况报当地公安部门和危险化学品监督管理部门备案。</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应使用防爆叉车搬运装卸易发生燃烧爆炸的危险化学品。</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危险化学品堆码应整齐、牢固、无倒置；不应遮挡消防设备、安全设施、安全标志和通道。</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仪表供气管网应设置低压报警，压力超低宜联锁；控制室内应有供气系统的监视与报警仪表，应有气源总管压力指示和压力低限报警。</w:t>
      </w:r>
    </w:p>
    <w:p>
      <w:pPr>
        <w:pStyle w:val="57"/>
        <w:numPr>
          <w:ilvl w:val="0"/>
          <w:numId w:val="23"/>
        </w:numPr>
        <w:spacing w:line="360" w:lineRule="auto"/>
        <w:ind w:left="0" w:firstLine="560"/>
        <w:rPr>
          <w:rFonts w:ascii="宋体" w:hAnsi="宋体"/>
          <w:color w:val="auto"/>
          <w:sz w:val="28"/>
          <w:szCs w:val="28"/>
        </w:rPr>
      </w:pPr>
      <w:r>
        <w:rPr>
          <w:rFonts w:hint="eastAsia" w:ascii="宋体" w:hAnsi="宋体" w:cs="Arial"/>
          <w:color w:val="auto"/>
          <w:sz w:val="28"/>
          <w:szCs w:val="28"/>
        </w:rPr>
        <w:t>液体进装置的管道应有坡度和低点排净措施，管道应接地。</w:t>
      </w:r>
    </w:p>
    <w:p>
      <w:pPr>
        <w:pStyle w:val="84"/>
        <w:numPr>
          <w:ilvl w:val="0"/>
          <w:numId w:val="23"/>
        </w:numPr>
        <w:spacing w:before="0" w:beforeAutospacing="0" w:after="0" w:line="360" w:lineRule="auto"/>
        <w:ind w:left="0" w:firstLine="560" w:firstLineChars="200"/>
        <w:jc w:val="both"/>
        <w:rPr>
          <w:rFonts w:ascii="宋体" w:hAnsi="宋体"/>
          <w:color w:val="auto"/>
          <w:sz w:val="28"/>
          <w:szCs w:val="28"/>
        </w:rPr>
      </w:pPr>
      <w:r>
        <w:rPr>
          <w:rFonts w:hint="eastAsia" w:ascii="宋体" w:hAnsi="宋体"/>
          <w:color w:val="auto"/>
          <w:sz w:val="28"/>
          <w:szCs w:val="28"/>
        </w:rPr>
        <w:t>自动控制系统的室外仪表电缆敷设，应符合下列规定：1.在生产区敷设的仪表电缆宜采用电缆沟、电缆保护管、直埋灯地下敷设方式，采用电缆沟时应充砂填实。2.生产区局部地段确需在地面敷设的电缆，应采用镀锌钢保护管或带盖板的全封闭金属电缆槽等方式敷设。3.非生产区的仪表电缆可采用带盖板的全封闭金属电缆槽在地面以上敷设</w:t>
      </w:r>
    </w:p>
    <w:p>
      <w:pPr>
        <w:pStyle w:val="84"/>
        <w:numPr>
          <w:ilvl w:val="0"/>
          <w:numId w:val="23"/>
        </w:numPr>
        <w:spacing w:before="0" w:beforeAutospacing="0" w:after="0" w:line="360" w:lineRule="auto"/>
        <w:ind w:left="0" w:firstLine="560" w:firstLineChars="200"/>
        <w:jc w:val="both"/>
        <w:rPr>
          <w:rFonts w:ascii="宋体" w:hAnsi="宋体"/>
          <w:color w:val="auto"/>
          <w:sz w:val="28"/>
          <w:szCs w:val="28"/>
        </w:rPr>
      </w:pPr>
      <w:r>
        <w:rPr>
          <w:rFonts w:hint="eastAsia" w:ascii="宋体" w:hAnsi="宋体"/>
          <w:color w:val="auto"/>
          <w:sz w:val="28"/>
          <w:szCs w:val="28"/>
        </w:rPr>
        <w:t>管道的防护应符合下列规定：1钢管及其附件的外表面，应涂刷防腐涂层，埋地钢管尚应采取防腐绝缘或其他保护措施。2管道内液体压力有超过管道设计压力可能的工艺管道，应在适当位置设置泄压装置。3输送易凝液体的管道</w:t>
      </w:r>
      <w:r>
        <w:rPr>
          <w:rFonts w:ascii="宋体" w:hAnsi="宋体" w:cs="Times New Roman"/>
          <w:color w:val="auto"/>
          <w:sz w:val="28"/>
          <w:szCs w:val="28"/>
        </w:rPr>
        <w:t>，应采取放凝措施。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金属工艺管道连接应符合下列规定：管道之间及管道与管件之间应采用焊接连接。管道与设备、阀门、仪表之间宜采用法兰连接，采用螺纹连接时应确保连接强度和严密性。</w:t>
      </w:r>
    </w:p>
    <w:p>
      <w:pPr>
        <w:pStyle w:val="57"/>
        <w:numPr>
          <w:ilvl w:val="0"/>
          <w:numId w:val="23"/>
        </w:numPr>
        <w:spacing w:line="360" w:lineRule="auto"/>
        <w:ind w:left="0" w:firstLine="560"/>
        <w:rPr>
          <w:rFonts w:ascii="宋体" w:hAnsi="宋体"/>
          <w:color w:val="auto"/>
          <w:kern w:val="0"/>
          <w:sz w:val="28"/>
          <w:szCs w:val="28"/>
        </w:rPr>
      </w:pPr>
      <w:r>
        <w:rPr>
          <w:rFonts w:hint="eastAsia" w:ascii="宋体" w:hAnsi="宋体"/>
          <w:color w:val="auto"/>
          <w:kern w:val="0"/>
          <w:sz w:val="28"/>
          <w:szCs w:val="28"/>
        </w:rPr>
        <w:t>原辅材料、产品贮存应按其性质分类，分批堆放，并应遵循先进先出的原则。应保持通风、干燥，防止日光直接照射。夏季温度过高应采取适当的降温措施。危险化学品应储存在专用的仓库中，甲、乙类仓库内温度不宜超过30度；存区域应备有合适的材料、容器收集散落、泄漏物。</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kern w:val="0"/>
          <w:sz w:val="28"/>
          <w:szCs w:val="28"/>
        </w:rPr>
        <w:t>存储液体仓库应设置防止液体流散的设施。遇湿会发生燃烧爆炸的物品仓库应采取防止水浸渍的措施。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应考虑</w:t>
      </w:r>
      <w:r>
        <w:rPr>
          <w:rFonts w:ascii="宋体" w:hAnsi="宋体"/>
          <w:color w:val="auto"/>
          <w:sz w:val="28"/>
          <w:szCs w:val="28"/>
        </w:rPr>
        <w:t>贮存</w:t>
      </w:r>
      <w:r>
        <w:rPr>
          <w:rFonts w:hint="eastAsia" w:ascii="宋体" w:hAnsi="宋体"/>
          <w:color w:val="auto"/>
          <w:sz w:val="28"/>
          <w:szCs w:val="28"/>
        </w:rPr>
        <w:t>仓库的</w:t>
      </w:r>
      <w:r>
        <w:rPr>
          <w:rFonts w:ascii="宋体" w:hAnsi="宋体"/>
          <w:color w:val="auto"/>
          <w:sz w:val="28"/>
          <w:szCs w:val="28"/>
        </w:rPr>
        <w:t>通风设备</w:t>
      </w:r>
      <w:r>
        <w:rPr>
          <w:rFonts w:hint="eastAsia" w:ascii="宋体" w:hAnsi="宋体"/>
          <w:color w:val="auto"/>
          <w:sz w:val="28"/>
          <w:szCs w:val="28"/>
        </w:rPr>
        <w:t>；</w:t>
      </w:r>
      <w:r>
        <w:rPr>
          <w:rFonts w:ascii="宋体" w:hAnsi="宋体"/>
          <w:color w:val="auto"/>
          <w:sz w:val="28"/>
          <w:szCs w:val="28"/>
        </w:rPr>
        <w:t>贮存化学危险品的建筑必须安装通风设备，并注意设备的防护措施。</w:t>
      </w:r>
      <w:r>
        <w:rPr>
          <w:rFonts w:hint="eastAsia" w:ascii="宋体" w:hAnsi="宋体"/>
          <w:color w:val="auto"/>
          <w:sz w:val="28"/>
          <w:szCs w:val="28"/>
        </w:rPr>
        <w:t>《常用化学危险品贮存通则》</w:t>
      </w:r>
      <w:r>
        <w:rPr>
          <w:rFonts w:hint="eastAsia"/>
          <w:color w:val="auto"/>
          <w:sz w:val="28"/>
          <w:szCs w:val="28"/>
        </w:rPr>
        <w:t>5.4.1</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库区的每个库房应当在库房外单独安装开关箱，保管人员离库时，必须拉闸断电。禁止使用不合规格的保险装置。</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柴油发电间应设置通风管，将柴油挥发产生的气体引至室外，柴油罐应进行静电接地。</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装卸、搬运危险化学品时应做到轻装、轻卸。严禁摔、碰、撞击、拖拉、倾倒和滚动。不得使用沾染油污及异物和能产生火花的机具，作业现场需远离热源和火源。</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装卸危险化学品时，操作人员不得做与工作无关的事情，集中精力注意装卸的情况，以便于出现异常情况时，及时采取应急措施。搬运危险化学品应轻装轻卸，桶装的易燃液体物料不得在水泥地面滚动。桶装的各种氧化剂也不得在水泥地面滚动；</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液氨钢瓶的储存应有专人负责管理，建立并执行钢瓶出入库制度。</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液氨钢瓶应配备完好的瓶帽、防震圈等附件，钢瓶上应粘贴警示标签。钢瓶立式放置时应采取防止钢瓶倾倒的措施。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液氨钢瓶应存放于阴凉、通风、干燥的库房内，钢瓶存储区应按实瓶区、空瓶区分别布置并有明显标志，不应与卤素、酸类、强氧化剂等禁忌物料混合储存。实瓶区宜设置固定消防水喷淋系统。</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液氨钢瓶储存区外部应设置消火栓，并配备移动式喷雾水枪，喷射范围应能满足覆盖实瓶区。</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液氨钢瓶储存区宜设置可容纳泄露钢瓶的事故吸收水池。</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机动车辆排气管必须装有有效的隔热和熄灭火星的装置，电路系统应有切断总电源和隔离火花的装置；</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可燃气体和有毒气体的检测系统应采用两级报警。有毒气体和可燃气体同时报警时，有毒气体的报警级别应优先。报警信号应发送至现场报警器和有人值守的控制室的指示报警设备，并且进行声光报警。</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信号报警系统应以声、光形式表示过程参数越限和/或设备异常状态。</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应考虑配电线路装设短路保护、过负载保护和接地故障保护，作用于切断供电电源或发出报警信号。《低压配电设计规范》第</w:t>
      </w:r>
      <w:r>
        <w:rPr>
          <w:rFonts w:hint="eastAsia"/>
          <w:color w:val="auto"/>
          <w:sz w:val="28"/>
          <w:szCs w:val="28"/>
        </w:rPr>
        <w:t>5.1.1</w:t>
      </w:r>
      <w:r>
        <w:rPr>
          <w:rFonts w:hint="eastAsia" w:ascii="宋体" w:hAnsi="宋体"/>
          <w:color w:val="auto"/>
          <w:sz w:val="28"/>
          <w:szCs w:val="28"/>
        </w:rPr>
        <w:t>条</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10kV母线及10kV高压柜内真空开关，为防止操作过电压，采用避雷器及组合式过电压限制器保护。对0.4kV系统，分级采用电涌保护器保护；10/0.4kV变压器的保护：装设速断、过流、温度及单相接地保护。建议10kV母线及10kV高压柜内真空开关，为防止操作过电压，采用避雷器及组合式过电压限制器保护。对0.4kV系统，分级采用电涌保护器保护。</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建议380/220V用电设备的保护采用低压断路器、熔断器、智能保护器、热继电器等相应的组合作为短路、过负荷、断相、堵转及漏电保护。功率≥30kW的电机和重要电机现场安装电流表。功率≥75kW的电机采用软起动器。</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涉及爆炸危险区域的建构筑物防雷设计应按不低于二级防雷等级进行设计。各类防雷建筑物应设内部防雷装置，并应符合下列规定： （1）在建筑物的地下室或地面层处，以下物体应与防雷装置做防雷等电位连接：建筑物金属体、金属装置、建筑物内系统、进出建筑物的金属管线。（2）除本条 1款的措施外，外部防雷装置与建筑物金属体、金属装置、建筑物内系统之间，尚应满足间隔距离的要求。</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建议控制室、开关室、计算机室等通往电缆夹层、隧道、穿越楼板、墙壁、柜、盘等处所有电缆孔洞和盘面之间的缝隙必须采用合格的不燃或阻燃材料封堵。电缆沟应分段作防火隔离，对敷设在隧道和架构上的电缆要采取分段阻燃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在爆炸性气体环境内，低压电力、照明线路用绝缘导线和电缆的额定电压，必须不低于工作电压，且不应低于500V。工作中性线的绝缘的额定电压应与相线电压相等，并应在同一护套或管子内敷设。爆炸性气体环境中电气线路应敷设在爆炸危险性较小的区域或距离释放源较远的位置，避开易受机械损伤、振动、腐蚀、粉尘积聚以及有危险温度的场所。当不能避开时，应采取预防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设置电缆的通道、导管、管道或电缆沟，应采取预防措施防止可燃性气体、蒸气或液体从这一区域传播到另一个区域，并且阻止电缆沟中可燃性气体、蒸气或液体的聚集。这些措施包括通道、导管或管道的密封。对于电缆沟，可使用充足的通风或充砂。</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危险和非危险场所之间墙壁上穿过电缆和导管的开孔应充分密封，例如用砂密封或用砂浆密封。</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在危险场所中使用的电缆不能有中间接头。当不能避免时，除适合于机械的、电的和环境情况外，连接应该：（1）在适应于场所防爆型式的外壳内进行；（2）配置的连接不能承受机械应力，应按制造厂说明，用环氧树脂、复合剂或用热缩管材进行密封（注：除本质安全系统用电缆外，后一种方法不能在1区使用）。除连接隔爆设备导管中或本安电路中导线连接外，导线连接应通过压紧连接、牢固的螺钉连接、熔焊或钎焊方式进行。如果被连结导线用适当的机械方法连在一起，然后软焊是允许的。</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电气设备的金属外壳、金属构架、金属配线管及其配件、电缆保护管、电缆的金属护套等非带电的裸露金属部分均应接地。</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爆炸危险场所除2区内照明灯具以外所有的电气设备，应采用专用接地线；宜采用多股软绞线，其铜芯截面积不得小于4㎜</w:t>
      </w:r>
      <w:r>
        <w:rPr>
          <w:rFonts w:hint="eastAsia" w:ascii="宋体" w:hAnsi="宋体"/>
          <w:color w:val="auto"/>
          <w:sz w:val="28"/>
          <w:szCs w:val="28"/>
          <w:vertAlign w:val="superscript"/>
        </w:rPr>
        <w:t>2</w:t>
      </w:r>
      <w:r>
        <w:rPr>
          <w:rFonts w:hint="eastAsia" w:ascii="宋体" w:hAnsi="宋体"/>
          <w:color w:val="auto"/>
          <w:sz w:val="28"/>
          <w:szCs w:val="28"/>
        </w:rPr>
        <w:t>。金属管线、电缆的金属外壳等，可作为辅助接地线。中性点不接地系统，接地电阻值不大于10Ω；中性点接地系统，接地电阻值不大于</w:t>
      </w:r>
      <w:r>
        <w:rPr>
          <w:rFonts w:ascii="宋体" w:hAnsi="宋体"/>
          <w:color w:val="auto"/>
          <w:sz w:val="28"/>
          <w:szCs w:val="28"/>
        </w:rPr>
        <w:t>1</w:t>
      </w:r>
      <w:r>
        <w:rPr>
          <w:rFonts w:hint="eastAsia" w:ascii="宋体" w:hAnsi="宋体"/>
          <w:color w:val="auto"/>
          <w:sz w:val="28"/>
          <w:szCs w:val="28"/>
        </w:rPr>
        <w:t>Ω。</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在爆炸气体危险环境2区内的照明灯具，可利用有可靠电气连接的金属管线系统作为接地线，但不得利用输送易燃物质的管道。</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接地干线应在爆炸危险区域不同方向不少于两处与接地体连接。直径大于或等于2.5m及容积大于或等于50m</w:t>
      </w:r>
      <w:r>
        <w:rPr>
          <w:rFonts w:hint="eastAsia" w:ascii="宋体" w:hAnsi="宋体"/>
          <w:color w:val="auto"/>
          <w:sz w:val="28"/>
          <w:szCs w:val="28"/>
          <w:vertAlign w:val="superscript"/>
        </w:rPr>
        <w:t>3</w:t>
      </w:r>
      <w:r>
        <w:rPr>
          <w:rFonts w:hint="eastAsia" w:ascii="宋体" w:hAnsi="宋体"/>
          <w:color w:val="auto"/>
          <w:sz w:val="28"/>
          <w:szCs w:val="28"/>
        </w:rPr>
        <w:t>的设备，其接地点不应少于两处，接地点应沿设备外围均匀布置，其间距不应大于30m。工艺装置内露天布置的塔、容器等，当顶板厚度等于或大于4mm 时，可不设避雷针保护，但必须设防雷接地。</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铠装电缆引入电气设备时，其接地芯线应与设备内接地螺栓连接，其钢带或金属护套应与设备外接地螺栓连接。</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爆炸性气体环境电气线路导管系统中下列各处应设置与电气设备防爆型式相当的防爆挠性连接管：（1）电动机的进线口；（2）导管与电气设备连接有困难处；（3）导管通过建筑物的伸缩缝、沉降缝处。</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凡需采用安全电压的场所，应采用安全电压，安全电压标准按《安全电压》（GB3805）执行。移动式电气设备必须安装漏电保护器。</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变、配电室应采用自然通风并设机械通风装置。配电变压器的风扇电机应有过载、短路及断相保护。配电变压器应装有远传测温装置。</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配电屏的各种通道最小宽度，应符合标准的规定。配电屏后维护通道净宽应不小于1.0 m，通道上方低于2.3 m的裸导线应加防护措施。</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电气设备必须选用国家定点生产的合格产品。配备电气安全工具、如绝缘操作杆、绝缘手套、绝缘鞋、验电器等并经检测合格。建议电气作业人员上岗，应按规定穿戴好劳动保护用品和正确使用符合安全要求的电气工具。建议电气操作应至少由2人执行（兼职人员必须有相应的特种作业操作证）</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变、配电室应有“止步、高压危险”等警告标志。机旁电气操作箱应有明显的有电标志。电气控制柜应明显地标出其所控制的设备及编号。</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冷却系统应设置配备备用电源，避免因停电导致反应失控。</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管道在进出装置区（含生产车间厂房）处、分岔处应进行接地。长距离无分支管道应每隔100m接地一次。平行管道净距小于100mm时，应每隔20m加跨接线。当管道交叉且净距小于100mm时，应加跨接线。当金属法兰采用金属螺栓或卡子紧固时，一般可不必另装静电连接线，但应保证至少有两台螺栓或卡子间具有良好的导电接触面。《化工企业静电接地设计规程》</w:t>
      </w:r>
    </w:p>
    <w:p>
      <w:pPr>
        <w:pStyle w:val="57"/>
        <w:numPr>
          <w:ilvl w:val="0"/>
          <w:numId w:val="23"/>
        </w:numPr>
        <w:spacing w:line="360" w:lineRule="auto"/>
        <w:ind w:left="0" w:firstLine="560"/>
        <w:rPr>
          <w:rFonts w:ascii="宋体" w:hAnsi="宋体" w:cs="Arial"/>
          <w:color w:val="auto"/>
          <w:sz w:val="28"/>
          <w:szCs w:val="28"/>
        </w:rPr>
      </w:pPr>
      <w:r>
        <w:rPr>
          <w:rFonts w:hint="eastAsia" w:ascii="宋体" w:hAnsi="宋体" w:cs="Arial"/>
          <w:color w:val="auto"/>
          <w:sz w:val="28"/>
          <w:szCs w:val="28"/>
        </w:rPr>
        <w:t>防爆区内的钢梯、钢楼板、金属罐体、金属管道等均作接地连接，与在建项目防雷接地连成一个系统，总接地电阻不应小于</w:t>
      </w:r>
      <w:r>
        <w:rPr>
          <w:rFonts w:ascii="宋体" w:hAnsi="宋体" w:cs="Arial"/>
          <w:color w:val="auto"/>
          <w:sz w:val="28"/>
          <w:szCs w:val="28"/>
        </w:rPr>
        <w:t>4</w:t>
      </w:r>
      <w:r>
        <w:rPr>
          <w:rFonts w:hint="eastAsia" w:ascii="宋体" w:hAnsi="宋体" w:cs="Arial"/>
          <w:color w:val="auto"/>
          <w:sz w:val="28"/>
          <w:szCs w:val="28"/>
        </w:rPr>
        <w:t>欧姆。</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管道在进出装置区（含生产车间厂房）处、分岔处应进行接地。长距离无分支管道应每隔100m接地一次。平行管道净距小于100mm时，应每隔20m加跨接线。当管道交叉且净距小于100mm时，应加跨接线。当金属法兰采用金属螺栓或卡子紧固时，一般可不必另装静电连接线，但应保证至少有两台螺栓或卡子间具有良好的导电接触面。</w:t>
      </w:r>
    </w:p>
    <w:p>
      <w:pPr>
        <w:pStyle w:val="57"/>
        <w:numPr>
          <w:ilvl w:val="0"/>
          <w:numId w:val="23"/>
        </w:numPr>
        <w:spacing w:line="360" w:lineRule="auto"/>
        <w:ind w:left="0" w:firstLine="560"/>
        <w:rPr>
          <w:rFonts w:ascii="宋体" w:hAnsi="宋体"/>
          <w:color w:val="auto"/>
          <w:sz w:val="28"/>
          <w:szCs w:val="28"/>
        </w:rPr>
      </w:pPr>
      <w:r>
        <w:rPr>
          <w:rFonts w:hint="eastAsia" w:ascii="宋体" w:hAnsi="宋体"/>
          <w:color w:val="auto"/>
          <w:sz w:val="28"/>
          <w:szCs w:val="28"/>
        </w:rPr>
        <w:t>甲类厂房内的空气不应循环使用。为甲类厂房服务的送风设备与排风设备应分别布置在不同通风机房内，且排风设备不应和其他房间的送、排风设备布置在同一通风机房内。</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建设单位应对常温、常压下易燃及排出的有毒气体的危险废物必须进行预处理，使之稳定后贮存，否则，按易燃易爆危险品贮存。贮存容器必须有明显标志，具有耐腐蚀、耐压、密封和不与所贮存的废物发生反应等性质。在常温常压下不水解、不挥发的固体危险废物可在贮存设施内分别堆放。无法装入常用容器的危险废物、危险化学品可用防漏胶袋盛装。贮存设施周围应设置围墙、围堰或其他防护设施。贮存设施应配备通讯监控设备、照明设施、安全防护服装及工具，并设有应急防护设施。应在危险废物、危险化学品包装物的容器的适当位置粘贴危险废物标签，标签应清晰易读，不应人为遮盖或者污染。应在危险废物、危险化学品标签上详细注明主要成分、化学品名、危险情况、危险类别、安全措施、危废产生单位、地址、电话、联系人、批次、数量、产生日期等。盛装危险废物、危险化学品的容器及其材质和衬里不能与危险废物发生反应。装载液体、半固体危险废物的容器内需留足够的空间,容器顶部与液体表面之间需留高度为100mm以上的空间。危险废物储存不得超过半年。</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相互之间可发生反应的不同种类尾气不得共用排放管道。</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尾气吸收处理装置应有事故自动报警装置，吸收处理装置与主体生产装置之间的管道系统应安装阻火器。</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事故风机和置于现场的电气仪表等应不低于现场防爆等级要求，尾气吸收处理装置安装区域应设置消防设施，并具备短路保护和接地保护。室外治理设备应安装避雷装置。</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尾气吸收装置应根据废气性质对风机、集气罩、管道、阀门、颗粒过滤器和吸附装置等进行防腐设计。</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涉及氢气的尾气排放管道应设阻火器。</w:t>
      </w:r>
    </w:p>
    <w:p>
      <w:pPr>
        <w:pStyle w:val="57"/>
        <w:numPr>
          <w:ilvl w:val="0"/>
          <w:numId w:val="23"/>
        </w:numPr>
        <w:spacing w:line="360" w:lineRule="auto"/>
        <w:ind w:left="0" w:firstLine="560"/>
        <w:rPr>
          <w:rFonts w:ascii="宋体" w:hAnsi="宋体"/>
          <w:color w:val="auto"/>
          <w:sz w:val="28"/>
          <w:szCs w:val="28"/>
          <w:shd w:val="clear" w:color="auto" w:fill="FFFFFF"/>
        </w:rPr>
      </w:pPr>
      <w:r>
        <w:rPr>
          <w:rFonts w:hint="eastAsia" w:ascii="宋体" w:hAnsi="宋体"/>
          <w:color w:val="auto"/>
          <w:sz w:val="28"/>
          <w:szCs w:val="28"/>
          <w:shd w:val="clear" w:color="auto" w:fill="FFFFFF"/>
        </w:rPr>
        <w:t>当废气产生点较多、彼此距离较远时，应适当分设多套收集系统。废气中含有吸附后难以脱附或造成吸附剂中毒的成分时，应采用洗涤或预吸附等与处理方式处理。当废气中有机物浓度较高时，应采用冷凝或稀释等方式调节。当废气温度较高时，采用换热或稀释等方式调节。</w:t>
      </w:r>
    </w:p>
    <w:p>
      <w:pPr>
        <w:keepNext/>
        <w:keepLines/>
        <w:spacing w:line="360" w:lineRule="auto"/>
        <w:jc w:val="left"/>
        <w:outlineLvl w:val="2"/>
        <w:rPr>
          <w:rFonts w:ascii="Calibri" w:hAnsi="Calibri"/>
          <w:b/>
          <w:color w:val="auto"/>
          <w:sz w:val="28"/>
          <w:szCs w:val="32"/>
        </w:rPr>
      </w:pPr>
      <w:bookmarkStart w:id="210" w:name="_Toc271"/>
      <w:bookmarkStart w:id="211" w:name="_Toc144109227"/>
      <w:r>
        <w:rPr>
          <w:rFonts w:ascii="Calibri" w:hAnsi="Calibri"/>
          <w:b/>
          <w:color w:val="auto"/>
          <w:sz w:val="28"/>
          <w:szCs w:val="32"/>
        </w:rPr>
        <w:t>5安全管理</w:t>
      </w:r>
      <w:bookmarkEnd w:id="210"/>
      <w:r>
        <w:rPr>
          <w:rFonts w:hint="eastAsia" w:ascii="Calibri" w:hAnsi="Calibri"/>
          <w:b/>
          <w:color w:val="auto"/>
          <w:sz w:val="28"/>
          <w:szCs w:val="32"/>
        </w:rPr>
        <w:t>方面</w:t>
      </w:r>
      <w:bookmarkEnd w:id="211"/>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企业应按照AQ3013全面开展安全生产标准化工作，规范企业安全生产管理。企业应建立公司（厂）、车间（职能部门、作业部）以及班组三级安全生产管理网；企业应按照法律法规的相关要求，并结合其生产特点设置独立安全生产管理机构，确保安全生产管理机构独立履行安全生产的监督管理职责。应配备专职安全生产管理人员</w:t>
      </w:r>
      <w:r>
        <w:rPr>
          <w:rFonts w:hint="eastAsia" w:ascii="宋体" w:hAnsi="宋体" w:cs="Arial"/>
          <w:color w:val="auto"/>
          <w:sz w:val="28"/>
          <w:szCs w:val="28"/>
        </w:rPr>
        <w:t>，</w:t>
      </w:r>
      <w:r>
        <w:rPr>
          <w:rFonts w:hint="eastAsia" w:ascii="宋体" w:hAnsi="宋体"/>
          <w:color w:val="auto"/>
          <w:sz w:val="28"/>
          <w:szCs w:val="28"/>
        </w:rPr>
        <w:t>专职安全生产管理人员应不少于企业员工总数的2%（不足50人的企业至少配备1人），要具备化工或安全管理相关专业大专以上学历，有从事化工生产相关工作2年以上经历，取得安全管理人员资格证书。</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项目建成后应对涉及重点监管危险化学品、重点监管危险化工工艺的生产储存装置进行风险辨识分析，要采用危险与可操作性分析（HAZOP）技术，一般每3年进行一次。对其他生产储存装置的风险辨识分析，针对装置不同的复杂程度，选用安全检查表、工作危害分析、预危险性分析、故障类型和影响分析（FMEA）、HAZOP技术等方法或多种方法组合，可每5年进行一次。企业管理机构、人员构成、生产装置等发生重大变化或发生生产安全事故时，要及时进行风险辨识分析。企业要组织所有人员参与风险辨识分析，力求风险辨识分析全覆盖。</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企业应根据建设项目生产工艺、技术、设备特点，原材料、辅助材料及产品的危险性，组织有关技术人员和有经验的员工，对所有的操作活动进行风险分析，制定相应的控制和预防措施，作为编制操作规程的依据，并根据生产操作岗位的设立情况，编制操作规程,并发放到相关岗位。</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操作规程应包括下列内容：a) 开车操作程序；b) 停车操作程序；c) 正常运行操作程序；d) 紧急停车操作程序；e) 接触化学品的危险性；f) 各种操作参数、指标；g) 操作过程安全注意事项；h) 异常情况安全处置措施；i) 配置的安全设施，包括事故应急处置设施、个体安全防护设施；j) 自救药品等。</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新装置投用前企业应规定从业人员文化素质要求，变招工为招生，加强从业人员专业技能培养。工厂开工建设后，企业就应招录操作人员，使操作人员在上岗前先接受规范的基础知识和专业理论培训。装置试生产前，企业要完成全体管理人员和操作人员岗位技能培训，确保全体管理人员和操作人员考核合格后参加全过程的生产准备。</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该项目涉及设备共用，在产品工艺变更前应有工艺变更文件并下发至操作岗位；应对涉及的设备进行清扫置换，合格后方可投入使用。</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kern w:val="0"/>
          <w:sz w:val="28"/>
          <w:szCs w:val="28"/>
        </w:rPr>
        <w:t>危险化学品单位应当在危险源所在场所设置明显的安全警示标志，写明紧急情况下的应急处置办法。</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使用有毒物品作业场所应当设置黄色区域警示线、警示标识和中文警示说明。警示说明应当载明产生职业中毒危害的种类、后果、预防以及应急救治措施等内容。高毒作业场所应当设置红色区域警示线、警示标识和中文警示说明，并设置通讯报警设备。</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用人单位应当对劳动者进行上岗前的职业卫生培训和在岗期间的定期职业卫生培训，普及有关职业卫生知识，督促劳动者遵守有关法律、法规和操作规程，知道劳动者正确使用职业中毒危害防护设备和个人使用的职业中毒危害防护用品。</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有毒物品必须附具说明书，如实载明产品特性、主要成分、存在的职业中毒危害因素、可能产生的危害后果、安全使用注意事项、职业中毒危害防护以及应急救治措施等内容。</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维护、检修存在高毒物品的生产装置，必须事先制定维护、检修方案，明确职业中毒危害防护措施。</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该项目存在剧毒品甲基磺酰氯，高毒物品液氨等，企业作业人员应持有毒害性商品养护上岗作业资格证书，作业人员应佩戴手套和相应的防毒口罩或面具，穿防护服。作业中不应饮食，不应用手檫嘴、脸、眼睛。每次作业完毕，应及时洗净面部、手部，用清水漱口，防护用具及时清洗，集中存放。</w:t>
      </w:r>
    </w:p>
    <w:p>
      <w:pPr>
        <w:pStyle w:val="57"/>
        <w:numPr>
          <w:ilvl w:val="0"/>
          <w:numId w:val="24"/>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进入存在高毒物品的设备、容器或者狭窄封闭场所作业时，应采取保持作业场所良好通风状态，确保作业场所职业中毒危害因素浓度符合职业卫生标准；为劳动者配备符合国家职业卫生标准的防护用品；设置现场监护人员和现场救援设备。</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鉴于该项目具有火灾、爆炸、中毒等危险、有害性，根据国家有关规定，必须对所有上岗职工（或转岗）必须进行上岗前的专业培训和安全技术知识教育，考试合格后方可上岗。</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该项目单位在项目投产后应在存在危险有害因素的工作场所设置明显的安全警示标志，制定危险作业管理制度，并告知从业人员和相关人员在紧急情况下应当采取的应急措施。</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应根据《危险化学品建设项目安全监督管理办法》（国家安监总局第45号令）的规定，安全设施设计应由取得甲级设计资质的单位进行，并报经有关部门审查，按照批准的设计施工，未经审查批准的，不得进行施工。安全设施的施工应当由取得相应施工资质的施工单位进行。</w:t>
      </w:r>
    </w:p>
    <w:p>
      <w:pPr>
        <w:pStyle w:val="57"/>
        <w:numPr>
          <w:ilvl w:val="0"/>
          <w:numId w:val="24"/>
        </w:numPr>
        <w:autoSpaceDE w:val="0"/>
        <w:autoSpaceDN w:val="0"/>
        <w:adjustRightInd w:val="0"/>
        <w:spacing w:line="360" w:lineRule="auto"/>
        <w:ind w:left="0" w:firstLine="560"/>
        <w:rPr>
          <w:rFonts w:ascii="宋体" w:hAnsi="宋体"/>
          <w:color w:val="auto"/>
          <w:sz w:val="28"/>
          <w:szCs w:val="28"/>
        </w:rPr>
      </w:pPr>
      <w:r>
        <w:rPr>
          <w:rFonts w:hint="eastAsia" w:ascii="宋体" w:hAnsi="宋体"/>
          <w:color w:val="auto"/>
          <w:sz w:val="28"/>
          <w:szCs w:val="28"/>
        </w:rPr>
        <w:t>要选择有资质的电气、设备、建筑、仪表施工单位进行施工或安装、调试。同时，要选择有监理资质的单位做好监理工作。</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建设单位应当具备的安全生产条件所必需的资金投入。在建设项目的实施过程中，安全设施投资应当纳入建设项目概算。由于安全生产所必需的资金投入不足导致的后果由建设单位的决策机构、主要负责人承担责任。</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按照GB7231、GB2893、GB2894的规定涂安全色并设安全标志和标识，设备、管道上应有介质名称、流向等标识。《工业管道的基本识别色、识别符号和安全标识》</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应在危险场所张贴或栓挂安全周知卡。凡容易发生事故及危害</w:t>
      </w:r>
      <w:r>
        <w:rPr>
          <w:rFonts w:hint="eastAsia" w:ascii="宋体" w:hAnsi="宋体"/>
          <w:color w:val="auto"/>
          <w:spacing w:val="-6"/>
          <w:sz w:val="28"/>
          <w:szCs w:val="28"/>
        </w:rPr>
        <w:t>生命安全的场所以及需要提醒人员注意的地点，均按标准设置各种安全标志。</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甲、乙类车间操作人员数量不应多于9人。</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生产场所与作业地点的紧急通道和紧急出入口均应设置明显的标志和指示箭头。</w:t>
      </w:r>
    </w:p>
    <w:p>
      <w:pPr>
        <w:pStyle w:val="57"/>
        <w:numPr>
          <w:ilvl w:val="0"/>
          <w:numId w:val="24"/>
        </w:numPr>
        <w:spacing w:line="360" w:lineRule="auto"/>
        <w:ind w:left="0" w:firstLine="560"/>
        <w:jc w:val="left"/>
        <w:rPr>
          <w:rFonts w:ascii="宋体" w:hAnsi="宋体"/>
          <w:color w:val="auto"/>
          <w:sz w:val="28"/>
          <w:szCs w:val="28"/>
        </w:rPr>
      </w:pPr>
      <w:r>
        <w:rPr>
          <w:rFonts w:hint="eastAsia" w:ascii="宋体" w:hAnsi="宋体"/>
          <w:color w:val="auto"/>
          <w:sz w:val="28"/>
          <w:szCs w:val="28"/>
        </w:rPr>
        <w:t>企业应在投产前依据生产实际情况，依据GB18218-2018《危险化学品重大危险源辨识》对项目危险化学品生产、储存场所进行辨识和风险分析，并根据有关规定向当地的安全生产监督管理部门申报备案。</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必须按规定向作业人员发放危险安全技术说明书（SDS），安全技术说明书的编写应符合GB T16483 2008《化学品安全技术说明书 内容和项目顺序》；现场设置危险告知牌，向周边企业、社区发布安全信息。</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该项目甲苯、丙酮、硫酸等属于易制毒化学品，应根据《易制毒化学品管理条例》、《非药品类易制毒化学品生产、经营许可办法》的要求进行备案证明，将品种、数量、主要流向、来源等情况，向所在地的设区的市级人民政府安全生产监督管理部门备案。 另外，采购时，应审查对方的相关许可证照，不得销售给无相关经营许可的单位或从无相关许可证照的单位采购易制毒化学品。企业应建立相关档案，详细记录易制毒化学品的来源、流向、消耗及数量。</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该项目涉及的双氧水、金属锂属于易制爆危险化学品使用，应设置治安保卫机构，配备专职治安保卫人员负责易制爆危险化学品治安保卫工作。易制爆危险化学品从业单位应设置保管员，如实登记易制爆危险化学品的销售、购买、出入库、领取、使用、归还、处置等信息，并按规定将相关信息录入流向管理信息系统；储存场所的周界应安装视频监控装置，监视和回放图像应能清晰显示储存场所周边的现场情况。封闭式、半封闭式、露天式储存场所出入口应安装入侵报警装置、出入口控制装置和视频监控装置，监视和回放图像应能清晰辨别进出场所人员的面部特征和物品出入场所交接情况。</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新设备投产前或检修后，应根据工艺要求进行测试和模拟试验，确保各种联锁控制达到控制要求。阀门开关到位，保证各种联锁保护控制动作灵敏、可靠。</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控制系统工艺组态后，应进行功能测试，确认自动控制警报联锁系统灵敏可靠，方可投入使用。</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对重复使用的危险化学品包装物、容器，使用单位在重复使用前应当进行检查；发现存在安全隐患的，应当维修或者更换。使用单位应当对检查情况作出记录，记录的保存期限不得少于2年。</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企业检维修作业要建立并不断完善危险作业许可制度，规范动火、进入受限空间、动土、临时用电、高处作业、断路、吊装、抽堵盲板等特殊作业安全条件和审批程序。实施特殊作业前，必须办理审批手续。</w:t>
      </w:r>
    </w:p>
    <w:p>
      <w:pPr>
        <w:pStyle w:val="57"/>
        <w:numPr>
          <w:ilvl w:val="0"/>
          <w:numId w:val="24"/>
        </w:numPr>
        <w:spacing w:line="360" w:lineRule="auto"/>
        <w:ind w:left="0" w:firstLine="560"/>
        <w:rPr>
          <w:rFonts w:ascii="宋体" w:hAnsi="宋体"/>
          <w:color w:val="auto"/>
          <w:sz w:val="28"/>
          <w:szCs w:val="28"/>
        </w:rPr>
      </w:pPr>
      <w:r>
        <w:rPr>
          <w:rFonts w:hint="eastAsia" w:ascii="宋体" w:hAnsi="宋体"/>
          <w:color w:val="auto"/>
          <w:sz w:val="28"/>
          <w:szCs w:val="28"/>
        </w:rPr>
        <w:t>企业检维修作业前，必须进行风险分析、确认安全条件，确保作业人员了解作业风险和掌握风险控制措施、作业环境符合安全要求、预防和控制风险措施得到落实。危险作业审批人员要在现场检查确认后签发作业许可证。现场监护人员要熟悉作业范围内的工艺、设备和物料状态，具备应急救援和处置能力。作业过程中，管理人员要加强现场监督检查，严禁监护人员擅离现场。</w:t>
      </w:r>
    </w:p>
    <w:p>
      <w:pPr>
        <w:pStyle w:val="57"/>
        <w:numPr>
          <w:ilvl w:val="0"/>
          <w:numId w:val="24"/>
        </w:numPr>
        <w:ind w:left="0" w:firstLine="560"/>
        <w:rPr>
          <w:color w:val="auto"/>
        </w:rPr>
      </w:pPr>
      <w:r>
        <w:rPr>
          <w:rFonts w:hint="eastAsia" w:ascii="宋体" w:hAnsi="宋体"/>
          <w:color w:val="auto"/>
          <w:sz w:val="28"/>
          <w:szCs w:val="28"/>
        </w:rPr>
        <w:t>直接从事特种作业的从业人员</w:t>
      </w:r>
      <w:r>
        <w:rPr>
          <w:rFonts w:hint="eastAsia" w:ascii="宋体" w:hAnsi="宋体"/>
          <w:bCs/>
          <w:color w:val="auto"/>
          <w:sz w:val="28"/>
          <w:szCs w:val="28"/>
        </w:rPr>
        <w:t>应根据</w:t>
      </w:r>
      <w:r>
        <w:rPr>
          <w:rFonts w:hint="eastAsia" w:ascii="宋体" w:hAnsi="宋体"/>
          <w:color w:val="auto"/>
          <w:sz w:val="28"/>
          <w:szCs w:val="28"/>
        </w:rPr>
        <w:t>《特种作业人员安全技术培训考核管理规定》，必须接受专业培训，并取得专业培训合格和上岗证，方可上岗作业。</w:t>
      </w:r>
    </w:p>
    <w:p>
      <w:pPr>
        <w:pStyle w:val="57"/>
        <w:numPr>
          <w:ilvl w:val="0"/>
          <w:numId w:val="24"/>
        </w:numPr>
        <w:ind w:left="0" w:firstLine="560"/>
        <w:rPr>
          <w:color w:val="auto"/>
        </w:rPr>
      </w:pPr>
      <w:r>
        <w:rPr>
          <w:rFonts w:hint="eastAsia" w:ascii="宋体" w:hAnsi="宋体"/>
          <w:color w:val="auto"/>
          <w:sz w:val="28"/>
          <w:szCs w:val="28"/>
        </w:rPr>
        <w:t>企业应针对该项目配备相应的特种设备安全管理人员、检测人员和作业人员，并对其进行必要的安全教育和技能培训。特种设备安全管理人员、检测人员和作业人员应取得相应资格方可从事相关工作。</w:t>
      </w:r>
    </w:p>
    <w:p>
      <w:pPr>
        <w:pStyle w:val="57"/>
        <w:numPr>
          <w:ilvl w:val="0"/>
          <w:numId w:val="24"/>
        </w:numPr>
        <w:ind w:left="0" w:firstLine="560"/>
        <w:rPr>
          <w:color w:val="auto"/>
        </w:rPr>
      </w:pPr>
      <w:r>
        <w:rPr>
          <w:rFonts w:hint="eastAsia" w:ascii="宋体" w:hAnsi="宋体"/>
          <w:color w:val="auto"/>
          <w:sz w:val="28"/>
          <w:szCs w:val="28"/>
        </w:rPr>
        <w:t>企业应在该项目特种设备投入使用前或投入使用后三十日内，向负责特种设备安全监督管理的部门办理使用登记，取得使用登记证书。登记标志应当置于该特种设备的显著位置。</w:t>
      </w:r>
    </w:p>
    <w:p>
      <w:pPr>
        <w:pStyle w:val="57"/>
        <w:numPr>
          <w:ilvl w:val="0"/>
          <w:numId w:val="24"/>
        </w:numPr>
        <w:ind w:left="0" w:firstLine="560"/>
        <w:rPr>
          <w:color w:val="auto"/>
        </w:rPr>
      </w:pPr>
      <w:r>
        <w:rPr>
          <w:rFonts w:hint="eastAsia" w:ascii="宋体" w:hAnsi="宋体"/>
          <w:color w:val="auto"/>
          <w:sz w:val="28"/>
          <w:szCs w:val="28"/>
        </w:rPr>
        <w:t>企业应当建立特种设备岗位责任、隐患治理、应急救援等安全管理制度，制定操作规程，保证特种设备安全运行。</w:t>
      </w:r>
    </w:p>
    <w:p>
      <w:pPr>
        <w:pStyle w:val="57"/>
        <w:numPr>
          <w:ilvl w:val="0"/>
          <w:numId w:val="24"/>
        </w:numPr>
        <w:ind w:left="0" w:firstLine="560"/>
        <w:rPr>
          <w:color w:val="auto"/>
        </w:rPr>
      </w:pPr>
      <w:r>
        <w:rPr>
          <w:rFonts w:hint="eastAsia" w:ascii="宋体" w:hAnsi="宋体"/>
          <w:color w:val="auto"/>
          <w:sz w:val="28"/>
          <w:szCs w:val="28"/>
        </w:rPr>
        <w:t>企业应当在该项目建设过程中建立以下特种设备安全技术档案：①特种设备的设计文件、制造单位、产品质量合格证明、安装及使用维护保养说明、监督检验证明等相关技术资料和文件；②特种设备的定期检验和定期自行检查记录；③特种设备的日常使用状况记录；④特种设备及其安全附件、安全保护装置、测量调控装置及有关附属仪器仪表的日常维护保养记录；⑤特种设备的运行故障和事故记录。⑥高耗能特种设备的能效测试报告、能耗状况记录以及节能改造技术资料。</w:t>
      </w:r>
    </w:p>
    <w:p>
      <w:pPr>
        <w:pStyle w:val="57"/>
        <w:numPr>
          <w:ilvl w:val="0"/>
          <w:numId w:val="24"/>
        </w:numPr>
        <w:ind w:left="0" w:firstLine="560"/>
        <w:rPr>
          <w:color w:val="auto"/>
        </w:rPr>
      </w:pPr>
      <w:r>
        <w:rPr>
          <w:rFonts w:hint="eastAsia" w:ascii="宋体" w:hAnsi="宋体"/>
          <w:color w:val="auto"/>
          <w:sz w:val="28"/>
          <w:szCs w:val="28"/>
        </w:rPr>
        <w:t>企业应至少每月对特种设备进行一次自行检测，且应经常性维护保养，并作出记录。同时对特种设备的安全附件、安全保护装置进行定期校验、检修，并作出记录。</w:t>
      </w:r>
    </w:p>
    <w:p>
      <w:pPr>
        <w:pStyle w:val="57"/>
        <w:numPr>
          <w:ilvl w:val="0"/>
          <w:numId w:val="24"/>
        </w:numPr>
        <w:ind w:left="0" w:firstLine="560"/>
        <w:rPr>
          <w:color w:val="auto"/>
        </w:rPr>
      </w:pPr>
      <w:r>
        <w:rPr>
          <w:rFonts w:hint="eastAsia" w:ascii="宋体" w:hAnsi="宋体"/>
          <w:color w:val="auto"/>
          <w:sz w:val="28"/>
          <w:szCs w:val="28"/>
        </w:rPr>
        <w:t>企业应当按照安全技术规范的要求，在检验合格有效期届满前一个月向特种设备检验机构提出定期检验要求。企业应当将定期检验标志置于该特种设备的显著位置。未经定期检验或者检验不合格的特种设备，不得继续使用。</w:t>
      </w:r>
    </w:p>
    <w:p>
      <w:pPr>
        <w:pStyle w:val="57"/>
        <w:numPr>
          <w:ilvl w:val="0"/>
          <w:numId w:val="24"/>
        </w:numPr>
        <w:ind w:left="0" w:firstLine="560"/>
        <w:rPr>
          <w:color w:val="auto"/>
        </w:rPr>
      </w:pPr>
      <w:r>
        <w:rPr>
          <w:rFonts w:hint="eastAsia" w:ascii="宋体" w:hAnsi="宋体"/>
          <w:color w:val="auto"/>
          <w:sz w:val="28"/>
          <w:szCs w:val="28"/>
        </w:rPr>
        <w:t>特种设备安全管理人员应当对特种设备使用状况进行经常性检查，发现问题应当立即处理；情况紧急时，可以决定停止使用特种设备并及时报告本单位有关负责人。在作业过程中发现事故隐患或者其他不安全因素，应当立即向特种设备安全管理人员和单位有关负责人报告；特种设备运行不正常时，特种设备作业人员应当按照操作规程采取有效措施保证安全。</w:t>
      </w:r>
    </w:p>
    <w:p>
      <w:pPr>
        <w:pStyle w:val="57"/>
        <w:numPr>
          <w:ilvl w:val="0"/>
          <w:numId w:val="24"/>
        </w:numPr>
        <w:ind w:left="0" w:firstLine="560"/>
        <w:rPr>
          <w:color w:val="auto"/>
        </w:rPr>
      </w:pPr>
      <w:r>
        <w:rPr>
          <w:rFonts w:hint="eastAsia" w:ascii="宋体" w:hAnsi="宋体"/>
          <w:color w:val="auto"/>
          <w:sz w:val="28"/>
          <w:szCs w:val="28"/>
        </w:rPr>
        <w:t>特种设备出现故障或者发生异常情况，企业应当对其进行全面检查，消除事故隐患，方可继续使用。特种设备进行改造、修理，按照规定需要变更使用登记的，应当办理变更登记，方可继续使用。</w:t>
      </w:r>
    </w:p>
    <w:p>
      <w:pPr>
        <w:pStyle w:val="57"/>
        <w:numPr>
          <w:ilvl w:val="0"/>
          <w:numId w:val="24"/>
        </w:numPr>
        <w:ind w:left="0" w:firstLine="560"/>
        <w:rPr>
          <w:color w:val="auto"/>
        </w:rPr>
      </w:pPr>
      <w:r>
        <w:rPr>
          <w:rFonts w:hint="eastAsia" w:ascii="宋体" w:hAnsi="宋体"/>
          <w:color w:val="auto"/>
          <w:sz w:val="28"/>
          <w:szCs w:val="28"/>
        </w:rPr>
        <w:t>特种设备存在严重事故隐患，无改造、修理价值，或者达到安全技术规范规定的其他报废条件的，特种设备使用单位应当依法履行报废义务，采取必要措施消除该特种设备的使用功能，并向原登记的负责特种设备安全监督管理的部门办理使用登记证书注销手续。若达到设计年限可以继续使用的，应当按照安全技术规范的要求通过检验或者安全评估，并办理使用登记证书变更，方可继续使用。允许继续使用的，应当采取加强检验、检测和维护保养等措施，确保使用安全。</w:t>
      </w:r>
    </w:p>
    <w:p>
      <w:pPr>
        <w:pStyle w:val="57"/>
        <w:numPr>
          <w:ilvl w:val="0"/>
          <w:numId w:val="24"/>
        </w:numPr>
        <w:ind w:left="0" w:firstLine="560"/>
        <w:rPr>
          <w:color w:val="auto"/>
        </w:rPr>
      </w:pPr>
      <w:r>
        <w:rPr>
          <w:rFonts w:hint="eastAsia" w:ascii="宋体" w:hAnsi="宋体"/>
          <w:color w:val="auto"/>
          <w:sz w:val="28"/>
          <w:szCs w:val="28"/>
        </w:rPr>
        <w:t>特殊作业人员必须经专门的安全技术培训并考核合格，取得特种作业操作证后，方可上岗作业，特种作业证应定期复审。</w:t>
      </w:r>
    </w:p>
    <w:p>
      <w:pPr>
        <w:pStyle w:val="57"/>
        <w:numPr>
          <w:ilvl w:val="0"/>
          <w:numId w:val="24"/>
        </w:numPr>
        <w:ind w:left="0" w:firstLine="560"/>
        <w:rPr>
          <w:color w:val="auto"/>
        </w:rPr>
      </w:pPr>
      <w:r>
        <w:rPr>
          <w:rFonts w:hint="eastAsia" w:ascii="宋体" w:hAnsi="宋体"/>
          <w:color w:val="auto"/>
          <w:sz w:val="28"/>
          <w:szCs w:val="28"/>
        </w:rPr>
        <w:t>特殊作业前，企业应组织作业单位对作业现场和作业过程中可能存在的危险有害因素进行辨识，开展作业危害分析，制定相应的安全风险管控措施。</w:t>
      </w:r>
    </w:p>
    <w:p>
      <w:pPr>
        <w:pStyle w:val="57"/>
        <w:numPr>
          <w:ilvl w:val="0"/>
          <w:numId w:val="24"/>
        </w:numPr>
        <w:ind w:left="0" w:firstLine="560"/>
        <w:rPr>
          <w:color w:val="auto"/>
        </w:rPr>
      </w:pPr>
      <w:r>
        <w:rPr>
          <w:rFonts w:hint="eastAsia" w:ascii="宋体" w:hAnsi="宋体"/>
          <w:color w:val="auto"/>
          <w:sz w:val="28"/>
          <w:szCs w:val="28"/>
        </w:rPr>
        <w:t>特殊作业前对设备、管线内介质有安全要求的特殊作业,应采用倒空、隔绝、清洗、置换等方式进行处理；对具有能量的设备设施、环境应采取可靠的能量隔离措施。进入作业现场的人员应正确佩戴满足GB 39800.1要求的个体防护装备。</w:t>
      </w:r>
    </w:p>
    <w:p>
      <w:pPr>
        <w:pStyle w:val="57"/>
        <w:numPr>
          <w:ilvl w:val="0"/>
          <w:numId w:val="24"/>
        </w:numPr>
        <w:ind w:left="0" w:firstLine="560"/>
        <w:rPr>
          <w:color w:val="auto"/>
        </w:rPr>
      </w:pPr>
      <w:r>
        <w:rPr>
          <w:rFonts w:hint="eastAsia" w:ascii="宋体" w:hAnsi="宋体"/>
          <w:color w:val="auto"/>
          <w:sz w:val="28"/>
          <w:szCs w:val="28"/>
        </w:rPr>
        <w:t>特殊作业前,企业应对参加作业的人员进行安全措施交底,主要包括：①作业现场和作业过程中可能存在的危险、有害因素及采取的具体安全措施与应急措施；②会同作业单位组织作业人员到作业现场,了解和熟悉现场环境,进一步核实安全措施的可靠性,熟悉应急救援器材的位置及分布；③涉及断路、动土作业时,应对作业现场的地下隐蔽工程进行交底。</w:t>
      </w:r>
    </w:p>
    <w:p>
      <w:pPr>
        <w:pStyle w:val="57"/>
        <w:numPr>
          <w:ilvl w:val="0"/>
          <w:numId w:val="24"/>
        </w:numPr>
        <w:ind w:left="0" w:firstLine="560"/>
        <w:rPr>
          <w:color w:val="auto"/>
        </w:rPr>
      </w:pPr>
      <w:r>
        <w:rPr>
          <w:rFonts w:hint="eastAsia" w:ascii="宋体" w:hAnsi="宋体"/>
          <w:color w:val="auto"/>
          <w:sz w:val="28"/>
          <w:szCs w:val="28"/>
        </w:rPr>
        <w:t>特殊作业前,企业应组织作业单位对作业现场及作业涉及的设备,设施、工器具等进行检查,并使之符合如下要求:①作业现场消防通道、行车通道应保持畅通,影响作业安全的杂物应清理干净；②作业现场的梯子、栏杆、平台、算子板、盖板等设施应完整、牢固，采用的临时设施应确保安全；③作业现场可能危及安全的坑、井、沟、孔洞等应采取有效防护措施,并设警示标志，需要检修的设备上的电器电源应可靠断电,在电源开关处加锁并加挂安全警示牌；④作业使用的个体防护器具、消防器材、通信设备、照明设备等应完好；⑤作业时使用的脚手架、起重机械、电气焊(割)用具、手持电动工具等各种工器具符合作业安全要求,超过安全电压的手持式,移动式电动工器具应逐个配置漏电保护器和电源开关；⑥设置符合GB 2894的安全警示标志；⑦按照GB 30077要求配备应急设施；⑧腐蚀性介质的作业场所应在现场就近(30 m内)配备人员应急用冲洗水源。</w:t>
      </w:r>
    </w:p>
    <w:p>
      <w:pPr>
        <w:pStyle w:val="57"/>
        <w:numPr>
          <w:ilvl w:val="0"/>
          <w:numId w:val="24"/>
        </w:numPr>
        <w:ind w:left="0" w:firstLine="560"/>
        <w:rPr>
          <w:color w:val="auto"/>
        </w:rPr>
      </w:pPr>
      <w:r>
        <w:rPr>
          <w:rFonts w:hint="eastAsia" w:ascii="宋体" w:hAnsi="宋体"/>
          <w:color w:val="auto"/>
          <w:sz w:val="28"/>
          <w:szCs w:val="28"/>
        </w:rPr>
        <w:t>特殊作业前，企业应组织办理作业审批手续，并由相关责任人签字审批。作业期间应设监护人。监护人应由具有生产（作业）实践经验的人员担任，并经专项培训考试合格，佩戴明显标识，持培训合格证上岗。</w:t>
      </w:r>
    </w:p>
    <w:p>
      <w:pPr>
        <w:pStyle w:val="57"/>
        <w:numPr>
          <w:ilvl w:val="0"/>
          <w:numId w:val="24"/>
        </w:numPr>
        <w:ind w:left="0" w:firstLine="560"/>
        <w:rPr>
          <w:color w:val="auto"/>
        </w:rPr>
      </w:pPr>
      <w:r>
        <w:rPr>
          <w:rFonts w:hint="eastAsia" w:ascii="宋体" w:hAnsi="宋体"/>
          <w:color w:val="auto"/>
          <w:sz w:val="28"/>
          <w:szCs w:val="28"/>
        </w:rPr>
        <w:t>作业时使用的移动式可燃、有毒气体检测仪，氧气检测仪应符合GB15322.3和GB/T 50493-2019中5.2的要求。作业现场应设置满足作业要求的照明装备。</w:t>
      </w:r>
    </w:p>
    <w:p>
      <w:pPr>
        <w:pStyle w:val="57"/>
        <w:numPr>
          <w:ilvl w:val="0"/>
          <w:numId w:val="24"/>
        </w:numPr>
        <w:ind w:left="0" w:firstLine="560"/>
        <w:rPr>
          <w:color w:val="auto"/>
        </w:rPr>
      </w:pPr>
      <w:r>
        <w:rPr>
          <w:rFonts w:hint="eastAsia" w:ascii="宋体" w:hAnsi="宋体"/>
          <w:color w:val="auto"/>
          <w:sz w:val="28"/>
          <w:szCs w:val="28"/>
        </w:rPr>
        <w:t>特殊作业完毕,应及时恢复作业时拆移的盖板、算子板、扶手、栏杆、防护罩等安全设施的使用功能,恢复临时封闭的沟渠或地井,并清理作业现场,恢复原状。作业完毕应及时进行验收确认。</w:t>
      </w:r>
    </w:p>
    <w:p>
      <w:pPr>
        <w:pStyle w:val="57"/>
        <w:numPr>
          <w:ilvl w:val="0"/>
          <w:numId w:val="24"/>
        </w:numPr>
        <w:ind w:left="0" w:firstLine="560"/>
        <w:rPr>
          <w:color w:val="auto"/>
        </w:rPr>
      </w:pPr>
      <w:r>
        <w:rPr>
          <w:rFonts w:hint="eastAsia" w:ascii="宋体" w:hAnsi="宋体"/>
          <w:color w:val="auto"/>
          <w:sz w:val="28"/>
          <w:szCs w:val="28"/>
        </w:rPr>
        <w:t>作业内容变更、作业范围扩大、作业地点转移或超过安全作业票有效期限时，应重新办理安全作业票证。工艺条件、作业条件、作业方式或作业环境改变时，应重新进行作业危害分析，核对风险管控措施，重新办理安全作业票。</w:t>
      </w:r>
    </w:p>
    <w:p>
      <w:pPr>
        <w:keepNext/>
        <w:keepLines/>
        <w:spacing w:line="360" w:lineRule="auto"/>
        <w:jc w:val="left"/>
        <w:outlineLvl w:val="2"/>
        <w:rPr>
          <w:rFonts w:ascii="Calibri" w:hAnsi="Calibri"/>
          <w:b/>
          <w:color w:val="auto"/>
          <w:sz w:val="28"/>
          <w:szCs w:val="32"/>
        </w:rPr>
      </w:pPr>
      <w:bookmarkStart w:id="212" w:name="_Toc31472"/>
      <w:bookmarkStart w:id="213" w:name="_Toc355247590"/>
      <w:bookmarkStart w:id="214" w:name="_Toc357981659"/>
      <w:bookmarkStart w:id="215" w:name="_Toc355737795"/>
      <w:bookmarkStart w:id="216" w:name="_Toc262283581"/>
      <w:bookmarkStart w:id="217" w:name="_Toc354428870"/>
      <w:bookmarkStart w:id="218" w:name="_Toc357981456"/>
      <w:bookmarkStart w:id="219" w:name="_Toc355248935"/>
      <w:bookmarkStart w:id="220" w:name="_Toc17791"/>
      <w:bookmarkStart w:id="221" w:name="_Toc355247529"/>
      <w:bookmarkStart w:id="222" w:name="_Toc231036096"/>
      <w:bookmarkStart w:id="223" w:name="_Toc355257330"/>
      <w:bookmarkStart w:id="224" w:name="_Toc355738327"/>
      <w:bookmarkStart w:id="225" w:name="_Toc144109228"/>
      <w:r>
        <w:rPr>
          <w:rFonts w:ascii="Calibri" w:hAnsi="Calibri"/>
          <w:b/>
          <w:color w:val="auto"/>
          <w:sz w:val="28"/>
          <w:szCs w:val="32"/>
        </w:rPr>
        <w:t>6事故应急救援</w:t>
      </w:r>
      <w:bookmarkEnd w:id="212"/>
      <w:bookmarkEnd w:id="213"/>
      <w:bookmarkEnd w:id="214"/>
      <w:bookmarkEnd w:id="215"/>
      <w:bookmarkEnd w:id="216"/>
      <w:bookmarkEnd w:id="217"/>
      <w:bookmarkEnd w:id="218"/>
      <w:bookmarkEnd w:id="219"/>
      <w:bookmarkEnd w:id="220"/>
      <w:bookmarkEnd w:id="221"/>
      <w:bookmarkEnd w:id="222"/>
      <w:bookmarkEnd w:id="223"/>
      <w:bookmarkEnd w:id="224"/>
      <w:r>
        <w:rPr>
          <w:rFonts w:hint="eastAsia" w:ascii="Calibri" w:hAnsi="Calibri"/>
          <w:b/>
          <w:color w:val="auto"/>
          <w:sz w:val="28"/>
          <w:szCs w:val="32"/>
        </w:rPr>
        <w:t>和器材方面</w:t>
      </w:r>
      <w:bookmarkEnd w:id="225"/>
    </w:p>
    <w:p>
      <w:pPr>
        <w:pStyle w:val="57"/>
        <w:numPr>
          <w:ilvl w:val="0"/>
          <w:numId w:val="25"/>
        </w:numPr>
        <w:autoSpaceDE w:val="0"/>
        <w:autoSpaceDN w:val="0"/>
        <w:adjustRightInd w:val="0"/>
        <w:spacing w:line="360" w:lineRule="auto"/>
        <w:ind w:left="0" w:firstLine="560"/>
        <w:jc w:val="left"/>
        <w:rPr>
          <w:rFonts w:ascii="宋体" w:hAnsi="宋体"/>
          <w:color w:val="auto"/>
          <w:sz w:val="28"/>
          <w:szCs w:val="28"/>
        </w:rPr>
      </w:pPr>
      <w:r>
        <w:rPr>
          <w:rFonts w:hint="eastAsia" w:ascii="宋体" w:hAnsi="宋体"/>
          <w:color w:val="auto"/>
          <w:sz w:val="28"/>
          <w:szCs w:val="28"/>
        </w:rPr>
        <w:t>该项目中存在重点监管的危险化学品</w:t>
      </w:r>
      <w:r>
        <w:rPr>
          <w:rFonts w:hint="eastAsia" w:ascii="宋体" w:hAnsi="宋体" w:cs="Arial"/>
          <w:color w:val="auto"/>
          <w:sz w:val="28"/>
          <w:szCs w:val="28"/>
        </w:rPr>
        <w:t>，应配置</w:t>
      </w:r>
      <w:r>
        <w:rPr>
          <w:rStyle w:val="63"/>
          <w:color w:val="auto"/>
          <w:sz w:val="28"/>
          <w:szCs w:val="28"/>
        </w:rPr>
        <w:t>两套以上重型防护服；</w:t>
      </w:r>
      <w:r>
        <w:rPr>
          <w:rFonts w:hint="eastAsia" w:ascii="宋体" w:hAnsi="宋体"/>
          <w:color w:val="auto"/>
          <w:sz w:val="28"/>
          <w:szCs w:val="28"/>
        </w:rPr>
        <w:t>使用防爆型的通风系统和设备。配置化学安全防护眼镜、穿防静电工作服、戴橡胶手套、过滤式防毒面具（半面罩）、空气呼吸器等；</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该项目涉及易燃易爆物质的生产区、存储区应设置一定数量的消防砂及相应的消防器材。喷淋冷却水、事故用惰性气体管道等的人工控制阀门，应设在距危险点较远和便于操作的地点。</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企业应按照AQ3013-2008第5.6.2条规定，在有可能产生各类危险的醒目位置设置安全标志；在产生职业危害作业场所的醒目位置设置职业危害警示标识、告知牌；至少在生产区的入口，甲、乙类厂房、仓库、储罐区等危险物品存在区域设置安全标志、职业危害警示标识。</w:t>
      </w:r>
    </w:p>
    <w:p>
      <w:pPr>
        <w:pStyle w:val="57"/>
        <w:numPr>
          <w:ilvl w:val="0"/>
          <w:numId w:val="25"/>
        </w:numPr>
        <w:adjustRightInd w:val="0"/>
        <w:snapToGrid w:val="0"/>
        <w:spacing w:line="360" w:lineRule="auto"/>
        <w:ind w:left="0" w:firstLine="560"/>
        <w:jc w:val="left"/>
        <w:rPr>
          <w:rFonts w:ascii="宋体" w:hAnsi="宋体"/>
          <w:color w:val="auto"/>
          <w:sz w:val="28"/>
          <w:szCs w:val="28"/>
        </w:rPr>
      </w:pPr>
      <w:r>
        <w:rPr>
          <w:rFonts w:hint="eastAsia" w:ascii="宋体" w:hAnsi="宋体"/>
          <w:color w:val="auto"/>
          <w:sz w:val="28"/>
          <w:szCs w:val="28"/>
        </w:rPr>
        <w:t>在厂房或高处设置风向袋或风向标，在厂区常年主导风向的两侧设立安全区域；用于人员疏散或集结，应急疏散路线和安全集结区域应有明显的标志</w:t>
      </w:r>
    </w:p>
    <w:p>
      <w:pPr>
        <w:pStyle w:val="57"/>
        <w:numPr>
          <w:ilvl w:val="0"/>
          <w:numId w:val="25"/>
        </w:numPr>
        <w:spacing w:line="360" w:lineRule="auto"/>
        <w:ind w:left="0" w:firstLine="560"/>
        <w:jc w:val="left"/>
        <w:rPr>
          <w:rFonts w:ascii="宋体" w:hAnsi="宋体" w:cs="黑体"/>
          <w:color w:val="auto"/>
          <w:kern w:val="0"/>
          <w:sz w:val="28"/>
          <w:szCs w:val="28"/>
        </w:rPr>
      </w:pPr>
      <w:r>
        <w:rPr>
          <w:rFonts w:hint="eastAsia" w:ascii="宋体" w:hAnsi="宋体" w:cs="黑体"/>
          <w:color w:val="auto"/>
          <w:kern w:val="0"/>
          <w:sz w:val="28"/>
          <w:szCs w:val="28"/>
        </w:rPr>
        <w:t>存在有毒气体、易燃易爆气体的生产车间应设置机械通风进行日常通风和事故通风，通风换气次数&gt;12次/时。事故通风装置应与可燃有毒检测报警装置联锁。</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kern w:val="0"/>
          <w:sz w:val="28"/>
          <w:szCs w:val="28"/>
        </w:rPr>
        <w:t>控制室、</w:t>
      </w:r>
      <w:r>
        <w:rPr>
          <w:rFonts w:hint="eastAsia" w:ascii="宋体" w:hAnsi="宋体"/>
          <w:color w:val="auto"/>
          <w:sz w:val="28"/>
          <w:szCs w:val="28"/>
        </w:rPr>
        <w:t>配电室等应设置感温、感烟报警探测器等火灾报警系统，生产装置甲类车间、储存区域设置火灾报警系统及手动报警按钮。</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企业应按照AQ3013-2008第5.6.2条规定，在有可能产生各类危险的醒目位置设置安全标志；在产生职业危害作业场所的醒目位置设置职业危害警示标识、告知牌；至少在生产区的入口，甲、乙类厂房、仓库、储罐区等危险物品存在区域设置安全标志、职业危害警示标识。</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消防用电设备应采用专用的供电回路， 当建筑内的生产、 生活用电被切断时，应仍能保证消防用电。备用消防电源的供电时间和容量， 应满足该建筑火灾延续时间内各消防用电设备的要求。</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储存室外消防用水的消防水池或供消防车取水的消防水池，应符合下列规定：1 消防水池应设置取水口（井），且吸水高度不应大于 6.0m；2 取水口（井）与建筑物（水泵房除外）的距离不宜小于 15m；</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消防水池的出水、排水和水位应符合下列要求：1 消防水池的出水管应保证消防水池的有效容积能被全部利用；2 消防水池应设置就地水位显示装置，并应在消防控制中心或值班室等地点设置显示消防水池水位的装置，同时应有最高和最低报警水位；3 消防水池应设置溢流水管和排水设施，并应采用间接排水。</w:t>
      </w:r>
    </w:p>
    <w:p>
      <w:pPr>
        <w:pStyle w:val="27"/>
        <w:numPr>
          <w:ilvl w:val="0"/>
          <w:numId w:val="25"/>
        </w:numPr>
        <w:shd w:val="clear" w:color="auto" w:fill="FFFFFF"/>
        <w:spacing w:before="0" w:beforeAutospacing="0" w:after="0" w:afterAutospacing="0"/>
        <w:ind w:left="0" w:firstLine="560" w:firstLineChars="200"/>
        <w:rPr>
          <w:color w:val="auto"/>
          <w:sz w:val="28"/>
          <w:szCs w:val="28"/>
        </w:rPr>
      </w:pPr>
      <w:r>
        <w:rPr>
          <w:rFonts w:hint="eastAsia"/>
          <w:color w:val="auto"/>
          <w:kern w:val="2"/>
          <w:sz w:val="28"/>
          <w:szCs w:val="28"/>
          <w:shd w:val="clear" w:color="auto" w:fill="FFFFFF"/>
        </w:rPr>
        <w:t>单独建造的消防水泵房，其耐火等级不应低于二级；</w:t>
      </w:r>
      <w:r>
        <w:rPr>
          <w:rFonts w:hint="eastAsia"/>
          <w:color w:val="auto"/>
          <w:kern w:val="2"/>
          <w:sz w:val="28"/>
          <w:szCs w:val="28"/>
        </w:rPr>
        <w:t>疏散门应直通室外或安全出口。</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应在明显位置设置应急疏散图，应急疏散通道和区域应满足应急响应的需要。</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灭火器的配置应符合GB 50140的相关规定，灭火器、室内消火栓等消防器材摆放合理，标识明显，周边1m范围内无障碍物，且在有效期内。</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消防设施、重要防火部位均设有明显的消防安全标志，并应符合GB 13495的相关规定。</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企业应编制综合应急救援预案，针对可能发生的具体事故类别，制定相应的专项应急预案和现场处置方案，每年至少进行一次综合应急预案演练和专项应急预案演练，每半年至少进行一次现场处置方案应急演练。应重点考虑液氨、锂及其他易燃液体等危险化学品泄露、尾气泄漏、电气火灾、触电等。</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项目单位应当依法制定应急预案，应急预案的编制应按照《生产经营单位生产安全事故应急预案编制导则》（GB/T29639-2020）进行；配合地方人民政府安全生产监督管理部门制定所在地区涉及本单位的危险化学品事故应急预案。</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作业场所中存在职业性危害因素和危害风险时，用人单位应为作业人员配备符合国家标准或行业标准的个体防护装备。用人单位为作业人员配备的个体防护装备应与作业场所的环境状况、作业状况、存在的危害因素和危害程度相适应，应与作业人员相适合，且个体防护装备本身不应导致其他额外的风险。</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用人单位应对其使用的劳务派遣工、临时聘用人员、接纳的实习生和允许进入作业地点的其他外来人员进行个体防护装备的配备及管理。</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用人单位应结合所在行业个人防护装备配备配备国家标准进行个体防护装备的配备及管理。</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用人单位应建立健全个体防护装备管理制度，至少应包括采购、验收、保管、选择、发放、使用、报废、培训、等内容，并应建立健全个体防护装备管理档案。</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用人单位应在入库前对个体防护装备进行进货验收。确定产品是够符合国家或行业标准；对国家规定应进行定期强检的个体防护装备，用人单位应按相关规定，委托具有检测资质的检验检测机构进行定期检验。</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在作业过程中发现存在其他危害因素，现有个体防护装备不能满足作业安全要求，需要另外配备时，应立即停止相关作业，按照GB</w:t>
      </w:r>
      <w:r>
        <w:rPr>
          <w:rFonts w:ascii="宋体" w:hAnsi="宋体"/>
          <w:color w:val="auto"/>
          <w:sz w:val="28"/>
          <w:szCs w:val="28"/>
        </w:rPr>
        <w:t>39800.1-2020</w:t>
      </w:r>
      <w:r>
        <w:rPr>
          <w:rFonts w:hint="eastAsia" w:ascii="宋体" w:hAnsi="宋体"/>
          <w:color w:val="auto"/>
          <w:sz w:val="28"/>
          <w:szCs w:val="28"/>
        </w:rPr>
        <w:t>的要求配备相应的个体防护装备后，方可继续作业。</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用人单位应制定培训计划和考核办法，并建立和保留培训和考核记录；按计划定期对作业人员进行培训，培训内容至少包括工作中存在的危害种类和法律法规、标准等规定的防护要求，本单位采取的控制措施，以及个体防护装备的选择、防护效果、使用方法及维护、保养方法、检查方法等。</w:t>
      </w:r>
    </w:p>
    <w:p>
      <w:pPr>
        <w:pStyle w:val="57"/>
        <w:numPr>
          <w:ilvl w:val="0"/>
          <w:numId w:val="25"/>
        </w:numPr>
        <w:spacing w:line="360" w:lineRule="auto"/>
        <w:ind w:left="0" w:firstLine="560"/>
        <w:jc w:val="left"/>
        <w:rPr>
          <w:rFonts w:ascii="宋体" w:hAnsi="宋体"/>
          <w:color w:val="auto"/>
          <w:sz w:val="28"/>
          <w:szCs w:val="28"/>
        </w:rPr>
      </w:pPr>
      <w:r>
        <w:rPr>
          <w:rFonts w:hint="eastAsia" w:ascii="宋体" w:hAnsi="宋体"/>
          <w:color w:val="auto"/>
          <w:sz w:val="28"/>
          <w:szCs w:val="28"/>
        </w:rPr>
        <w:t>作业人员应熟练掌握个体防护装备的正确佩戴和使用方法，未按规定佩戴和使用个体防护装备的作业人员，不得上岗作业，用人单位应监督作业人员个体防护装备的使用情况。</w:t>
      </w:r>
    </w:p>
    <w:p>
      <w:pPr>
        <w:keepNext/>
        <w:keepLines/>
        <w:spacing w:line="360" w:lineRule="auto"/>
        <w:jc w:val="left"/>
        <w:outlineLvl w:val="2"/>
        <w:rPr>
          <w:rFonts w:ascii="Calibri" w:hAnsi="Calibri"/>
          <w:b/>
          <w:color w:val="auto"/>
          <w:sz w:val="28"/>
          <w:szCs w:val="32"/>
        </w:rPr>
      </w:pPr>
      <w:bookmarkStart w:id="226" w:name="_Toc357981660"/>
      <w:bookmarkStart w:id="227" w:name="_Toc355247591"/>
      <w:bookmarkStart w:id="228" w:name="_Toc357981457"/>
      <w:bookmarkStart w:id="229" w:name="_Toc262283584"/>
      <w:bookmarkStart w:id="230" w:name="_Toc355247530"/>
      <w:bookmarkStart w:id="231" w:name="_Toc22244"/>
      <w:bookmarkStart w:id="232" w:name="_Toc355257331"/>
      <w:bookmarkStart w:id="233" w:name="_Toc354428871"/>
      <w:bookmarkStart w:id="234" w:name="_Toc355738328"/>
      <w:bookmarkStart w:id="235" w:name="_Toc355248936"/>
      <w:bookmarkStart w:id="236" w:name="_Toc355737796"/>
      <w:bookmarkStart w:id="237" w:name="_Toc231036099"/>
      <w:bookmarkStart w:id="238" w:name="_Toc389"/>
      <w:bookmarkStart w:id="239" w:name="_Toc144109229"/>
      <w:r>
        <w:rPr>
          <w:rFonts w:ascii="Calibri" w:hAnsi="Calibri"/>
          <w:b/>
          <w:color w:val="auto"/>
          <w:sz w:val="28"/>
          <w:szCs w:val="32"/>
        </w:rPr>
        <w:t>7</w:t>
      </w:r>
      <w:bookmarkEnd w:id="226"/>
      <w:bookmarkEnd w:id="227"/>
      <w:bookmarkEnd w:id="228"/>
      <w:bookmarkEnd w:id="229"/>
      <w:bookmarkEnd w:id="230"/>
      <w:bookmarkEnd w:id="231"/>
      <w:bookmarkEnd w:id="232"/>
      <w:bookmarkEnd w:id="233"/>
      <w:bookmarkEnd w:id="234"/>
      <w:bookmarkEnd w:id="235"/>
      <w:bookmarkEnd w:id="236"/>
      <w:bookmarkEnd w:id="237"/>
      <w:bookmarkEnd w:id="238"/>
      <w:r>
        <w:rPr>
          <w:rFonts w:hint="eastAsia" w:ascii="Calibri" w:hAnsi="Calibri"/>
          <w:b/>
          <w:color w:val="auto"/>
          <w:sz w:val="28"/>
          <w:szCs w:val="32"/>
        </w:rPr>
        <w:t>其他建议</w:t>
      </w:r>
      <w:bookmarkEnd w:id="239"/>
    </w:p>
    <w:p>
      <w:pPr>
        <w:adjustRightInd w:val="0"/>
        <w:spacing w:line="600" w:lineRule="exact"/>
        <w:ind w:firstLine="560" w:firstLineChars="200"/>
        <w:rPr>
          <w:color w:val="auto"/>
          <w:kern w:val="0"/>
          <w:sz w:val="28"/>
          <w:szCs w:val="28"/>
          <w:u w:color="000000"/>
        </w:rPr>
      </w:pPr>
      <w:r>
        <w:rPr>
          <w:color w:val="auto"/>
          <w:kern w:val="0"/>
          <w:sz w:val="28"/>
          <w:szCs w:val="28"/>
          <w:u w:color="000000"/>
        </w:rPr>
        <w:t>施工期中主要的危险、危害因素有高处坠落、起重伤害、物体打击、机械伤害、灼烫、触电及其他伤害等危险因素和毒物及噪声与振动等危害因素，下面就主要的危险、危害因素提出以下措施，供专业施工单位和施工队参考。</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认真贯彻执行“安全第一，预防为主，综合治理”的安全生产方针。</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施工场所应符合施工现场的一般规定。施工总平面布置应符合国家防火、工业卫生等有关规定：施工现场排水设施应全面规划，以保证施工期场地排水需要：施工场所应做到整洁、规整，垃圾、废料应及时清除，做到“工完、料尽、场地清”，坚持文明施工。在高处清扫的垃圾和废料，不得向下抛掷；进入施工现场的人员必须正确佩戴安全帽，严禁酒后进入施工现场。</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施工期用电应符合施工用电一般规定。施工用电的布设应按己批准的施工组织设计进行，并符合当地供电局的有关规定；施工用设施竣工后应经验收合格后方可投入使用；施工用电应明确管理机构并专业班组负责运行及维护，严禁非电工拆、装施工用电设施：施工用电设施投入使用前，应制订运行、维护、使用、检修、实验等管理制度。</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起重作业应符合起重工作的一般规定。起重作业的指挥操作人员必须由有相应资质的人员担任；起重设备在作用前应对其安全装置进行检查，保证其灵敏有效：起重机吊运重物时一般应走吊运通道；不明重量、埋在地下的物件不得起吊；禁止重物空中长时间停留；风力六级及六级以上时，不得进行起重作业；大雪、大雾、雷雨等恶习劣天气，或照明不足，导致信号不明时不得进行起重作业。</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施工现场的道路应坚实、平坦，并应尽量避免与铁路交叉，双车道宽度不得小于6m，单车道宽度不得小于3．5m，载重汽车的弯道半径一般不得小于15m，特殊情况不得小于10m。</w:t>
      </w:r>
    </w:p>
    <w:p>
      <w:pPr>
        <w:pStyle w:val="57"/>
        <w:numPr>
          <w:ilvl w:val="0"/>
          <w:numId w:val="26"/>
        </w:numPr>
        <w:adjustRightInd w:val="0"/>
        <w:spacing w:line="360" w:lineRule="auto"/>
        <w:ind w:left="0" w:firstLine="560"/>
        <w:rPr>
          <w:color w:val="auto"/>
          <w:kern w:val="0"/>
          <w:sz w:val="28"/>
          <w:szCs w:val="28"/>
          <w:u w:color="000000"/>
        </w:rPr>
      </w:pPr>
      <w:r>
        <w:rPr>
          <w:rFonts w:hint="eastAsia"/>
          <w:color w:val="auto"/>
          <w:kern w:val="0"/>
          <w:sz w:val="28"/>
          <w:szCs w:val="28"/>
          <w:u w:color="000000"/>
        </w:rPr>
        <w:t>该项目厂区东侧沿盐化大道存在国防光缆，建设单位在施工前应获取该项目施工地段地下国防光缆现状资料，避开国防光缆进行施工作业。</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高处作业人员应进行体格检查，体检合格者方可从事高处作业；高处作业平台、走道、斜道等应装设1．05m高的防护栏杆和18Cm高的挡脚板，或设防护立网；高处作业使用的脚手架、梯子及安全防护网应符合相应的规定；在恶劣天气的时应停止室外高处作业；高处作业必须系好安全带，安全带应挂在上方的牢固可靠处。</w:t>
      </w:r>
    </w:p>
    <w:p>
      <w:pPr>
        <w:pStyle w:val="57"/>
        <w:numPr>
          <w:ilvl w:val="0"/>
          <w:numId w:val="26"/>
        </w:numPr>
        <w:adjustRightInd w:val="0"/>
        <w:spacing w:line="360" w:lineRule="auto"/>
        <w:ind w:left="0" w:firstLine="560"/>
        <w:rPr>
          <w:color w:val="auto"/>
          <w:kern w:val="0"/>
          <w:sz w:val="28"/>
          <w:szCs w:val="28"/>
          <w:u w:color="000000"/>
        </w:rPr>
      </w:pPr>
      <w:r>
        <w:rPr>
          <w:rFonts w:ascii="宋体" w:hAnsi="宋体"/>
          <w:color w:val="auto"/>
          <w:sz w:val="28"/>
          <w:szCs w:val="28"/>
        </w:rPr>
        <w:t>从事使用高毒物品作业的用人单位应当设置淋浴间和更衣室，并设置清洗、存放或者处理从事使用高毒物品作业劳动者的工作服、工作鞋帽等物品的专用间。结束作业时，</w:t>
      </w:r>
      <w:r>
        <w:rPr>
          <w:rFonts w:hint="eastAsia" w:ascii="宋体" w:hAnsi="宋体"/>
          <w:color w:val="auto"/>
          <w:sz w:val="28"/>
          <w:szCs w:val="28"/>
        </w:rPr>
        <w:t>工作人员</w:t>
      </w:r>
      <w:r>
        <w:rPr>
          <w:rFonts w:ascii="宋体" w:hAnsi="宋体"/>
          <w:color w:val="auto"/>
          <w:sz w:val="28"/>
          <w:szCs w:val="28"/>
        </w:rPr>
        <w:t>使用的工作服、工作鞋帽等物品必须存放在高毒作业区域内，不得穿戴到非高毒作业区域。</w:t>
      </w:r>
    </w:p>
    <w:p>
      <w:pPr>
        <w:pStyle w:val="57"/>
        <w:numPr>
          <w:ilvl w:val="0"/>
          <w:numId w:val="26"/>
        </w:numPr>
        <w:adjustRightInd w:val="0"/>
        <w:spacing w:line="360" w:lineRule="auto"/>
        <w:ind w:left="0" w:firstLine="560"/>
        <w:rPr>
          <w:color w:val="auto"/>
          <w:kern w:val="0"/>
          <w:sz w:val="28"/>
          <w:szCs w:val="28"/>
          <w:u w:color="000000"/>
        </w:rPr>
      </w:pPr>
      <w:r>
        <w:rPr>
          <w:rFonts w:hint="eastAsia" w:ascii="宋体" w:hAnsi="宋体"/>
          <w:color w:val="auto"/>
          <w:sz w:val="28"/>
          <w:szCs w:val="28"/>
        </w:rPr>
        <w:t>企业</w:t>
      </w:r>
      <w:r>
        <w:rPr>
          <w:rFonts w:ascii="宋体" w:hAnsi="宋体"/>
          <w:color w:val="auto"/>
          <w:sz w:val="28"/>
          <w:szCs w:val="28"/>
        </w:rPr>
        <w:t>应当按照规定对从事使用高毒物品作业的劳动者进行岗位轮换</w:t>
      </w:r>
      <w:r>
        <w:rPr>
          <w:rFonts w:hint="eastAsia" w:ascii="宋体" w:hAnsi="宋体"/>
          <w:color w:val="auto"/>
          <w:sz w:val="28"/>
          <w:szCs w:val="28"/>
        </w:rPr>
        <w:t>，应</w:t>
      </w:r>
      <w:r>
        <w:rPr>
          <w:rFonts w:ascii="宋体" w:hAnsi="宋体"/>
          <w:color w:val="auto"/>
          <w:sz w:val="28"/>
          <w:szCs w:val="28"/>
        </w:rPr>
        <w:t>当对从事使用有毒物品作业的劳动者进行定期职业健康检查</w:t>
      </w:r>
      <w:r>
        <w:rPr>
          <w:rFonts w:hint="eastAsia" w:ascii="宋体" w:hAnsi="宋体"/>
          <w:color w:val="auto"/>
          <w:sz w:val="28"/>
          <w:szCs w:val="28"/>
        </w:rPr>
        <w:t>，</w:t>
      </w:r>
      <w:r>
        <w:rPr>
          <w:rFonts w:ascii="宋体" w:hAnsi="宋体"/>
          <w:color w:val="auto"/>
          <w:sz w:val="28"/>
          <w:szCs w:val="28"/>
        </w:rPr>
        <w:t>应当为从事使用高毒物品作业的劳动者提供岗位津贴。</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为防止物体打击，进入施工现场必须佩戴安全帽。在通道上方应加装硬制防护顶，通道避开上方有作业的地区。</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施工场地在夜间施工或光线不好的地方应加装照明设施。</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各种机械设备应定期进行检查，发现问题及是解决；机械设备在使用时严格遵照操作规程操作，尽量减少误操作以防止机械伤害的产生；另外，各机械设备的安全防护装置应做到灵敏有效。</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在地面以下施工的场所作好支护，防止坍塌事故的发生。</w:t>
      </w:r>
    </w:p>
    <w:p>
      <w:pPr>
        <w:pStyle w:val="57"/>
        <w:numPr>
          <w:ilvl w:val="0"/>
          <w:numId w:val="26"/>
        </w:numPr>
        <w:adjustRightInd w:val="0"/>
        <w:spacing w:line="360" w:lineRule="auto"/>
        <w:ind w:left="0" w:firstLine="560"/>
        <w:rPr>
          <w:color w:val="auto"/>
          <w:kern w:val="0"/>
          <w:sz w:val="28"/>
          <w:szCs w:val="28"/>
          <w:u w:color="000000"/>
        </w:rPr>
      </w:pPr>
      <w:r>
        <w:rPr>
          <w:color w:val="auto"/>
          <w:kern w:val="0"/>
          <w:sz w:val="28"/>
          <w:szCs w:val="28"/>
          <w:u w:color="000000"/>
        </w:rPr>
        <w:t>在有害场所进行施工作业时，应做好个体防护，对在有害场所工作的施工人员定期进行体检。</w:t>
      </w:r>
    </w:p>
    <w:p>
      <w:pPr>
        <w:pStyle w:val="57"/>
        <w:numPr>
          <w:ilvl w:val="0"/>
          <w:numId w:val="26"/>
        </w:numPr>
        <w:adjustRightInd w:val="0"/>
        <w:spacing w:line="360" w:lineRule="auto"/>
        <w:ind w:left="0" w:firstLine="552"/>
        <w:rPr>
          <w:color w:val="auto"/>
          <w:kern w:val="0"/>
          <w:sz w:val="28"/>
          <w:szCs w:val="28"/>
          <w:u w:color="000000"/>
        </w:rPr>
      </w:pPr>
      <w:r>
        <w:rPr>
          <w:rFonts w:hint="eastAsia" w:ascii="宋体" w:hAnsi="宋体"/>
          <w:color w:val="auto"/>
          <w:spacing w:val="-2"/>
          <w:sz w:val="28"/>
          <w:szCs w:val="28"/>
        </w:rPr>
        <w:t>厂区应在存在落物可能的区域内应设置“小心落物”警告标志，行车应设置“小心落物”和“起重物下不准站人”等警告标志，存在高处坠落危险的区域应设置“小心坠落”警告标志，楼梯处应设置“小心滑跌”警告标志，存在触电可能的位置应设置“小心有电”警告标志。需要使用防护用品的区域应设置“必须使用防护用品”的警告标志。电气室要配备“有人工作、禁止合闸”警告标志，检修场所要配备“有人工作、禁止起动”警告标志。生产场所，作业点的紧急通道和出入口，应设置明显醒目的标志。</w:t>
      </w: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ind w:firstLine="560"/>
        <w:jc w:val="left"/>
        <w:rPr>
          <w:color w:val="auto"/>
          <w:kern w:val="0"/>
          <w:sz w:val="28"/>
          <w:szCs w:val="28"/>
        </w:rPr>
      </w:pPr>
    </w:p>
    <w:p>
      <w:pPr>
        <w:spacing w:line="600" w:lineRule="exact"/>
        <w:jc w:val="left"/>
        <w:rPr>
          <w:color w:val="auto"/>
          <w:kern w:val="0"/>
          <w:sz w:val="28"/>
          <w:szCs w:val="28"/>
        </w:rPr>
      </w:pPr>
    </w:p>
    <w:p>
      <w:pPr>
        <w:keepNext/>
        <w:pageBreakBefore/>
        <w:widowControl/>
        <w:spacing w:line="600" w:lineRule="exact"/>
        <w:jc w:val="left"/>
        <w:outlineLvl w:val="0"/>
        <w:rPr>
          <w:b/>
          <w:color w:val="auto"/>
          <w:kern w:val="44"/>
          <w:sz w:val="32"/>
          <w:szCs w:val="32"/>
        </w:rPr>
      </w:pPr>
      <w:bookmarkStart w:id="240" w:name="_Toc144109230"/>
      <w:r>
        <w:rPr>
          <w:b/>
          <w:color w:val="auto"/>
          <w:kern w:val="44"/>
          <w:sz w:val="32"/>
          <w:szCs w:val="32"/>
        </w:rPr>
        <w:t>10.</w:t>
      </w:r>
      <w:r>
        <w:rPr>
          <w:rFonts w:ascii="宋体" w:hAnsi="宋体"/>
          <w:b/>
          <w:color w:val="auto"/>
          <w:kern w:val="44"/>
          <w:sz w:val="32"/>
          <w:szCs w:val="32"/>
        </w:rPr>
        <w:t>评价结论</w:t>
      </w:r>
      <w:bookmarkEnd w:id="240"/>
    </w:p>
    <w:p>
      <w:pPr>
        <w:keepNext/>
        <w:keepLines/>
        <w:spacing w:line="600" w:lineRule="exact"/>
        <w:jc w:val="left"/>
        <w:outlineLvl w:val="1"/>
        <w:rPr>
          <w:b/>
          <w:color w:val="auto"/>
          <w:sz w:val="30"/>
          <w:szCs w:val="30"/>
        </w:rPr>
      </w:pPr>
      <w:bookmarkStart w:id="241" w:name="_Toc144109231"/>
      <w:r>
        <w:rPr>
          <w:b/>
          <w:color w:val="auto"/>
          <w:sz w:val="30"/>
          <w:szCs w:val="30"/>
        </w:rPr>
        <w:t>10.1</w:t>
      </w:r>
      <w:r>
        <w:rPr>
          <w:rFonts w:hint="eastAsia"/>
          <w:b/>
          <w:color w:val="auto"/>
          <w:sz w:val="30"/>
          <w:szCs w:val="30"/>
        </w:rPr>
        <w:t xml:space="preserve"> </w:t>
      </w:r>
      <w:r>
        <w:rPr>
          <w:rFonts w:ascii="宋体" w:hAnsi="宋体"/>
          <w:b/>
          <w:color w:val="auto"/>
          <w:sz w:val="30"/>
          <w:szCs w:val="30"/>
        </w:rPr>
        <w:t>主要危险、有害因素辨识结果简述</w:t>
      </w:r>
      <w:bookmarkEnd w:id="241"/>
    </w:p>
    <w:p>
      <w:pPr>
        <w:adjustRightInd w:val="0"/>
        <w:spacing w:line="600" w:lineRule="exact"/>
        <w:ind w:firstLine="560" w:firstLineChars="200"/>
        <w:rPr>
          <w:color w:val="auto"/>
          <w:kern w:val="0"/>
          <w:sz w:val="28"/>
          <w:szCs w:val="28"/>
        </w:rPr>
      </w:pPr>
      <w:r>
        <w:rPr>
          <w:rFonts w:ascii="宋体" w:hAnsi="宋体"/>
          <w:color w:val="auto"/>
          <w:kern w:val="0"/>
          <w:sz w:val="28"/>
          <w:szCs w:val="28"/>
        </w:rPr>
        <w:t>（</w:t>
      </w:r>
      <w:r>
        <w:rPr>
          <w:color w:val="auto"/>
          <w:kern w:val="0"/>
          <w:sz w:val="28"/>
          <w:szCs w:val="28"/>
        </w:rPr>
        <w:t>1</w:t>
      </w:r>
      <w:r>
        <w:rPr>
          <w:rFonts w:ascii="宋体" w:hAnsi="宋体"/>
          <w:color w:val="auto"/>
          <w:kern w:val="0"/>
          <w:sz w:val="28"/>
          <w:szCs w:val="28"/>
        </w:rPr>
        <w:t>）危险、有害因素辨识结果</w:t>
      </w:r>
    </w:p>
    <w:p>
      <w:pPr>
        <w:adjustRightInd w:val="0"/>
        <w:spacing w:line="600" w:lineRule="exact"/>
        <w:ind w:firstLine="560" w:firstLineChars="200"/>
        <w:rPr>
          <w:color w:val="auto"/>
          <w:kern w:val="0"/>
          <w:sz w:val="28"/>
          <w:szCs w:val="28"/>
        </w:rPr>
      </w:pPr>
      <w:r>
        <w:rPr>
          <w:rFonts w:ascii="宋体" w:hAnsi="宋体"/>
          <w:color w:val="auto"/>
          <w:kern w:val="0"/>
          <w:sz w:val="28"/>
          <w:szCs w:val="28"/>
        </w:rPr>
        <w:t>通过危险、有害因素辨识与分析可知，本项目的危险、有害因素有火灾、爆炸、中毒与窒息、</w:t>
      </w:r>
      <w:r>
        <w:rPr>
          <w:rFonts w:hint="eastAsia" w:ascii="宋体" w:hAnsi="宋体"/>
          <w:color w:val="auto"/>
          <w:kern w:val="0"/>
          <w:sz w:val="28"/>
          <w:szCs w:val="28"/>
        </w:rPr>
        <w:t>腐蚀</w:t>
      </w:r>
      <w:r>
        <w:rPr>
          <w:rFonts w:ascii="宋体" w:hAnsi="宋体"/>
          <w:color w:val="auto"/>
          <w:kern w:val="0"/>
          <w:sz w:val="28"/>
          <w:szCs w:val="28"/>
        </w:rPr>
        <w:t>灼烫、机械伤害、物体打击、车辆伤害、触电、高处坠落、淹溺、高温与热辐射等，项目应重点关注的危害因素有火灾、爆炸</w:t>
      </w:r>
      <w:r>
        <w:rPr>
          <w:rFonts w:hint="eastAsia" w:ascii="宋体" w:hAnsi="宋体"/>
          <w:color w:val="auto"/>
          <w:kern w:val="0"/>
          <w:sz w:val="28"/>
          <w:szCs w:val="28"/>
        </w:rPr>
        <w:t>、中毒窒息、腐蚀灼烫、高处坠落、机械伤害</w:t>
      </w:r>
      <w:r>
        <w:rPr>
          <w:rFonts w:ascii="宋体" w:hAnsi="宋体"/>
          <w:color w:val="auto"/>
          <w:kern w:val="0"/>
          <w:sz w:val="28"/>
          <w:szCs w:val="28"/>
        </w:rPr>
        <w:t>。本项目初步设计时应重点关注本评价报告在防火防爆、</w:t>
      </w:r>
      <w:r>
        <w:rPr>
          <w:rFonts w:hint="eastAsia" w:ascii="宋体" w:hAnsi="宋体"/>
          <w:color w:val="auto"/>
          <w:kern w:val="0"/>
          <w:sz w:val="28"/>
          <w:szCs w:val="28"/>
        </w:rPr>
        <w:t>中毒窒息、腐蚀灼烫</w:t>
      </w:r>
      <w:r>
        <w:rPr>
          <w:rFonts w:ascii="宋体" w:hAnsi="宋体"/>
          <w:color w:val="auto"/>
          <w:kern w:val="0"/>
          <w:sz w:val="28"/>
          <w:szCs w:val="28"/>
        </w:rPr>
        <w:t>、重点监管危险化学品、机械伤害等方面提出的安全对策措施。</w:t>
      </w:r>
    </w:p>
    <w:p>
      <w:pPr>
        <w:adjustRightInd w:val="0"/>
        <w:spacing w:line="600" w:lineRule="exact"/>
        <w:ind w:firstLine="560" w:firstLineChars="200"/>
        <w:rPr>
          <w:color w:val="auto"/>
          <w:kern w:val="0"/>
          <w:sz w:val="28"/>
          <w:szCs w:val="28"/>
        </w:rPr>
      </w:pPr>
      <w:r>
        <w:rPr>
          <w:rFonts w:ascii="宋体" w:hAnsi="宋体"/>
          <w:color w:val="auto"/>
          <w:kern w:val="0"/>
          <w:sz w:val="28"/>
          <w:szCs w:val="28"/>
        </w:rPr>
        <w:t>（</w:t>
      </w:r>
      <w:r>
        <w:rPr>
          <w:color w:val="auto"/>
          <w:kern w:val="0"/>
          <w:sz w:val="28"/>
          <w:szCs w:val="28"/>
        </w:rPr>
        <w:t>2</w:t>
      </w:r>
      <w:r>
        <w:rPr>
          <w:rFonts w:ascii="宋体" w:hAnsi="宋体"/>
          <w:color w:val="auto"/>
          <w:kern w:val="0"/>
          <w:sz w:val="28"/>
          <w:szCs w:val="28"/>
        </w:rPr>
        <w:t>）危险化学品辨识结果</w:t>
      </w:r>
    </w:p>
    <w:p>
      <w:pPr>
        <w:adjustRightInd w:val="0"/>
        <w:spacing w:line="600" w:lineRule="exact"/>
        <w:ind w:firstLine="560" w:firstLineChars="200"/>
        <w:rPr>
          <w:color w:val="auto"/>
          <w:kern w:val="0"/>
          <w:sz w:val="28"/>
          <w:szCs w:val="28"/>
        </w:rPr>
      </w:pPr>
      <w:r>
        <w:rPr>
          <w:rFonts w:hint="eastAsia" w:ascii="宋体" w:hAnsi="宋体"/>
          <w:color w:val="auto"/>
          <w:kern w:val="0"/>
          <w:sz w:val="28"/>
          <w:szCs w:val="28"/>
        </w:rPr>
        <w:t>该</w:t>
      </w:r>
      <w:r>
        <w:rPr>
          <w:rFonts w:ascii="宋体" w:hAnsi="宋体"/>
          <w:color w:val="auto"/>
          <w:kern w:val="0"/>
          <w:sz w:val="28"/>
          <w:szCs w:val="28"/>
        </w:rPr>
        <w:t>项目涉及的重点监管的危险化学品有</w:t>
      </w:r>
      <w:r>
        <w:rPr>
          <w:rFonts w:hint="eastAsia" w:ascii="宋体" w:hAnsi="宋体"/>
          <w:color w:val="auto"/>
          <w:kern w:val="0"/>
          <w:sz w:val="28"/>
          <w:szCs w:val="28"/>
        </w:rPr>
        <w:t>液氨、甲醇、乙酸乙酯、二氧化硫（中间产物）、氢气（中间产物）</w:t>
      </w:r>
      <w:r>
        <w:rPr>
          <w:rFonts w:ascii="宋体" w:hAnsi="宋体"/>
          <w:color w:val="auto"/>
          <w:kern w:val="0"/>
          <w:sz w:val="28"/>
          <w:szCs w:val="28"/>
        </w:rPr>
        <w:t>；</w:t>
      </w:r>
      <w:r>
        <w:rPr>
          <w:rFonts w:hint="eastAsia" w:ascii="宋体" w:hAnsi="宋体"/>
          <w:color w:val="auto"/>
          <w:kern w:val="0"/>
          <w:sz w:val="28"/>
          <w:szCs w:val="28"/>
        </w:rPr>
        <w:t>涉及的甲苯、丙酮、硫酸属于</w:t>
      </w:r>
      <w:r>
        <w:rPr>
          <w:rFonts w:ascii="宋体" w:hAnsi="宋体"/>
          <w:color w:val="auto"/>
          <w:kern w:val="0"/>
          <w:sz w:val="28"/>
          <w:szCs w:val="28"/>
        </w:rPr>
        <w:t>易制毒化学品；</w:t>
      </w:r>
      <w:r>
        <w:rPr>
          <w:rFonts w:hint="eastAsia" w:ascii="宋体" w:hAnsi="宋体"/>
          <w:color w:val="auto"/>
          <w:kern w:val="0"/>
          <w:sz w:val="28"/>
          <w:szCs w:val="28"/>
        </w:rPr>
        <w:t>涉及的双氧水、金属锂属于</w:t>
      </w:r>
      <w:r>
        <w:rPr>
          <w:rFonts w:ascii="宋体" w:hAnsi="宋体"/>
          <w:color w:val="auto"/>
          <w:kern w:val="0"/>
          <w:sz w:val="28"/>
          <w:szCs w:val="28"/>
        </w:rPr>
        <w:t>易制爆化学品</w:t>
      </w:r>
      <w:r>
        <w:rPr>
          <w:rFonts w:hint="eastAsia" w:ascii="宋体" w:hAnsi="宋体"/>
          <w:color w:val="auto"/>
          <w:kern w:val="0"/>
          <w:sz w:val="28"/>
          <w:szCs w:val="28"/>
        </w:rPr>
        <w:t>；甲基磺酰氯属于</w:t>
      </w:r>
      <w:r>
        <w:rPr>
          <w:rFonts w:ascii="宋体" w:hAnsi="宋体"/>
          <w:color w:val="auto"/>
          <w:kern w:val="0"/>
          <w:sz w:val="28"/>
          <w:szCs w:val="28"/>
        </w:rPr>
        <w:t>剧毒化学</w:t>
      </w:r>
      <w:r>
        <w:rPr>
          <w:rFonts w:hint="eastAsia" w:ascii="宋体" w:hAnsi="宋体"/>
          <w:color w:val="auto"/>
          <w:kern w:val="0"/>
          <w:sz w:val="28"/>
          <w:szCs w:val="28"/>
        </w:rPr>
        <w:t>品；液氨属于高毒物品；液氨、甲醇、乙醇属于特别管控化学品。不涉及监控化学品。</w:t>
      </w:r>
    </w:p>
    <w:p>
      <w:pPr>
        <w:adjustRightInd w:val="0"/>
        <w:spacing w:line="600" w:lineRule="exact"/>
        <w:ind w:firstLine="560" w:firstLineChars="200"/>
        <w:rPr>
          <w:color w:val="auto"/>
          <w:kern w:val="0"/>
          <w:sz w:val="28"/>
          <w:szCs w:val="28"/>
        </w:rPr>
      </w:pPr>
      <w:r>
        <w:rPr>
          <w:rFonts w:ascii="宋体" w:hAnsi="宋体"/>
          <w:color w:val="auto"/>
          <w:kern w:val="0"/>
          <w:sz w:val="28"/>
          <w:szCs w:val="28"/>
        </w:rPr>
        <w:t>（</w:t>
      </w:r>
      <w:r>
        <w:rPr>
          <w:color w:val="auto"/>
          <w:kern w:val="0"/>
          <w:sz w:val="28"/>
          <w:szCs w:val="28"/>
        </w:rPr>
        <w:t>3</w:t>
      </w:r>
      <w:r>
        <w:rPr>
          <w:rFonts w:ascii="宋体" w:hAnsi="宋体"/>
          <w:color w:val="auto"/>
          <w:kern w:val="0"/>
          <w:sz w:val="28"/>
          <w:szCs w:val="28"/>
        </w:rPr>
        <w:t>）危险化工工艺辨识结果</w:t>
      </w:r>
    </w:p>
    <w:p>
      <w:pPr>
        <w:adjustRightInd w:val="0"/>
        <w:spacing w:line="600" w:lineRule="exact"/>
        <w:ind w:firstLine="560" w:firstLineChars="200"/>
        <w:rPr>
          <w:color w:val="auto"/>
          <w:kern w:val="0"/>
          <w:sz w:val="28"/>
          <w:szCs w:val="28"/>
        </w:rPr>
      </w:pPr>
      <w:r>
        <w:rPr>
          <w:rFonts w:hint="eastAsia" w:ascii="宋体" w:hAnsi="宋体"/>
          <w:color w:val="auto"/>
          <w:kern w:val="0"/>
          <w:sz w:val="28"/>
          <w:szCs w:val="28"/>
        </w:rPr>
        <w:t>该</w:t>
      </w:r>
      <w:r>
        <w:rPr>
          <w:rFonts w:ascii="宋体" w:hAnsi="宋体"/>
          <w:color w:val="auto"/>
          <w:kern w:val="0"/>
          <w:sz w:val="28"/>
          <w:szCs w:val="28"/>
        </w:rPr>
        <w:t>项目</w:t>
      </w:r>
      <w:r>
        <w:rPr>
          <w:rFonts w:hint="eastAsia" w:ascii="宋体" w:hAnsi="宋体"/>
          <w:color w:val="auto"/>
          <w:kern w:val="0"/>
          <w:sz w:val="28"/>
          <w:szCs w:val="28"/>
        </w:rPr>
        <w:t>2</w:t>
      </w:r>
      <w:r>
        <w:rPr>
          <w:rFonts w:ascii="宋体" w:hAnsi="宋体"/>
          <w:color w:val="auto"/>
          <w:kern w:val="0"/>
          <w:sz w:val="28"/>
          <w:szCs w:val="28"/>
        </w:rPr>
        <w:t>4</w:t>
      </w:r>
      <w:r>
        <w:rPr>
          <w:rFonts w:hint="eastAsia" w:ascii="宋体" w:hAnsi="宋体"/>
          <w:color w:val="auto"/>
          <w:kern w:val="0"/>
          <w:sz w:val="28"/>
          <w:szCs w:val="28"/>
        </w:rPr>
        <w:t>表芸苔素内酯合成过程中</w:t>
      </w:r>
      <w:r>
        <w:rPr>
          <w:rFonts w:ascii="宋体" w:hAnsi="宋体"/>
          <w:color w:val="auto"/>
          <w:kern w:val="0"/>
          <w:sz w:val="28"/>
          <w:szCs w:val="28"/>
        </w:rPr>
        <w:t>涉及</w:t>
      </w:r>
      <w:r>
        <w:rPr>
          <w:rFonts w:hint="eastAsia" w:ascii="宋体" w:hAnsi="宋体"/>
          <w:color w:val="auto"/>
          <w:kern w:val="0"/>
          <w:sz w:val="28"/>
          <w:szCs w:val="28"/>
        </w:rPr>
        <w:t>磺化、氧化</w:t>
      </w:r>
      <w:r>
        <w:rPr>
          <w:rFonts w:ascii="宋体" w:hAnsi="宋体"/>
          <w:color w:val="auto"/>
          <w:kern w:val="0"/>
          <w:sz w:val="28"/>
          <w:szCs w:val="28"/>
        </w:rPr>
        <w:t>危险化工工艺</w:t>
      </w:r>
      <w:r>
        <w:rPr>
          <w:rFonts w:hint="eastAsia" w:ascii="宋体" w:hAnsi="宋体"/>
          <w:color w:val="auto"/>
          <w:kern w:val="0"/>
          <w:sz w:val="28"/>
          <w:szCs w:val="28"/>
        </w:rPr>
        <w:t>；2</w:t>
      </w:r>
      <w:r>
        <w:rPr>
          <w:rFonts w:ascii="宋体" w:hAnsi="宋体"/>
          <w:color w:val="auto"/>
          <w:kern w:val="0"/>
          <w:sz w:val="28"/>
          <w:szCs w:val="28"/>
        </w:rPr>
        <w:t>8-</w:t>
      </w:r>
      <w:r>
        <w:rPr>
          <w:rFonts w:hint="eastAsia" w:ascii="宋体" w:hAnsi="宋体"/>
          <w:color w:val="auto"/>
          <w:kern w:val="0"/>
          <w:sz w:val="28"/>
          <w:szCs w:val="28"/>
        </w:rPr>
        <w:t>高芸苔素内酯合成过程中涉及磺化、氧化危险化工工艺；丙酰芸苔素内酯合成过程中涉及磺化、氧化危险化工工艺。</w:t>
      </w:r>
    </w:p>
    <w:p>
      <w:pPr>
        <w:adjustRightInd w:val="0"/>
        <w:spacing w:line="600" w:lineRule="exact"/>
        <w:ind w:firstLine="560" w:firstLineChars="200"/>
        <w:rPr>
          <w:color w:val="auto"/>
          <w:kern w:val="0"/>
          <w:sz w:val="28"/>
          <w:szCs w:val="28"/>
        </w:rPr>
      </w:pPr>
      <w:r>
        <w:rPr>
          <w:rFonts w:ascii="宋体" w:hAnsi="宋体"/>
          <w:color w:val="auto"/>
          <w:kern w:val="0"/>
          <w:sz w:val="28"/>
          <w:szCs w:val="28"/>
        </w:rPr>
        <w:t>（</w:t>
      </w:r>
      <w:r>
        <w:rPr>
          <w:color w:val="auto"/>
          <w:kern w:val="0"/>
          <w:sz w:val="28"/>
          <w:szCs w:val="28"/>
        </w:rPr>
        <w:t>4</w:t>
      </w:r>
      <w:r>
        <w:rPr>
          <w:rFonts w:ascii="宋体" w:hAnsi="宋体"/>
          <w:color w:val="auto"/>
          <w:kern w:val="0"/>
          <w:sz w:val="28"/>
          <w:szCs w:val="28"/>
        </w:rPr>
        <w:t>）重大危险源辨识结果</w:t>
      </w:r>
    </w:p>
    <w:p>
      <w:pPr>
        <w:adjustRightInd w:val="0"/>
        <w:spacing w:line="600" w:lineRule="exact"/>
        <w:ind w:firstLine="560" w:firstLineChars="200"/>
        <w:rPr>
          <w:color w:val="auto"/>
          <w:kern w:val="0"/>
          <w:sz w:val="28"/>
          <w:szCs w:val="28"/>
        </w:rPr>
      </w:pPr>
      <w:r>
        <w:rPr>
          <w:rFonts w:hint="eastAsia" w:ascii="宋体" w:hAnsi="宋体"/>
          <w:color w:val="auto"/>
          <w:kern w:val="0"/>
          <w:sz w:val="28"/>
          <w:szCs w:val="28"/>
        </w:rPr>
        <w:t>该</w:t>
      </w:r>
      <w:r>
        <w:rPr>
          <w:rFonts w:ascii="宋体" w:hAnsi="宋体"/>
          <w:color w:val="auto"/>
          <w:kern w:val="0"/>
          <w:sz w:val="28"/>
          <w:szCs w:val="28"/>
        </w:rPr>
        <w:t>项目不构成危险化学品重大危险源。</w:t>
      </w:r>
    </w:p>
    <w:p>
      <w:pPr>
        <w:keepNext/>
        <w:keepLines/>
        <w:spacing w:line="600" w:lineRule="exact"/>
        <w:jc w:val="left"/>
        <w:outlineLvl w:val="1"/>
        <w:rPr>
          <w:b/>
          <w:color w:val="auto"/>
          <w:sz w:val="30"/>
          <w:szCs w:val="30"/>
        </w:rPr>
      </w:pPr>
      <w:bookmarkStart w:id="242" w:name="_Toc144109232"/>
      <w:r>
        <w:rPr>
          <w:b/>
          <w:color w:val="auto"/>
          <w:sz w:val="30"/>
          <w:szCs w:val="30"/>
        </w:rPr>
        <w:t xml:space="preserve">10.2 </w:t>
      </w:r>
      <w:r>
        <w:rPr>
          <w:rFonts w:hint="eastAsia" w:ascii="宋体" w:hAnsi="宋体"/>
          <w:b/>
          <w:color w:val="auto"/>
          <w:sz w:val="30"/>
          <w:szCs w:val="30"/>
        </w:rPr>
        <w:t>安全条件的</w:t>
      </w:r>
      <w:r>
        <w:rPr>
          <w:rFonts w:ascii="宋体" w:hAnsi="宋体"/>
          <w:b/>
          <w:color w:val="auto"/>
          <w:sz w:val="30"/>
          <w:szCs w:val="30"/>
        </w:rPr>
        <w:t>评价结果</w:t>
      </w:r>
      <w:bookmarkEnd w:id="242"/>
    </w:p>
    <w:p>
      <w:pPr>
        <w:spacing w:line="360" w:lineRule="auto"/>
        <w:ind w:firstLine="560" w:firstLineChars="200"/>
        <w:jc w:val="left"/>
        <w:rPr>
          <w:rFonts w:ascii="宋体" w:hAnsi="宋体"/>
          <w:color w:val="auto"/>
          <w:sz w:val="28"/>
          <w:szCs w:val="28"/>
        </w:rPr>
      </w:pPr>
      <w:r>
        <w:rPr>
          <w:rFonts w:hint="eastAsia"/>
          <w:color w:val="auto"/>
          <w:sz w:val="28"/>
          <w:szCs w:val="28"/>
        </w:rPr>
        <w:t>1.</w:t>
      </w:r>
      <w:r>
        <w:rPr>
          <w:rFonts w:hint="eastAsia" w:ascii="宋体" w:hAnsi="宋体"/>
          <w:color w:val="auto"/>
          <w:sz w:val="28"/>
          <w:szCs w:val="28"/>
        </w:rPr>
        <w:t>该项目拟建设于江西省吉安市新干县盐化工业城化工集控区内，新干县盐化工业城</w:t>
      </w:r>
      <w:r>
        <w:rPr>
          <w:rFonts w:hint="eastAsia" w:ascii="Arial" w:hAnsi="Arial" w:cs="Arial"/>
          <w:color w:val="auto"/>
          <w:kern w:val="0"/>
          <w:sz w:val="28"/>
          <w:szCs w:val="28"/>
        </w:rPr>
        <w:t>为</w:t>
      </w:r>
      <w:r>
        <w:rPr>
          <w:rFonts w:ascii="宋体" w:hAnsi="宋体" w:cs="Arial"/>
          <w:color w:val="auto"/>
          <w:kern w:val="0"/>
          <w:sz w:val="28"/>
          <w:szCs w:val="28"/>
        </w:rPr>
        <w:t>江西省化工园区名单</w:t>
      </w:r>
      <w:r>
        <w:rPr>
          <w:rFonts w:hint="eastAsia" w:ascii="宋体" w:hAnsi="宋体" w:cs="Arial"/>
          <w:color w:val="auto"/>
          <w:kern w:val="0"/>
          <w:sz w:val="28"/>
          <w:szCs w:val="28"/>
        </w:rPr>
        <w:t>中</w:t>
      </w:r>
      <w:r>
        <w:rPr>
          <w:rFonts w:ascii="宋体" w:hAnsi="宋体" w:cs="Arial"/>
          <w:color w:val="auto"/>
          <w:kern w:val="0"/>
          <w:sz w:val="28"/>
          <w:szCs w:val="28"/>
        </w:rPr>
        <w:t>第一批</w:t>
      </w:r>
      <w:r>
        <w:rPr>
          <w:rFonts w:hint="eastAsia" w:ascii="宋体" w:hAnsi="宋体" w:cs="Arial"/>
          <w:color w:val="auto"/>
          <w:kern w:val="0"/>
          <w:sz w:val="28"/>
          <w:szCs w:val="28"/>
        </w:rPr>
        <w:t>认定的化工园区</w:t>
      </w:r>
      <w:r>
        <w:rPr>
          <w:rFonts w:hint="eastAsia" w:ascii="宋体" w:hAnsi="宋体"/>
          <w:color w:val="auto"/>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2.该项目外部安全防护距离内无</w:t>
      </w:r>
      <w:r>
        <w:rPr>
          <w:rFonts w:ascii="宋体" w:hAnsi="宋体"/>
          <w:bCs/>
          <w:color w:val="auto"/>
          <w:kern w:val="0"/>
          <w:sz w:val="28"/>
          <w:szCs w:val="28"/>
        </w:rPr>
        <w:t>高敏感</w:t>
      </w:r>
      <w:r>
        <w:rPr>
          <w:rFonts w:hint="eastAsia" w:ascii="宋体" w:hAnsi="宋体"/>
          <w:bCs/>
          <w:color w:val="auto"/>
          <w:kern w:val="0"/>
          <w:sz w:val="28"/>
          <w:szCs w:val="28"/>
        </w:rPr>
        <w:t>防护</w:t>
      </w:r>
      <w:r>
        <w:rPr>
          <w:rFonts w:ascii="宋体" w:hAnsi="宋体"/>
          <w:bCs/>
          <w:color w:val="auto"/>
          <w:kern w:val="0"/>
          <w:sz w:val="28"/>
          <w:szCs w:val="28"/>
        </w:rPr>
        <w:t>目标、</w:t>
      </w:r>
      <w:r>
        <w:rPr>
          <w:rFonts w:hint="eastAsia" w:ascii="宋体" w:hAnsi="宋体"/>
          <w:bCs/>
          <w:color w:val="auto"/>
          <w:kern w:val="0"/>
          <w:sz w:val="28"/>
          <w:szCs w:val="28"/>
        </w:rPr>
        <w:t>重要防护目标及一般防护目标</w:t>
      </w:r>
      <w:r>
        <w:rPr>
          <w:rFonts w:hint="eastAsia" w:ascii="宋体" w:hAnsi="宋体"/>
          <w:color w:val="auto"/>
          <w:sz w:val="28"/>
          <w:szCs w:val="28"/>
        </w:rPr>
        <w:t xml:space="preserve">。 </w:t>
      </w:r>
    </w:p>
    <w:p>
      <w:pPr>
        <w:spacing w:line="360" w:lineRule="auto"/>
        <w:ind w:firstLine="560" w:firstLineChars="200"/>
        <w:rPr>
          <w:color w:val="auto"/>
          <w:sz w:val="28"/>
          <w:szCs w:val="28"/>
        </w:rPr>
      </w:pPr>
      <w:r>
        <w:rPr>
          <w:rFonts w:hint="eastAsia" w:ascii="宋体" w:hAnsi="宋体"/>
          <w:color w:val="auto"/>
          <w:kern w:val="0"/>
          <w:sz w:val="28"/>
          <w:szCs w:val="28"/>
        </w:rPr>
        <w:t>3.该项目距离西侧赣江超过1000m，</w:t>
      </w:r>
      <w:r>
        <w:rPr>
          <w:rStyle w:val="63"/>
          <w:rFonts w:hint="eastAsia" w:ascii="宋体" w:hAnsi="宋体" w:cs="Arial"/>
          <w:color w:val="auto"/>
          <w:sz w:val="28"/>
          <w:szCs w:val="28"/>
        </w:rPr>
        <w:t>厂区内部拟设计排水系统，可有效防洪、防涝。</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4.该项目所在地有较好的运输条件，并符合本地区产业发展和土地利用总体规划，符合国家产业政策，该项目已通过</w:t>
      </w:r>
      <w:r>
        <w:rPr>
          <w:rStyle w:val="63"/>
          <w:rFonts w:hint="eastAsia" w:ascii="宋体" w:hAnsi="宋体" w:cs="Arial"/>
          <w:color w:val="auto"/>
          <w:sz w:val="28"/>
          <w:szCs w:val="28"/>
        </w:rPr>
        <w:t>新干县</w:t>
      </w:r>
      <w:r>
        <w:rPr>
          <w:rFonts w:hint="eastAsia" w:ascii="宋体" w:hAnsi="宋体"/>
          <w:color w:val="auto"/>
          <w:sz w:val="28"/>
          <w:szCs w:val="28"/>
        </w:rPr>
        <w:t>发展和改革委员会项目备案。</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5.主要生产装置、设施平面布置符合《化工企业总图运输设计规范》、《精细化工企业工程设计防火标准》、《建筑设计防火规范》的要求。</w:t>
      </w:r>
    </w:p>
    <w:p>
      <w:pPr>
        <w:spacing w:line="360" w:lineRule="auto"/>
        <w:ind w:firstLine="560" w:firstLineChars="200"/>
        <w:rPr>
          <w:rFonts w:ascii="宋体" w:hAnsi="宋体"/>
          <w:color w:val="auto"/>
          <w:sz w:val="28"/>
          <w:szCs w:val="28"/>
        </w:rPr>
      </w:pPr>
      <w:r>
        <w:rPr>
          <w:rFonts w:hint="eastAsia" w:ascii="宋体" w:hAnsi="宋体"/>
          <w:color w:val="auto"/>
          <w:sz w:val="28"/>
          <w:szCs w:val="28"/>
        </w:rPr>
        <w:t>6.通过事故模拟分析，该项目发生事故的影响区域超出厂区，液氨钢瓶、液氮罐容器整体破裂、容器物理爆炸时引发中毒、池火、物理爆炸事故，</w:t>
      </w:r>
      <w:r>
        <w:rPr>
          <w:rFonts w:hint="eastAsia" w:ascii="宋体" w:hAnsi="宋体"/>
          <w:color w:val="auto"/>
          <w:kern w:val="0"/>
          <w:sz w:val="28"/>
          <w:szCs w:val="28"/>
        </w:rPr>
        <w:t>但多米诺事故的半径未超出厂界；</w:t>
      </w:r>
      <w:r>
        <w:rPr>
          <w:rFonts w:hint="eastAsia" w:ascii="宋体" w:hAnsi="宋体"/>
          <w:color w:val="auto"/>
          <w:sz w:val="28"/>
          <w:szCs w:val="28"/>
        </w:rPr>
        <w:t>设计时应重点考虑发生多米诺事故装置的安全设施及措施设计，避免事故发生，减少事故的发生的概率及影响范围。</w:t>
      </w:r>
    </w:p>
    <w:p>
      <w:pPr>
        <w:spacing w:line="360" w:lineRule="auto"/>
        <w:ind w:firstLine="560" w:firstLineChars="200"/>
        <w:rPr>
          <w:rFonts w:ascii="宋体" w:hAnsi="宋体"/>
          <w:color w:val="auto"/>
          <w:sz w:val="28"/>
          <w:szCs w:val="28"/>
        </w:rPr>
      </w:pPr>
      <w:r>
        <w:rPr>
          <w:rFonts w:hint="eastAsia" w:ascii="宋体" w:hAnsi="宋体"/>
          <w:color w:val="auto"/>
          <w:sz w:val="28"/>
          <w:szCs w:val="28"/>
        </w:rPr>
        <w:t>7.依据3.9节个人风险和社会风险计算，该项目个人风险等值线部分超出该公司厂界，其包括区域内无高敏感防护目标、重要防护目标、一般防护目标；不存在社会风险。外部安全防护距离无高敏感防护目标、重要防护目标及一般防护。</w:t>
      </w:r>
    </w:p>
    <w:p>
      <w:pPr>
        <w:spacing w:line="360" w:lineRule="auto"/>
        <w:ind w:firstLine="560" w:firstLineChars="200"/>
        <w:rPr>
          <w:rFonts w:ascii="宋体" w:hAnsi="宋体"/>
          <w:color w:val="auto"/>
          <w:sz w:val="28"/>
          <w:szCs w:val="28"/>
        </w:rPr>
      </w:pPr>
      <w:r>
        <w:rPr>
          <w:rFonts w:hint="eastAsia" w:ascii="宋体" w:hAnsi="宋体"/>
          <w:color w:val="auto"/>
          <w:sz w:val="28"/>
          <w:szCs w:val="28"/>
        </w:rPr>
        <w:t>8.该项目建成投产后正常运行时不会对周围环境产生影响。该项目正常情况下周边生产、经营活动和居民生活情况不会对该项目产生影响。该项目正常情况下自然条件不会对该项目产生影响。</w:t>
      </w:r>
    </w:p>
    <w:p>
      <w:pPr>
        <w:keepNext/>
        <w:keepLines/>
        <w:spacing w:line="600" w:lineRule="exact"/>
        <w:jc w:val="left"/>
        <w:outlineLvl w:val="1"/>
        <w:rPr>
          <w:b/>
          <w:color w:val="auto"/>
          <w:sz w:val="30"/>
          <w:szCs w:val="30"/>
        </w:rPr>
      </w:pPr>
      <w:bookmarkStart w:id="243" w:name="_Toc144109233"/>
      <w:r>
        <w:rPr>
          <w:b/>
          <w:color w:val="auto"/>
          <w:sz w:val="30"/>
          <w:szCs w:val="30"/>
        </w:rPr>
        <w:t>10.3</w:t>
      </w:r>
      <w:r>
        <w:rPr>
          <w:rFonts w:hint="eastAsia"/>
          <w:b/>
          <w:color w:val="auto"/>
          <w:sz w:val="30"/>
          <w:szCs w:val="30"/>
        </w:rPr>
        <w:t xml:space="preserve"> </w:t>
      </w:r>
      <w:r>
        <w:rPr>
          <w:rFonts w:ascii="宋体" w:hAnsi="宋体"/>
          <w:b/>
          <w:color w:val="auto"/>
          <w:sz w:val="30"/>
          <w:szCs w:val="30"/>
        </w:rPr>
        <w:t>项目应重视的安全对策措施建议</w:t>
      </w:r>
      <w:bookmarkEnd w:id="243"/>
    </w:p>
    <w:p>
      <w:pPr>
        <w:keepNext w:val="0"/>
        <w:keepLines w:val="0"/>
        <w:pageBreakBefore w:val="0"/>
        <w:widowControl w:val="0"/>
        <w:numPr>
          <w:ilvl w:val="0"/>
          <w:numId w:val="27"/>
        </w:numPr>
        <w:kinsoku/>
        <w:wordWrap/>
        <w:overflowPunct/>
        <w:topLinePunct w:val="0"/>
        <w:autoSpaceDE/>
        <w:autoSpaceDN/>
        <w:bidi w:val="0"/>
        <w:snapToGrid/>
        <w:spacing w:line="360" w:lineRule="auto"/>
        <w:ind w:left="0" w:leftChars="0" w:firstLine="560" w:firstLineChars="200"/>
        <w:textAlignment w:val="auto"/>
        <w:rPr>
          <w:rFonts w:ascii="宋体" w:hAnsi="宋体"/>
          <w:color w:val="auto"/>
          <w:sz w:val="28"/>
          <w:szCs w:val="28"/>
        </w:rPr>
      </w:pPr>
      <w:r>
        <w:rPr>
          <w:rFonts w:hint="eastAsia" w:ascii="宋体" w:hAnsi="宋体"/>
          <w:color w:val="auto"/>
          <w:kern w:val="0"/>
          <w:sz w:val="28"/>
          <w:szCs w:val="28"/>
        </w:rPr>
        <w:t>该公司所在地</w:t>
      </w:r>
      <w:r>
        <w:rPr>
          <w:rFonts w:hint="eastAsia" w:ascii="宋体" w:hAnsi="宋体"/>
          <w:color w:val="auto"/>
          <w:sz w:val="28"/>
          <w:szCs w:val="28"/>
        </w:rPr>
        <w:t>地震烈度小于Ⅵ度，</w:t>
      </w:r>
      <w:r>
        <w:rPr>
          <w:rFonts w:hint="eastAsia" w:ascii="宋体" w:hAnsi="宋体"/>
          <w:color w:val="auto"/>
          <w:kern w:val="0"/>
          <w:sz w:val="28"/>
          <w:szCs w:val="28"/>
        </w:rPr>
        <w:t>建设单位应根据场地地震基本烈度，作抗震设防。抗震设防按《建筑抗震设计规范》（GB50011-2010）和《构筑物抗震设计规范》（GB50191-2012）执行，其中重要构筑物（1</w:t>
      </w:r>
      <w:r>
        <w:rPr>
          <w:rFonts w:ascii="宋体" w:hAnsi="宋体"/>
          <w:color w:val="auto"/>
          <w:kern w:val="0"/>
          <w:sz w:val="28"/>
          <w:szCs w:val="28"/>
        </w:rPr>
        <w:t>01</w:t>
      </w:r>
      <w:r>
        <w:rPr>
          <w:rFonts w:hint="eastAsia" w:ascii="宋体" w:hAnsi="宋体"/>
          <w:color w:val="auto"/>
          <w:kern w:val="0"/>
          <w:sz w:val="28"/>
          <w:szCs w:val="28"/>
        </w:rPr>
        <w:t>甲类车间一、2</w:t>
      </w:r>
      <w:r>
        <w:rPr>
          <w:rFonts w:ascii="宋体" w:hAnsi="宋体"/>
          <w:color w:val="auto"/>
          <w:kern w:val="0"/>
          <w:sz w:val="28"/>
          <w:szCs w:val="28"/>
        </w:rPr>
        <w:t>01</w:t>
      </w:r>
      <w:r>
        <w:rPr>
          <w:rFonts w:hint="eastAsia" w:ascii="宋体" w:hAnsi="宋体"/>
          <w:color w:val="auto"/>
          <w:kern w:val="0"/>
          <w:sz w:val="28"/>
          <w:szCs w:val="28"/>
        </w:rPr>
        <w:t>甲类仓库一、2</w:t>
      </w:r>
      <w:r>
        <w:rPr>
          <w:rFonts w:ascii="宋体" w:hAnsi="宋体"/>
          <w:color w:val="auto"/>
          <w:kern w:val="0"/>
          <w:sz w:val="28"/>
          <w:szCs w:val="28"/>
        </w:rPr>
        <w:t>02</w:t>
      </w:r>
      <w:r>
        <w:rPr>
          <w:rFonts w:hint="eastAsia" w:ascii="宋体" w:hAnsi="宋体"/>
          <w:color w:val="auto"/>
          <w:kern w:val="0"/>
          <w:sz w:val="28"/>
          <w:szCs w:val="28"/>
        </w:rPr>
        <w:t>甲类仓库二、2</w:t>
      </w:r>
      <w:r>
        <w:rPr>
          <w:rFonts w:ascii="宋体" w:hAnsi="宋体"/>
          <w:color w:val="auto"/>
          <w:kern w:val="0"/>
          <w:sz w:val="28"/>
          <w:szCs w:val="28"/>
        </w:rPr>
        <w:t>05</w:t>
      </w:r>
      <w:r>
        <w:rPr>
          <w:rFonts w:hint="eastAsia" w:ascii="宋体" w:hAnsi="宋体"/>
          <w:color w:val="auto"/>
          <w:kern w:val="0"/>
          <w:sz w:val="28"/>
          <w:szCs w:val="28"/>
        </w:rPr>
        <w:t>甲类仓库三）抗震设防应采用7度。</w:t>
      </w:r>
    </w:p>
    <w:p>
      <w:pPr>
        <w:keepNext w:val="0"/>
        <w:keepLines w:val="0"/>
        <w:pageBreakBefore w:val="0"/>
        <w:widowControl w:val="0"/>
        <w:numPr>
          <w:ilvl w:val="0"/>
          <w:numId w:val="27"/>
        </w:numPr>
        <w:kinsoku/>
        <w:wordWrap/>
        <w:overflowPunct/>
        <w:topLinePunct w:val="0"/>
        <w:autoSpaceDE/>
        <w:autoSpaceDN/>
        <w:bidi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kern w:val="0"/>
          <w:sz w:val="28"/>
          <w:szCs w:val="28"/>
        </w:rPr>
        <w:t>在工程设计前应根据勘查结果和地质资料和工程的要求，因地制宜，采取以地基处理为主的综合措施，对所有建筑、设备、设施等的基础采取相应的加固处理措施，防止地基湿陷对建筑物产生危害。</w:t>
      </w:r>
      <w:r>
        <w:rPr>
          <w:rFonts w:hint="eastAsia" w:ascii="宋体" w:hAnsi="宋体"/>
          <w:color w:val="auto"/>
          <w:sz w:val="28"/>
          <w:szCs w:val="28"/>
        </w:rPr>
        <w:t>按要求做好该项目的埋地电缆、排水的设计与施工。</w:t>
      </w:r>
    </w:p>
    <w:p>
      <w:pPr>
        <w:keepNext w:val="0"/>
        <w:keepLines w:val="0"/>
        <w:pageBreakBefore w:val="0"/>
        <w:widowControl w:val="0"/>
        <w:numPr>
          <w:ilvl w:val="0"/>
          <w:numId w:val="27"/>
        </w:numPr>
        <w:kinsoku/>
        <w:wordWrap/>
        <w:overflowPunct/>
        <w:topLinePunct w:val="0"/>
        <w:autoSpaceDE/>
        <w:autoSpaceDN/>
        <w:bidi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sz w:val="28"/>
          <w:szCs w:val="28"/>
        </w:rPr>
        <w:t>企业要把反应安全风险评估作为安全管理的重要内容，新建项目要以反应安全风险评估结果为依据，开展工艺设计及安全设施设计，保证各项安全控制措施落实到位；</w:t>
      </w:r>
      <w:r>
        <w:rPr>
          <w:rFonts w:ascii="宋体" w:hAnsi="宋体"/>
          <w:color w:val="auto"/>
          <w:sz w:val="28"/>
          <w:szCs w:val="28"/>
        </w:rPr>
        <w:t>较高危险度等级的反应工艺过程应配置独立的安全仪表系统，其安全完整性等级应在过程危险分析的基础上，通过风险分析确定。</w:t>
      </w:r>
    </w:p>
    <w:p>
      <w:pPr>
        <w:keepNext w:val="0"/>
        <w:keepLines w:val="0"/>
        <w:pageBreakBefore w:val="0"/>
        <w:widowControl w:val="0"/>
        <w:numPr>
          <w:ilvl w:val="0"/>
          <w:numId w:val="27"/>
        </w:numPr>
        <w:kinsoku/>
        <w:wordWrap/>
        <w:overflowPunct/>
        <w:topLinePunct w:val="0"/>
        <w:autoSpaceDE/>
        <w:autoSpaceDN/>
        <w:bidi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依据《国家安全监管总局关于加强化工安全仪表系统管理的指导意见》（安监总管三〔2014〕116号），该项目设计危险化工工艺和重点监管危险化学品的化工装置和危险化学品储存设施要设计符合要求的安全仪表系统。其他装置、危险化学品储存设施安全仪表系统应执行功能安全相关标准要求，设计符合要求的安全仪表系统。</w:t>
      </w:r>
    </w:p>
    <w:p>
      <w:pPr>
        <w:keepNext w:val="0"/>
        <w:keepLines w:val="0"/>
        <w:pageBreakBefore w:val="0"/>
        <w:widowControl w:val="0"/>
        <w:numPr>
          <w:ilvl w:val="0"/>
          <w:numId w:val="27"/>
        </w:numPr>
        <w:kinsoku/>
        <w:wordWrap/>
        <w:overflowPunct/>
        <w:topLinePunct w:val="0"/>
        <w:autoSpaceDE/>
        <w:autoSpaceDN/>
        <w:bidi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企业要根据江西省化学化工学会出具的《国内首次使用的化工工艺技术安全可靠性论证报告》，对论证报告中提出的建议措施在后续设施设计中逐一落实。</w:t>
      </w:r>
    </w:p>
    <w:p>
      <w:pPr>
        <w:keepNext w:val="0"/>
        <w:keepLines w:val="0"/>
        <w:pageBreakBefore w:val="0"/>
        <w:widowControl w:val="0"/>
        <w:numPr>
          <w:ilvl w:val="0"/>
          <w:numId w:val="27"/>
        </w:numPr>
        <w:kinsoku/>
        <w:wordWrap/>
        <w:overflowPunct/>
        <w:topLinePunct w:val="0"/>
        <w:autoSpaceDE/>
        <w:autoSpaceDN/>
        <w:bidi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该项目应根据《江西省应急管理厅关于印发&lt;江西省化工企业自动化提升实施方案</w:t>
      </w:r>
      <w:r>
        <w:rPr>
          <w:rFonts w:ascii="宋体" w:hAnsi="宋体"/>
          <w:color w:val="auto"/>
          <w:kern w:val="0"/>
          <w:sz w:val="28"/>
          <w:szCs w:val="28"/>
        </w:rPr>
        <w:t>&gt;</w:t>
      </w:r>
      <w:r>
        <w:rPr>
          <w:rFonts w:hint="eastAsia" w:ascii="宋体" w:hAnsi="宋体"/>
          <w:color w:val="auto"/>
          <w:kern w:val="0"/>
          <w:sz w:val="28"/>
          <w:szCs w:val="28"/>
        </w:rPr>
        <w:t>（试行）的通知》（赣应急字〔20</w:t>
      </w:r>
      <w:r>
        <w:rPr>
          <w:rFonts w:ascii="宋体" w:hAnsi="宋体"/>
          <w:color w:val="auto"/>
          <w:kern w:val="0"/>
          <w:sz w:val="28"/>
          <w:szCs w:val="28"/>
        </w:rPr>
        <w:t>21</w:t>
      </w:r>
      <w:r>
        <w:rPr>
          <w:rFonts w:hint="eastAsia" w:ascii="宋体" w:hAnsi="宋体"/>
          <w:color w:val="auto"/>
          <w:kern w:val="0"/>
          <w:sz w:val="28"/>
          <w:szCs w:val="28"/>
        </w:rPr>
        <w:t>〕1</w:t>
      </w:r>
      <w:r>
        <w:rPr>
          <w:rFonts w:ascii="宋体" w:hAnsi="宋体"/>
          <w:color w:val="auto"/>
          <w:kern w:val="0"/>
          <w:sz w:val="28"/>
          <w:szCs w:val="28"/>
        </w:rPr>
        <w:t>90</w:t>
      </w:r>
      <w:r>
        <w:rPr>
          <w:rFonts w:hint="eastAsia" w:ascii="宋体" w:hAnsi="宋体"/>
          <w:color w:val="auto"/>
          <w:kern w:val="0"/>
          <w:sz w:val="28"/>
          <w:szCs w:val="28"/>
        </w:rPr>
        <w:t>号）的要求进行自动化控制系统设计。</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有爆炸危险的1</w:t>
      </w:r>
      <w:r>
        <w:rPr>
          <w:rFonts w:ascii="宋体" w:hAnsi="宋体"/>
          <w:color w:val="auto"/>
          <w:kern w:val="0"/>
          <w:sz w:val="28"/>
          <w:szCs w:val="28"/>
        </w:rPr>
        <w:t>01</w:t>
      </w:r>
      <w:r>
        <w:rPr>
          <w:rFonts w:hint="eastAsia" w:ascii="宋体" w:hAnsi="宋体"/>
          <w:color w:val="auto"/>
          <w:kern w:val="0"/>
          <w:sz w:val="28"/>
          <w:szCs w:val="28"/>
        </w:rPr>
        <w:t>甲类车间一应设置泄压设施。</w:t>
      </w:r>
      <w:r>
        <w:rPr>
          <w:rFonts w:hint="eastAsia" w:ascii="宋体" w:hAnsi="宋体"/>
          <w:color w:val="auto"/>
          <w:sz w:val="28"/>
          <w:szCs w:val="28"/>
        </w:rPr>
        <w:t>泄</w:t>
      </w:r>
      <w:r>
        <w:rPr>
          <w:rFonts w:hint="eastAsia" w:ascii="宋体" w:hAnsi="宋体"/>
          <w:color w:val="auto"/>
          <w:kern w:val="0"/>
          <w:sz w:val="28"/>
          <w:szCs w:val="28"/>
        </w:rPr>
        <w:t>压设施宜采用轻质屋面板、轻质墙体和易于泄压的门、窗等，应采用安全玻璃等在爆炸时不产生尖锐碎片的材料。泄压设施的设置应避开人员密集场所和主要交通道路，并宜靠近有爆炸危险的部位。作为泄压设施的轻质屋面板和墙体的质量不宜大于60kg/m</w:t>
      </w:r>
      <w:r>
        <w:rPr>
          <w:rFonts w:hint="eastAsia" w:ascii="宋体" w:hAnsi="宋体"/>
          <w:color w:val="auto"/>
          <w:kern w:val="0"/>
          <w:sz w:val="28"/>
          <w:szCs w:val="28"/>
          <w:vertAlign w:val="superscript"/>
        </w:rPr>
        <w:t>2</w:t>
      </w:r>
      <w:r>
        <w:rPr>
          <w:rFonts w:hint="eastAsia" w:ascii="宋体" w:hAnsi="宋体"/>
          <w:color w:val="auto"/>
          <w:kern w:val="0"/>
          <w:sz w:val="28"/>
          <w:szCs w:val="28"/>
        </w:rPr>
        <w:t>。厂房泄压面积与厂房体积的比值（平方米／立方米）宜采用0.10～</w:t>
      </w:r>
      <w:r>
        <w:rPr>
          <w:rFonts w:hint="eastAsia" w:ascii="宋体" w:hAnsi="宋体"/>
          <w:color w:val="auto"/>
          <w:sz w:val="28"/>
          <w:szCs w:val="28"/>
        </w:rPr>
        <w:t>0.22。</w:t>
      </w:r>
      <w:r>
        <w:rPr>
          <w:rFonts w:hint="eastAsia" w:ascii="宋体" w:hAnsi="宋体"/>
          <w:color w:val="auto"/>
          <w:kern w:val="0"/>
          <w:sz w:val="28"/>
          <w:szCs w:val="28"/>
        </w:rPr>
        <w:t>涉及高压、具有爆炸性设备装置车间内布置时，应避开避开厂房的梁、柱等主要承重构件布置。</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该项目原材料液氨为高毒物品，高毒作业场所与其他作业场所隔离，作业场所设置有效通风装置，可能突然泄漏大量有毒物品或者易造成急性中毒的作业场所，设置自动报警装置和事故联锁通风设施。</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企业要把反应安全风险评估作为安全管理的重要内容，新建项目要以反应安全风险评估结果为依据，开展工艺设计及安全设施设计，保证各项安全控制措施落实到位；</w:t>
      </w:r>
      <w:r>
        <w:rPr>
          <w:rFonts w:ascii="宋体" w:hAnsi="宋体"/>
          <w:color w:val="auto"/>
          <w:sz w:val="28"/>
          <w:szCs w:val="28"/>
        </w:rPr>
        <w:t>较高危险度等级的反应工艺过程应配置独立的安全仪表系统，其安全完整性等级应在过程危险分析的基础上，通过风险分析确定。</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依据《国家安全监管总局关于加强化工安全仪表系统管理的指导意见》（安监总管三〔2014〕116号），该项目设计危险化工工艺和重点监管危险化学品的化工装置和危险化学品储存设施要设计符合要求的安全仪表系统。其他装置、危险化学品储存设施安全仪表系统应执行功能安全相关标准要求，设计符合要求的安全仪表系统。</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该项目应根据《江西省应急管理厅关于印发&lt;江西省化工企业自动化提升实施方案</w:t>
      </w:r>
      <w:r>
        <w:rPr>
          <w:rFonts w:ascii="宋体" w:hAnsi="宋体"/>
          <w:color w:val="auto"/>
          <w:kern w:val="0"/>
          <w:sz w:val="28"/>
          <w:szCs w:val="28"/>
        </w:rPr>
        <w:t>&gt;</w:t>
      </w:r>
      <w:r>
        <w:rPr>
          <w:rFonts w:hint="eastAsia" w:ascii="宋体" w:hAnsi="宋体"/>
          <w:color w:val="auto"/>
          <w:kern w:val="0"/>
          <w:sz w:val="28"/>
          <w:szCs w:val="28"/>
        </w:rPr>
        <w:t>（试行）的通知》（赣应急字〔20</w:t>
      </w:r>
      <w:r>
        <w:rPr>
          <w:rFonts w:ascii="宋体" w:hAnsi="宋体"/>
          <w:color w:val="auto"/>
          <w:kern w:val="0"/>
          <w:sz w:val="28"/>
          <w:szCs w:val="28"/>
        </w:rPr>
        <w:t>21</w:t>
      </w:r>
      <w:r>
        <w:rPr>
          <w:rFonts w:hint="eastAsia" w:ascii="宋体" w:hAnsi="宋体"/>
          <w:color w:val="auto"/>
          <w:kern w:val="0"/>
          <w:sz w:val="28"/>
          <w:szCs w:val="28"/>
        </w:rPr>
        <w:t>〕1</w:t>
      </w:r>
      <w:r>
        <w:rPr>
          <w:rFonts w:ascii="宋体" w:hAnsi="宋体"/>
          <w:color w:val="auto"/>
          <w:kern w:val="0"/>
          <w:sz w:val="28"/>
          <w:szCs w:val="28"/>
        </w:rPr>
        <w:t>90</w:t>
      </w:r>
      <w:r>
        <w:rPr>
          <w:rFonts w:hint="eastAsia" w:ascii="宋体" w:hAnsi="宋体"/>
          <w:color w:val="auto"/>
          <w:kern w:val="0"/>
          <w:sz w:val="28"/>
          <w:szCs w:val="28"/>
        </w:rPr>
        <w:t>号）的要求进行自动化控制系统设计。</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新建生产车间、仓库应设置音视频监控报警系统，监视突发的危险因素或初期的火灾报警等情况。摄像头的设置个数和位置，应根据现场的实际情况而定，既要覆盖全面，也要重点考虑危险性较大的区域。摄像视频监控报警系统应可实现与危险参数监控报警的联动。</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该项目</w:t>
      </w:r>
      <w:r>
        <w:rPr>
          <w:rFonts w:ascii="宋体" w:hAnsi="宋体"/>
          <w:color w:val="auto"/>
          <w:sz w:val="28"/>
          <w:szCs w:val="28"/>
        </w:rPr>
        <w:t>24-</w:t>
      </w:r>
      <w:r>
        <w:rPr>
          <w:rFonts w:hint="eastAsia" w:ascii="宋体" w:hAnsi="宋体"/>
          <w:color w:val="auto"/>
          <w:sz w:val="28"/>
          <w:szCs w:val="28"/>
        </w:rPr>
        <w:t>表芸苔素内酯合成涉及重点监管</w:t>
      </w:r>
      <w:r>
        <w:rPr>
          <w:rFonts w:hint="eastAsia" w:ascii="宋体" w:hAnsi="宋体" w:cs="Arial"/>
          <w:bCs/>
          <w:smallCaps/>
          <w:color w:val="auto"/>
          <w:sz w:val="28"/>
          <w:szCs w:val="28"/>
        </w:rPr>
        <w:t>磺化工艺和氧化工艺</w:t>
      </w:r>
      <w:r>
        <w:rPr>
          <w:rFonts w:hint="eastAsia" w:ascii="宋体" w:hAnsi="宋体"/>
          <w:color w:val="auto"/>
          <w:sz w:val="28"/>
          <w:szCs w:val="28"/>
        </w:rPr>
        <w:t>；2</w:t>
      </w:r>
      <w:r>
        <w:rPr>
          <w:rFonts w:ascii="宋体" w:hAnsi="宋体"/>
          <w:color w:val="auto"/>
          <w:sz w:val="28"/>
          <w:szCs w:val="28"/>
        </w:rPr>
        <w:t>8-</w:t>
      </w:r>
      <w:r>
        <w:rPr>
          <w:rFonts w:hint="eastAsia" w:ascii="宋体" w:hAnsi="宋体"/>
          <w:color w:val="auto"/>
          <w:sz w:val="28"/>
          <w:szCs w:val="28"/>
        </w:rPr>
        <w:t>高芸苔素内酯合成涉及重点监管磺化工艺和氧化工艺；丙酰芸苔素内酯合成涉及重点监管磺化工艺和氧化工艺</w:t>
      </w:r>
      <w:r>
        <w:rPr>
          <w:rFonts w:hint="eastAsia" w:ascii="宋体" w:hAnsi="宋体" w:cs="Arial"/>
          <w:bCs/>
          <w:smallCaps/>
          <w:color w:val="auto"/>
          <w:sz w:val="28"/>
          <w:szCs w:val="28"/>
        </w:rPr>
        <w:t>；</w:t>
      </w:r>
      <w:r>
        <w:rPr>
          <w:rFonts w:hint="eastAsia" w:ascii="宋体" w:hAnsi="宋体"/>
          <w:color w:val="auto"/>
          <w:kern w:val="0"/>
          <w:sz w:val="28"/>
          <w:szCs w:val="28"/>
        </w:rPr>
        <w:t>建设单位应当根据涉及重点监管的危险工艺生产、使用工艺（方式）或者相关设备、设施等实际情况，按照3.3.2节要求完善</w:t>
      </w:r>
      <w:r>
        <w:rPr>
          <w:rFonts w:hint="eastAsia" w:ascii="宋体" w:hAnsi="宋体"/>
          <w:color w:val="auto"/>
          <w:sz w:val="28"/>
          <w:szCs w:val="28"/>
        </w:rPr>
        <w:t>重点监控参数、各上下游工序间联锁控制装置、安全监控及自动控制方案。</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该项目涉及重点监管的危险化学品为</w:t>
      </w:r>
      <w:r>
        <w:rPr>
          <w:rFonts w:hint="eastAsia"/>
          <w:color w:val="auto"/>
          <w:sz w:val="28"/>
          <w:szCs w:val="28"/>
        </w:rPr>
        <w:t>液氨、甲醇、乙酸乙酯、甲苯、中间产物二氧化硫、中间产物氢气</w:t>
      </w:r>
      <w:r>
        <w:rPr>
          <w:rFonts w:hint="eastAsia" w:ascii="宋体" w:hAnsi="宋体"/>
          <w:color w:val="auto"/>
          <w:kern w:val="0"/>
          <w:sz w:val="28"/>
          <w:szCs w:val="28"/>
        </w:rPr>
        <w:t>等，建设单位应当根据涉及重点监管的危险化学品的数量、生产、使用工艺（方式）或者相关设备、设施等实际情况，按照3.3.2节要求完善安全措施和应急处置措施。</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hint="eastAsia" w:ascii="宋体" w:hAnsi="宋体"/>
          <w:color w:val="auto"/>
          <w:kern w:val="0"/>
          <w:sz w:val="28"/>
          <w:szCs w:val="28"/>
        </w:rPr>
        <w:t>该项目涉及的</w:t>
      </w:r>
      <w:r>
        <w:rPr>
          <w:rFonts w:hint="eastAsia" w:ascii="宋体" w:hAnsi="宋体"/>
          <w:color w:val="auto"/>
          <w:sz w:val="28"/>
          <w:szCs w:val="28"/>
        </w:rPr>
        <w:t>液氨</w:t>
      </w:r>
      <w:r>
        <w:rPr>
          <w:rFonts w:hint="eastAsia" w:ascii="宋体" w:hAnsi="宋体"/>
          <w:color w:val="auto"/>
          <w:kern w:val="0"/>
          <w:sz w:val="28"/>
          <w:szCs w:val="28"/>
        </w:rPr>
        <w:t>钢瓶的称重、温度压力及其</w:t>
      </w:r>
      <w:r>
        <w:rPr>
          <w:rFonts w:hint="eastAsia" w:ascii="宋体" w:hAnsi="宋体"/>
          <w:color w:val="auto"/>
          <w:sz w:val="28"/>
          <w:szCs w:val="28"/>
        </w:rPr>
        <w:t>机泵、控制阀门的开关状态，应在相关项目自动控制系统内均有显示，</w:t>
      </w:r>
      <w:r>
        <w:rPr>
          <w:rFonts w:hint="eastAsia" w:ascii="宋体" w:hAnsi="宋体"/>
          <w:color w:val="auto"/>
          <w:kern w:val="0"/>
          <w:sz w:val="28"/>
          <w:szCs w:val="28"/>
        </w:rPr>
        <w:t>应设置动联锁切断装置，检测和报警信号传至</w:t>
      </w:r>
      <w:r>
        <w:rPr>
          <w:rFonts w:hint="eastAsia" w:ascii="宋体" w:hAnsi="宋体"/>
          <w:color w:val="auto"/>
          <w:sz w:val="28"/>
          <w:szCs w:val="28"/>
        </w:rPr>
        <w:t>相关项目自动控制系统</w:t>
      </w:r>
      <w:r>
        <w:rPr>
          <w:rFonts w:hint="eastAsia" w:ascii="宋体" w:hAnsi="宋体"/>
          <w:color w:val="auto"/>
          <w:kern w:val="0"/>
          <w:sz w:val="28"/>
          <w:szCs w:val="28"/>
        </w:rPr>
        <w:t>。环境温度变化可能导致体积膨胀而超压的液体管道，应设有安全泄压装置。</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爆炸性气体环境电气设备的选择应符合下列规定：（1）根据爆炸危险区域的分区、电气设备的种类和防爆结构的要求，应选择相应的电气设备。涉及丙酮、甲苯、液氨等具有易燃易爆性物料的场所内的设备防爆等级应不低于Ⅱ类，A级T1组</w:t>
      </w:r>
      <w:r>
        <w:rPr>
          <w:rFonts w:hint="eastAsia" w:ascii="宋体" w:hAnsi="宋体" w:cs="Arial"/>
          <w:color w:val="auto"/>
          <w:sz w:val="28"/>
          <w:szCs w:val="28"/>
        </w:rPr>
        <w:t>。该项目涉及丁酮、DMF、乙酸乙酯、叔丁醇、甲醇、乙醇、丙酸酐、异丙醇等</w:t>
      </w:r>
      <w:r>
        <w:rPr>
          <w:rFonts w:hint="eastAsia" w:ascii="宋体" w:hAnsi="宋体"/>
          <w:color w:val="auto"/>
          <w:sz w:val="28"/>
          <w:szCs w:val="28"/>
        </w:rPr>
        <w:t>具有易燃易爆性物料</w:t>
      </w:r>
      <w:r>
        <w:rPr>
          <w:rFonts w:hint="eastAsia" w:ascii="宋体" w:hAnsi="宋体" w:cs="Arial"/>
          <w:color w:val="auto"/>
          <w:sz w:val="28"/>
          <w:szCs w:val="28"/>
        </w:rPr>
        <w:t>场所内电气防爆等级应不低于Ⅱ类，</w:t>
      </w:r>
      <w:r>
        <w:rPr>
          <w:rFonts w:hint="eastAsia" w:ascii="宋体" w:hAnsi="宋体"/>
          <w:color w:val="auto"/>
          <w:sz w:val="28"/>
          <w:szCs w:val="28"/>
        </w:rPr>
        <w:t>A级T</w:t>
      </w:r>
      <w:r>
        <w:rPr>
          <w:rFonts w:ascii="宋体" w:hAnsi="宋体"/>
          <w:color w:val="auto"/>
          <w:sz w:val="28"/>
          <w:szCs w:val="28"/>
        </w:rPr>
        <w:t>2</w:t>
      </w:r>
      <w:r>
        <w:rPr>
          <w:rFonts w:hint="eastAsia" w:ascii="宋体" w:hAnsi="宋体"/>
          <w:color w:val="auto"/>
          <w:sz w:val="28"/>
          <w:szCs w:val="28"/>
        </w:rPr>
        <w:t>组</w:t>
      </w:r>
      <w:r>
        <w:rPr>
          <w:rFonts w:hint="eastAsia" w:ascii="宋体" w:hAnsi="宋体" w:cs="Arial"/>
          <w:color w:val="auto"/>
          <w:sz w:val="28"/>
          <w:szCs w:val="28"/>
        </w:rPr>
        <w:t>; 涉及四氢呋喃场所内电气防爆等级应不低于Ⅱ类，</w:t>
      </w:r>
      <w:r>
        <w:rPr>
          <w:rFonts w:hint="eastAsia" w:ascii="宋体" w:hAnsi="宋体"/>
          <w:color w:val="auto"/>
          <w:sz w:val="28"/>
          <w:szCs w:val="28"/>
        </w:rPr>
        <w:t>B级T</w:t>
      </w:r>
      <w:r>
        <w:rPr>
          <w:rFonts w:ascii="宋体" w:hAnsi="宋体"/>
          <w:color w:val="auto"/>
          <w:sz w:val="28"/>
          <w:szCs w:val="28"/>
        </w:rPr>
        <w:t>3</w:t>
      </w:r>
      <w:r>
        <w:rPr>
          <w:rFonts w:hint="eastAsia" w:ascii="宋体" w:hAnsi="宋体"/>
          <w:color w:val="auto"/>
          <w:sz w:val="28"/>
          <w:szCs w:val="28"/>
        </w:rPr>
        <w:t>组；</w:t>
      </w:r>
      <w:r>
        <w:rPr>
          <w:rFonts w:hint="eastAsia" w:ascii="宋体" w:hAnsi="宋体" w:cs="Arial"/>
          <w:color w:val="auto"/>
          <w:sz w:val="28"/>
          <w:szCs w:val="28"/>
        </w:rPr>
        <w:t>涉及石油醚场所内电气防爆等级应不低于Ⅱ类，</w:t>
      </w:r>
      <w:r>
        <w:rPr>
          <w:rFonts w:hint="eastAsia" w:ascii="宋体" w:hAnsi="宋体"/>
          <w:color w:val="auto"/>
          <w:sz w:val="28"/>
          <w:szCs w:val="28"/>
        </w:rPr>
        <w:t>A级T</w:t>
      </w:r>
      <w:r>
        <w:rPr>
          <w:rFonts w:ascii="宋体" w:hAnsi="宋体"/>
          <w:color w:val="auto"/>
          <w:sz w:val="28"/>
          <w:szCs w:val="28"/>
        </w:rPr>
        <w:t>3</w:t>
      </w:r>
      <w:r>
        <w:rPr>
          <w:rFonts w:hint="eastAsia" w:ascii="宋体" w:hAnsi="宋体"/>
          <w:color w:val="auto"/>
          <w:sz w:val="28"/>
          <w:szCs w:val="28"/>
        </w:rPr>
        <w:t>组；防爆型电气设备或仪表因需要在爆炸危险区域使用非防爆设备时应采取隔爆措施。（2）选用的防爆电气设备的级别和组别，不应低于该爆炸性气体环境内爆炸性气体混合物的级别和组别。当存在有两种以上易燃性物质形成的爆炸性气体混合物时，应按危险程度较高的级别和组别选用防爆电气设备。（3）爆炸危险区域内的电气设备，应符合周围环境内化学的、机械的、热的、霉菌以及风沙等不同环境条件对电气设备的要求。</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shd w:val="clear" w:color="auto" w:fill="FFFFFF"/>
        </w:rPr>
      </w:pPr>
      <w:r>
        <w:rPr>
          <w:rFonts w:hint="eastAsia" w:ascii="宋体" w:hAnsi="宋体"/>
          <w:color w:val="auto"/>
          <w:sz w:val="28"/>
          <w:szCs w:val="28"/>
        </w:rPr>
        <w:t>该项目涉及采用离心机作业，</w:t>
      </w:r>
      <w:r>
        <w:rPr>
          <w:rFonts w:hint="eastAsia" w:ascii="宋体" w:hAnsi="宋体"/>
          <w:color w:val="auto"/>
          <w:sz w:val="28"/>
          <w:szCs w:val="28"/>
          <w:shd w:val="clear" w:color="auto" w:fill="FFFFFF"/>
        </w:rPr>
        <w:t>离心含有易燃易爆物料的溶液时，应确保离心机的密闭防爆并应采用惰性气体或其它气体保护；在离心机氮气保护系统设计中设置在线氧气检测装置和压力变送传感器，对运行过程中的离心机内腔的氧气浓度进行检测，实行定量的控制，控制其氧气含量在安全范围以内(也即保证机内的氧气浓度在易燃易爆介质的爆炸极限之外)。离心设备应设计发生故障、人员误操作危险状态时的自动报警、连锁保护装置和安全装置；</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该项目金属锂属于遇湿易燃类别1，应按甲类3、4项的要求存储在甲类仓库并应设置防水浸设施。</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剧毒化学品、易制毒化学品、易制爆危险化学品应按规定将储存地点、储存数量、流向及管理人员的情况报相关部门备案，剧毒化学品应实行双人收发、双人保管制度。</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Calibri" w:hAnsi="Calibri"/>
          <w:color w:val="auto"/>
          <w:sz w:val="28"/>
          <w:szCs w:val="22"/>
        </w:rPr>
        <w:t>甲基磺酰氯存储仓库应设置防盗报警、视频监控，并设双锁，由双人收发和保管。仓库内应保持整洁，对散落的甲基磺酰氯及时清除。使用过的工作服和手套等用品必须存在在库外安全地点，妥善保管或及时处理。库房内温度不应超过3</w:t>
      </w:r>
      <w:r>
        <w:rPr>
          <w:rFonts w:ascii="Calibri" w:hAnsi="Calibri"/>
          <w:color w:val="auto"/>
          <w:sz w:val="28"/>
          <w:szCs w:val="22"/>
        </w:rPr>
        <w:t>5</w:t>
      </w:r>
      <w:r>
        <w:rPr>
          <w:rFonts w:hint="eastAsia" w:ascii="Calibri" w:hAnsi="Calibri"/>
          <w:color w:val="auto"/>
          <w:sz w:val="28"/>
          <w:szCs w:val="22"/>
        </w:rPr>
        <w:t>℃。</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建设单位应将</w:t>
      </w:r>
      <w:r>
        <w:rPr>
          <w:rFonts w:hint="eastAsia" w:ascii="Calibri" w:hAnsi="Calibri"/>
          <w:color w:val="auto"/>
          <w:sz w:val="28"/>
          <w:szCs w:val="22"/>
        </w:rPr>
        <w:t>甲基磺酰氯存储数量、地点及单位负责人等情况报当地公安部门和危险化学品监督管理部门备案。</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可燃气体和有毒气体的检测系统应采用两级报警。有毒气体和可燃气体同时报警时，有毒气体的报警级别应优先。报警信号应发送至现场报警器和有人值守的控制室的指示报警设备，并且进行声光报警。</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sz w:val="28"/>
          <w:szCs w:val="28"/>
        </w:rPr>
      </w:pPr>
      <w:r>
        <w:rPr>
          <w:rFonts w:hint="eastAsia" w:ascii="宋体" w:hAnsi="宋体"/>
          <w:color w:val="auto"/>
          <w:sz w:val="28"/>
          <w:szCs w:val="28"/>
        </w:rPr>
        <w:t>企业应根据建设项目生产工艺、技术、设备特点，原材料、辅助材料及产品的危险性，组织有关技术人员和有经验的员工，对所有的操作活动进行风险分析，制定相应的控制和预防措施，作为编制操作规程的依据，并根据生产操作岗位的设立情况，编制操作规程,并发放到相关岗位。</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color w:val="auto"/>
          <w:kern w:val="0"/>
          <w:sz w:val="28"/>
          <w:szCs w:val="28"/>
        </w:rPr>
      </w:pPr>
      <w:r>
        <w:rPr>
          <w:rFonts w:ascii="宋体" w:hAnsi="宋体"/>
          <w:color w:val="auto"/>
          <w:kern w:val="0"/>
          <w:sz w:val="28"/>
          <w:szCs w:val="28"/>
        </w:rPr>
        <w:t>建立健全安全生产责任制，各项管理制度及操作规程，加强特种设备安全管理，配备特种设备安全管理人员，完善各项基础资料，定期进行检测检验合格。</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color w:val="auto"/>
          <w:kern w:val="0"/>
          <w:sz w:val="28"/>
          <w:szCs w:val="28"/>
        </w:rPr>
      </w:pPr>
      <w:r>
        <w:rPr>
          <w:rFonts w:ascii="宋体" w:hAnsi="宋体"/>
          <w:color w:val="auto"/>
          <w:kern w:val="0"/>
          <w:sz w:val="28"/>
          <w:szCs w:val="28"/>
        </w:rPr>
        <w:t>主要负责人、安全管理人员应报名参加应急管理部门的危险化学品安全培训，考试合格取得相应的资格证书。</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color w:val="auto"/>
          <w:kern w:val="0"/>
          <w:sz w:val="28"/>
          <w:szCs w:val="28"/>
        </w:rPr>
      </w:pPr>
      <w:r>
        <w:rPr>
          <w:rFonts w:ascii="宋体" w:hAnsi="宋体"/>
          <w:color w:val="auto"/>
          <w:kern w:val="0"/>
          <w:sz w:val="28"/>
          <w:szCs w:val="28"/>
        </w:rPr>
        <w:t>严格特种作业人员安全管理，特种作业人员必须持证上岗作业，定期进行培训并考核合格，严格按照安全操作规程作业。</w:t>
      </w:r>
    </w:p>
    <w:p>
      <w:pPr>
        <w:keepNext w:val="0"/>
        <w:keepLines w:val="0"/>
        <w:pageBreakBefore w:val="0"/>
        <w:widowControl w:val="0"/>
        <w:numPr>
          <w:ilvl w:val="0"/>
          <w:numId w:val="27"/>
        </w:numPr>
        <w:kinsoku/>
        <w:wordWrap/>
        <w:overflowPunct/>
        <w:topLinePunct w:val="0"/>
        <w:autoSpaceDE/>
        <w:autoSpaceDN/>
        <w:bidi w:val="0"/>
        <w:adjustRightInd w:val="0"/>
        <w:snapToGrid/>
        <w:spacing w:line="600" w:lineRule="exact"/>
        <w:ind w:left="0" w:leftChars="0" w:firstLine="560" w:firstLineChars="200"/>
        <w:textAlignment w:val="auto"/>
        <w:rPr>
          <w:rFonts w:ascii="宋体" w:hAnsi="宋体"/>
          <w:color w:val="auto"/>
          <w:kern w:val="0"/>
          <w:sz w:val="28"/>
          <w:szCs w:val="28"/>
        </w:rPr>
      </w:pPr>
      <w:r>
        <w:rPr>
          <w:rFonts w:ascii="宋体" w:hAnsi="宋体"/>
          <w:color w:val="auto"/>
          <w:kern w:val="0"/>
          <w:sz w:val="28"/>
          <w:szCs w:val="28"/>
        </w:rPr>
        <w:t>加强员工安全培训，按要求给员工配备劳动防护用品，</w:t>
      </w:r>
      <w:r>
        <w:rPr>
          <w:rFonts w:hint="eastAsia" w:ascii="宋体" w:hAnsi="宋体"/>
          <w:color w:val="auto"/>
          <w:kern w:val="0"/>
          <w:sz w:val="28"/>
          <w:szCs w:val="28"/>
        </w:rPr>
        <w:t>尤其是防腐蚀防护用品，</w:t>
      </w:r>
      <w:r>
        <w:rPr>
          <w:rFonts w:ascii="宋体" w:hAnsi="宋体"/>
          <w:color w:val="auto"/>
          <w:kern w:val="0"/>
          <w:sz w:val="28"/>
          <w:szCs w:val="28"/>
        </w:rPr>
        <w:t>并督促其正确佩戴。</w:t>
      </w:r>
    </w:p>
    <w:p>
      <w:pPr>
        <w:keepNext/>
        <w:keepLines/>
        <w:spacing w:line="600" w:lineRule="exact"/>
        <w:jc w:val="left"/>
        <w:outlineLvl w:val="1"/>
        <w:rPr>
          <w:b/>
          <w:color w:val="auto"/>
          <w:sz w:val="30"/>
          <w:szCs w:val="30"/>
        </w:rPr>
      </w:pPr>
      <w:bookmarkStart w:id="244" w:name="_Toc144109234"/>
      <w:r>
        <w:rPr>
          <w:b/>
          <w:color w:val="auto"/>
          <w:sz w:val="30"/>
          <w:szCs w:val="30"/>
        </w:rPr>
        <w:t>10.4</w:t>
      </w:r>
      <w:r>
        <w:rPr>
          <w:rFonts w:hint="eastAsia"/>
          <w:b/>
          <w:color w:val="auto"/>
          <w:sz w:val="30"/>
          <w:szCs w:val="30"/>
        </w:rPr>
        <w:t xml:space="preserve"> </w:t>
      </w:r>
      <w:r>
        <w:rPr>
          <w:rFonts w:hint="eastAsia" w:ascii="宋体" w:hAnsi="宋体"/>
          <w:b/>
          <w:color w:val="auto"/>
          <w:sz w:val="30"/>
          <w:szCs w:val="30"/>
        </w:rPr>
        <w:t>主要技术、工艺和装置、设备、设施及其安全可靠性评价结果</w:t>
      </w:r>
      <w:bookmarkEnd w:id="244"/>
    </w:p>
    <w:p>
      <w:pPr>
        <w:spacing w:line="360" w:lineRule="auto"/>
        <w:ind w:firstLine="560" w:firstLineChars="200"/>
        <w:rPr>
          <w:rFonts w:ascii="宋体" w:hAnsi="宋体"/>
          <w:color w:val="auto"/>
          <w:sz w:val="28"/>
          <w:szCs w:val="28"/>
        </w:rPr>
      </w:pPr>
      <w:r>
        <w:rPr>
          <w:rFonts w:hint="eastAsia" w:ascii="宋体" w:hAnsi="宋体"/>
          <w:color w:val="auto"/>
          <w:sz w:val="28"/>
          <w:szCs w:val="28"/>
        </w:rPr>
        <w:t>1.该项目采用工艺流程经过了工艺技术认证，其技术方案是安全、可靠的。</w:t>
      </w:r>
    </w:p>
    <w:p>
      <w:pPr>
        <w:spacing w:line="360" w:lineRule="auto"/>
        <w:ind w:firstLine="560" w:firstLineChars="200"/>
        <w:rPr>
          <w:rFonts w:ascii="宋体" w:hAnsi="宋体"/>
          <w:color w:val="auto"/>
          <w:sz w:val="28"/>
          <w:szCs w:val="28"/>
        </w:rPr>
      </w:pPr>
      <w:r>
        <w:rPr>
          <w:rFonts w:hint="eastAsia" w:ascii="宋体" w:hAnsi="宋体"/>
          <w:color w:val="auto"/>
          <w:sz w:val="28"/>
          <w:szCs w:val="28"/>
        </w:rPr>
        <w:t>2.该项目拟采用DCS控制系统及SIS系统，过程控制系统拟设在控制室内，对重点部位生产装置和重点危险源管理实施DCS控制模式和程控模式，数据发送偏离时及时报警提醒或切断相关操作。该项目其它工段采用就地与集中相结合的控制方式，对重要的参数如温度、压力、液位、流量等引至控制室集中显示、记录、调节、报警，以保证其具有丰富的功能和良好的操作性能及可靠性。拟重点对反应器温度和压力；反应物料的配比；原料进料流量；蒸馏塔温度、液位；冷却系统中冷却介质的温度、压力、流量等进行监控，暂存罐、高位槽液位测量由液位仪。设置反应器温度和压力的报警和联锁；反应物料的比例控制和联锁及紧急冷却系统；紧急断料系统。对生产过程中不太重要的过程参数实行就地检测为主，对生产过程中的温度、压力、流量等参数实行就地显示。处于爆炸危险区域内的电动仪表，按隔爆型进行选型设计，符合安全生产要求；电缆过路穿保护管，符合安全生产要求。</w:t>
      </w:r>
    </w:p>
    <w:p>
      <w:pPr>
        <w:spacing w:line="360" w:lineRule="auto"/>
        <w:ind w:firstLine="560" w:firstLineChars="200"/>
        <w:rPr>
          <w:rFonts w:hint="eastAsia" w:ascii="宋体" w:hAnsi="宋体"/>
          <w:color w:val="auto"/>
          <w:sz w:val="28"/>
          <w:szCs w:val="28"/>
        </w:rPr>
      </w:pPr>
      <w:r>
        <w:rPr>
          <w:rFonts w:hint="eastAsia" w:ascii="宋体" w:hAnsi="宋体"/>
          <w:color w:val="auto"/>
          <w:sz w:val="28"/>
          <w:szCs w:val="28"/>
        </w:rPr>
        <w:t>3.拟采用的技术及设备较先进、工艺合理、设备设施安全可靠（依据对该项目主要技术、工艺或者方式和装置、设备、设施的安全可靠性分析）；拟采用的配套及辅助工程满足该项目所需要的安全可靠性的要求。</w:t>
      </w:r>
      <w:bookmarkStart w:id="245" w:name="_Toc144109235"/>
    </w:p>
    <w:p>
      <w:pPr>
        <w:pStyle w:val="2"/>
        <w:rPr>
          <w:rFonts w:hint="eastAsia" w:ascii="宋体" w:hAnsi="宋体"/>
          <w:color w:val="auto"/>
          <w:sz w:val="28"/>
          <w:szCs w:val="28"/>
        </w:rPr>
      </w:pPr>
    </w:p>
    <w:p>
      <w:pPr>
        <w:pStyle w:val="2"/>
        <w:rPr>
          <w:rFonts w:hint="eastAsia" w:ascii="宋体" w:hAnsi="宋体"/>
          <w:color w:val="auto"/>
          <w:sz w:val="28"/>
          <w:szCs w:val="28"/>
        </w:rPr>
      </w:pPr>
    </w:p>
    <w:p>
      <w:pPr>
        <w:keepNext/>
        <w:keepLines/>
        <w:spacing w:line="600" w:lineRule="exact"/>
        <w:jc w:val="left"/>
        <w:outlineLvl w:val="1"/>
        <w:rPr>
          <w:b/>
          <w:color w:val="auto"/>
          <w:sz w:val="30"/>
          <w:szCs w:val="30"/>
        </w:rPr>
      </w:pPr>
      <w:r>
        <w:rPr>
          <w:b/>
          <w:color w:val="auto"/>
          <w:sz w:val="30"/>
          <w:szCs w:val="30"/>
        </w:rPr>
        <w:t>10.5</w:t>
      </w:r>
      <w:r>
        <w:rPr>
          <w:rFonts w:hint="eastAsia"/>
          <w:b/>
          <w:color w:val="auto"/>
          <w:sz w:val="30"/>
          <w:szCs w:val="30"/>
        </w:rPr>
        <w:t xml:space="preserve"> </w:t>
      </w:r>
      <w:r>
        <w:rPr>
          <w:rFonts w:ascii="宋体" w:hAnsi="宋体"/>
          <w:b/>
          <w:color w:val="auto"/>
          <w:sz w:val="30"/>
          <w:szCs w:val="30"/>
        </w:rPr>
        <w:t>结论</w:t>
      </w:r>
      <w:bookmarkEnd w:id="245"/>
    </w:p>
    <w:p>
      <w:pPr>
        <w:spacing w:line="360" w:lineRule="auto"/>
        <w:ind w:firstLine="562" w:firstLineChars="200"/>
        <w:rPr>
          <w:b/>
          <w:bCs/>
          <w:color w:val="auto"/>
          <w:sz w:val="28"/>
          <w:szCs w:val="28"/>
        </w:rPr>
      </w:pPr>
      <w:r>
        <w:rPr>
          <w:rFonts w:ascii="宋体" w:hAnsi="宋体"/>
          <w:b/>
          <w:bCs/>
          <w:color w:val="auto"/>
          <w:kern w:val="0"/>
          <w:sz w:val="28"/>
          <w:szCs w:val="28"/>
        </w:rPr>
        <w:t>综上所述，</w:t>
      </w:r>
      <w:r>
        <w:rPr>
          <w:rFonts w:hint="eastAsia" w:ascii="宋体" w:hAnsi="宋体"/>
          <w:b/>
          <w:bCs/>
          <w:color w:val="auto"/>
          <w:kern w:val="0"/>
          <w:sz w:val="28"/>
          <w:szCs w:val="28"/>
        </w:rPr>
        <w:t>江西鑫立莱生化有限责任公司年产芸苔素内酯原药5千kg、制剂3万吨项目</w:t>
      </w:r>
      <w:r>
        <w:rPr>
          <w:rFonts w:hint="eastAsia" w:ascii="宋体" w:hAnsi="宋体"/>
          <w:b/>
          <w:bCs/>
          <w:color w:val="auto"/>
          <w:sz w:val="28"/>
          <w:szCs w:val="28"/>
        </w:rPr>
        <w:t>能按照《中华人民共和国安全生产法》的要求进行安全预评价和进行安全条件审批，符合国家和省关于危险化学品建设项目安全审查办法的要求，符合安全设施必须按照同时设计、同时施工、同时投入生产和使用的“三同时”的要求进行。在下一步设计、施工中认真执行国家有关规定、标准和规范，将可研报告及本评价报告提出的安全措施落实到位；完善各项安全规章制度、事故应急预案，并进行认真的学习和演练；生产运行过程中，确保各项安全设施和检测仪器、仪表灵敏好用，操作人员严格执行安全操作规程。该项目潜在的危险有害因素可控，风险在有效控制和可接受范围内。</w:t>
      </w:r>
    </w:p>
    <w:p>
      <w:pPr>
        <w:keepNext/>
        <w:pageBreakBefore/>
        <w:widowControl/>
        <w:spacing w:line="360" w:lineRule="auto"/>
        <w:jc w:val="left"/>
        <w:outlineLvl w:val="0"/>
        <w:rPr>
          <w:b/>
          <w:color w:val="auto"/>
          <w:kern w:val="44"/>
          <w:sz w:val="32"/>
          <w:szCs w:val="32"/>
        </w:rPr>
      </w:pPr>
      <w:bookmarkStart w:id="246" w:name="_Toc144109236"/>
      <w:r>
        <w:rPr>
          <w:b/>
          <w:color w:val="auto"/>
          <w:kern w:val="44"/>
          <w:sz w:val="32"/>
          <w:szCs w:val="32"/>
        </w:rPr>
        <w:t>11.</w:t>
      </w:r>
      <w:r>
        <w:rPr>
          <w:rFonts w:hint="eastAsia"/>
          <w:b/>
          <w:color w:val="auto"/>
          <w:kern w:val="44"/>
          <w:sz w:val="32"/>
          <w:szCs w:val="32"/>
        </w:rPr>
        <w:t>与建设单位交换意见的情况结果</w:t>
      </w:r>
      <w:bookmarkEnd w:id="246"/>
    </w:p>
    <w:p>
      <w:pPr>
        <w:spacing w:line="360" w:lineRule="auto"/>
        <w:ind w:left="127" w:firstLine="560" w:firstLineChars="200"/>
        <w:rPr>
          <w:rFonts w:ascii="宋体" w:hAnsi="宋体"/>
          <w:color w:val="auto"/>
          <w:sz w:val="28"/>
          <w:szCs w:val="28"/>
        </w:rPr>
      </w:pPr>
      <w:r>
        <w:rPr>
          <w:rFonts w:hint="eastAsia" w:ascii="宋体" w:hAnsi="宋体"/>
          <w:color w:val="auto"/>
          <w:sz w:val="28"/>
          <w:szCs w:val="28"/>
        </w:rPr>
        <w:t>评价组检查人员在选址现场勘察阶段和报告编制人员在报告编写过程中，与建设单位的负责人和项目工程技术人员在（面对面、电话、电子邮件）广泛交换意见的基础上，对该项目的拟采用的</w:t>
      </w:r>
      <w:r>
        <w:rPr>
          <w:rFonts w:hint="eastAsia" w:ascii="宋体" w:hAnsi="宋体"/>
          <w:bCs/>
          <w:color w:val="auto"/>
          <w:sz w:val="28"/>
          <w:szCs w:val="28"/>
        </w:rPr>
        <w:t>主要生产技术和工艺流程有了更深入的认识，对辩识、分析</w:t>
      </w:r>
      <w:r>
        <w:rPr>
          <w:rFonts w:hint="eastAsia" w:ascii="宋体" w:hAnsi="宋体"/>
          <w:color w:val="auto"/>
          <w:sz w:val="28"/>
          <w:szCs w:val="28"/>
        </w:rPr>
        <w:t>该项目的</w:t>
      </w:r>
      <w:r>
        <w:rPr>
          <w:rFonts w:hint="eastAsia" w:ascii="宋体" w:hAnsi="宋体"/>
          <w:bCs/>
          <w:color w:val="auto"/>
          <w:sz w:val="28"/>
          <w:szCs w:val="28"/>
        </w:rPr>
        <w:t>主要生产工艺流程、生产装置及设备、设施所存在的固有危险、有害因素比较透彻，双方都有很多较大的收获，保证了本报告的编制工作得以顺利完成</w:t>
      </w:r>
      <w:r>
        <w:rPr>
          <w:rFonts w:hint="eastAsia" w:ascii="宋体" w:hAnsi="宋体"/>
          <w:color w:val="auto"/>
          <w:sz w:val="28"/>
          <w:szCs w:val="28"/>
        </w:rPr>
        <w:t>。交流意见主要如下：</w:t>
      </w:r>
    </w:p>
    <w:p>
      <w:pPr>
        <w:spacing w:line="360" w:lineRule="auto"/>
        <w:ind w:left="127" w:firstLine="560" w:firstLineChars="200"/>
        <w:rPr>
          <w:rFonts w:ascii="宋体" w:hAnsi="宋体"/>
          <w:color w:val="auto"/>
          <w:sz w:val="28"/>
          <w:szCs w:val="28"/>
        </w:rPr>
      </w:pPr>
      <w:r>
        <w:rPr>
          <w:rFonts w:hint="eastAsia" w:ascii="宋体" w:hAnsi="宋体"/>
          <w:color w:val="auto"/>
          <w:sz w:val="28"/>
          <w:szCs w:val="28"/>
        </w:rPr>
        <w:t>1.针对项目周边环境、敏感目标方面；</w:t>
      </w:r>
    </w:p>
    <w:p>
      <w:pPr>
        <w:spacing w:line="360" w:lineRule="auto"/>
        <w:ind w:left="127" w:firstLine="560" w:firstLineChars="200"/>
        <w:rPr>
          <w:rFonts w:ascii="宋体" w:hAnsi="宋体"/>
          <w:color w:val="auto"/>
          <w:sz w:val="28"/>
          <w:szCs w:val="28"/>
        </w:rPr>
      </w:pPr>
      <w:r>
        <w:rPr>
          <w:rFonts w:hint="eastAsia" w:ascii="宋体" w:hAnsi="宋体"/>
          <w:color w:val="auto"/>
          <w:sz w:val="28"/>
          <w:szCs w:val="28"/>
        </w:rPr>
        <w:t>2.针对工程所配套的平面布置、公用工程情况等；</w:t>
      </w:r>
    </w:p>
    <w:p>
      <w:pPr>
        <w:spacing w:line="360" w:lineRule="auto"/>
        <w:ind w:left="127" w:firstLine="560" w:firstLineChars="200"/>
        <w:rPr>
          <w:rFonts w:ascii="宋体" w:hAnsi="宋体"/>
          <w:color w:val="auto"/>
          <w:sz w:val="28"/>
          <w:szCs w:val="28"/>
        </w:rPr>
      </w:pPr>
      <w:r>
        <w:rPr>
          <w:rFonts w:hint="eastAsia" w:ascii="宋体" w:hAnsi="宋体"/>
          <w:color w:val="auto"/>
          <w:sz w:val="28"/>
          <w:szCs w:val="28"/>
        </w:rPr>
        <w:t>3.针对《可研》中描述有误的地方，如工艺过程、辅助设备方面；</w:t>
      </w:r>
    </w:p>
    <w:p>
      <w:pPr>
        <w:spacing w:line="360" w:lineRule="auto"/>
        <w:ind w:left="127" w:firstLine="560" w:firstLineChars="200"/>
        <w:rPr>
          <w:rFonts w:ascii="宋体" w:hAnsi="宋体"/>
          <w:color w:val="auto"/>
          <w:sz w:val="28"/>
          <w:szCs w:val="28"/>
        </w:rPr>
      </w:pPr>
      <w:r>
        <w:rPr>
          <w:rFonts w:hint="eastAsia" w:ascii="宋体" w:hAnsi="宋体"/>
          <w:color w:val="auto"/>
          <w:sz w:val="28"/>
          <w:szCs w:val="28"/>
        </w:rPr>
        <w:t>4.设计时应考虑到的方面，如周边环境、依托设施的匹配性等；</w:t>
      </w:r>
    </w:p>
    <w:p>
      <w:pPr>
        <w:spacing w:line="360" w:lineRule="auto"/>
        <w:ind w:left="125" w:firstLine="560" w:firstLineChars="200"/>
        <w:rPr>
          <w:rFonts w:ascii="宋体" w:hAnsi="宋体"/>
          <w:color w:val="auto"/>
          <w:sz w:val="28"/>
          <w:szCs w:val="28"/>
        </w:rPr>
      </w:pPr>
      <w:r>
        <w:rPr>
          <w:rFonts w:hint="eastAsia" w:ascii="宋体" w:hAnsi="宋体"/>
          <w:color w:val="auto"/>
          <w:sz w:val="28"/>
          <w:szCs w:val="28"/>
        </w:rPr>
        <w:t>5.原辅材料、产品成分、设备参数、工艺条件；</w:t>
      </w:r>
    </w:p>
    <w:p>
      <w:pPr>
        <w:spacing w:line="360" w:lineRule="auto"/>
        <w:ind w:left="125" w:firstLine="560" w:firstLineChars="200"/>
        <w:rPr>
          <w:rFonts w:ascii="宋体" w:hAnsi="宋体"/>
          <w:color w:val="auto"/>
          <w:sz w:val="28"/>
          <w:szCs w:val="28"/>
        </w:rPr>
      </w:pPr>
      <w:r>
        <w:rPr>
          <w:rFonts w:hint="eastAsia" w:ascii="宋体" w:hAnsi="宋体"/>
          <w:color w:val="auto"/>
          <w:sz w:val="28"/>
          <w:szCs w:val="28"/>
        </w:rPr>
        <w:t>6.安全投入概算等。</w:t>
      </w:r>
    </w:p>
    <w:p>
      <w:pPr>
        <w:spacing w:line="360" w:lineRule="auto"/>
        <w:ind w:firstLine="560" w:firstLineChars="200"/>
        <w:rPr>
          <w:rFonts w:ascii="Calibri" w:hAnsi="Calibri"/>
          <w:color w:val="auto"/>
        </w:rPr>
      </w:pPr>
      <w:r>
        <w:rPr>
          <w:rFonts w:hint="eastAsia" w:ascii="宋体" w:hAnsi="宋体"/>
          <w:color w:val="auto"/>
          <w:sz w:val="28"/>
          <w:szCs w:val="28"/>
        </w:rPr>
        <w:t>江西鑫立莱生化有限公司对本次安全条件评价报告（电子交流版）的内容进行了核对和修改，同意江西赣安安全生产科学技术咨询服务中心在本报告中提出的安全建议及措施，认可本报告的提出的安全对策措施建议及评价结论。</w:t>
      </w:r>
    </w:p>
    <w:p>
      <w:pPr>
        <w:keepNext/>
        <w:pageBreakBefore/>
        <w:widowControl/>
        <w:spacing w:line="360" w:lineRule="auto"/>
        <w:jc w:val="left"/>
        <w:outlineLvl w:val="0"/>
        <w:rPr>
          <w:b/>
          <w:color w:val="auto"/>
          <w:kern w:val="44"/>
          <w:sz w:val="32"/>
          <w:szCs w:val="32"/>
        </w:rPr>
      </w:pPr>
      <w:bookmarkStart w:id="247" w:name="_Toc144109237"/>
      <w:r>
        <w:rPr>
          <w:rFonts w:hint="eastAsia"/>
          <w:b/>
          <w:color w:val="auto"/>
          <w:kern w:val="44"/>
          <w:sz w:val="32"/>
          <w:szCs w:val="32"/>
        </w:rPr>
        <w:t>附录A</w:t>
      </w:r>
      <w:r>
        <w:rPr>
          <w:b/>
          <w:color w:val="auto"/>
          <w:kern w:val="44"/>
          <w:sz w:val="32"/>
          <w:szCs w:val="32"/>
        </w:rPr>
        <w:t>.</w:t>
      </w:r>
      <w:r>
        <w:rPr>
          <w:rFonts w:hint="eastAsia"/>
          <w:b/>
          <w:color w:val="auto"/>
          <w:kern w:val="44"/>
          <w:sz w:val="32"/>
          <w:szCs w:val="32"/>
        </w:rPr>
        <w:t>化学品特性表</w:t>
      </w:r>
      <w:bookmarkEnd w:id="247"/>
    </w:p>
    <w:p>
      <w:pPr>
        <w:widowControl/>
        <w:spacing w:before="100" w:beforeAutospacing="1" w:after="100" w:afterAutospacing="1"/>
        <w:ind w:firstLine="562" w:firstLineChars="200"/>
        <w:jc w:val="left"/>
        <w:rPr>
          <w:b/>
          <w:bCs/>
          <w:color w:val="auto"/>
          <w:kern w:val="0"/>
          <w:sz w:val="28"/>
          <w:szCs w:val="28"/>
        </w:rPr>
      </w:pPr>
      <w:r>
        <w:rPr>
          <w:rFonts w:hint="eastAsia"/>
          <w:b/>
          <w:bCs/>
          <w:color w:val="auto"/>
          <w:kern w:val="0"/>
          <w:sz w:val="28"/>
          <w:szCs w:val="28"/>
        </w:rPr>
        <w:t>1、危险化学品</w:t>
      </w:r>
    </w:p>
    <w:p>
      <w:pPr>
        <w:widowControl/>
        <w:spacing w:before="100" w:beforeAutospacing="1" w:after="100" w:afterAutospacing="1"/>
        <w:ind w:firstLine="480" w:firstLineChars="200"/>
        <w:jc w:val="left"/>
        <w:rPr>
          <w:color w:val="auto"/>
          <w:kern w:val="0"/>
          <w:sz w:val="24"/>
        </w:rPr>
      </w:pPr>
      <w:r>
        <w:rPr>
          <w:rFonts w:hint="eastAsia"/>
          <w:color w:val="auto"/>
          <w:kern w:val="0"/>
          <w:sz w:val="24"/>
        </w:rPr>
        <w:t>1）四氢呋喃</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109-99-9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四氢呋喃</w:t>
            </w:r>
          </w:p>
          <w:p>
            <w:pPr>
              <w:widowControl/>
              <w:wordWrap w:val="0"/>
              <w:spacing w:line="240" w:lineRule="exact"/>
              <w:jc w:val="left"/>
              <w:rPr>
                <w:rFonts w:ascii="宋体" w:hAnsi="宋体" w:cs="宋体"/>
                <w:color w:val="auto"/>
                <w:kern w:val="0"/>
              </w:rPr>
            </w:pPr>
            <w:r>
              <w:rPr>
                <w:rFonts w:hint="eastAsia" w:ascii="宋体" w:hAnsi="宋体" w:cs="宋体"/>
                <w:color w:val="auto"/>
                <w:kern w:val="0"/>
              </w:rPr>
              <w:t>tetrahydrofuran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C4H8O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72.11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四氢呋喃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本品具有刺激和麻醉作用。吸入后引起上呼吸道刺激、恶心、头晕、头痛和中枢神经系统抑制。能引起肝、肾损害。液体或高浓度蒸气对眼有刺激性。皮肤长期反复接触，可因脱脂作用而发生皮炎。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本品极度易燃，具刺激性。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其蒸气与空气可形成爆炸性混合物。遇高热、明火及强氧化剂易引起燃烧。接触空气或在光照条件下可生成具有潜在爆炸危险性的过氧化物。与酸类接触能发生反应。与氢氧化钾、氢氧化钠反应剧烈。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喷水冷却容器，可能的话将容器从火场移至空旷处。处在火场中的容器若已变色或从安全泄压装置中产生声音，必须马上撤离。灭火剂：泡沫、二氧化碳、干粉、砂土。用水灭火无效。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从上风处进入现场。尽可能切断泄漏源。防止流入下水道、排洪沟等限制性空间。小量泄漏：用砂土或其它不燃材料吸附或吸收。也可以用大量水冲洗，洗水稀释后放入废水系统。大量泄漏：构筑围堤或挖坑收容。用泡沫覆盖，降低蒸气灾害。喷雾状水冷却和稀释蒸汽、保护现场人员、把泄漏物稀释成不燃物。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安全防护眼镜，穿防静电工作服，戴橡胶耐油手套。远离火种、热源，工作场所严禁吸烟。使用防爆型的通风系统和设备。防止蒸气泄漏到工作场所空气中。避免与氧化剂、酸类、碱类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通常商品加有阻聚剂。储存于阴凉、通风的库房。远离火种、热源。库温不宜超过30℃。包装要求密封，不可与空气接触。应与氧化剂、酸类、碱类等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OSHA 200ppm,590mg/m3; ACGIH 200ppm,590mg/m3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ACGIH 250ppm,737mg/m3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可能接触其蒸气时，应该佩戴过滤式防毒面具（半面罩）。必要时，建议佩戴自给式呼吸器。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一般不需要特殊防护，高浓度接触时可戴安全防护眼镜。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工作现场严禁吸烟。工作完毕，淋浴更衣。注意个人清洁卫生。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无色易挥发液体，有类似乙醚的气味。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65.4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15.20(15℃)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5.19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溶于水、乙醇、乙醚、丙酮、苯等多数有机溶剂。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用作溶剂、化学合成中间体、分析试剂。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酸类、碱、强氧化剂、氧。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LD50：2816 mg/kg(大鼠经口) LC50：61740mg/m3，3小时(大鼠吸入)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把废液浓缩，再在一定的安全距离之外敞口燃烧。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31042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2056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酸类、碱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2）三乙胺</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121-44-8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N,N-二乙基乙胺</w:t>
            </w:r>
          </w:p>
          <w:p>
            <w:pPr>
              <w:widowControl/>
              <w:spacing w:line="240" w:lineRule="exact"/>
              <w:jc w:val="left"/>
              <w:rPr>
                <w:rFonts w:ascii="宋体" w:hAnsi="宋体" w:cs="宋体"/>
                <w:color w:val="auto"/>
                <w:kern w:val="0"/>
              </w:rPr>
            </w:pPr>
            <w:r>
              <w:rPr>
                <w:rFonts w:hint="eastAsia" w:ascii="宋体" w:hAnsi="宋体" w:cs="宋体"/>
                <w:color w:val="auto"/>
                <w:kern w:val="0"/>
              </w:rPr>
              <w:t>三乙胺</w:t>
            </w:r>
          </w:p>
          <w:p>
            <w:pPr>
              <w:widowControl/>
              <w:spacing w:line="240" w:lineRule="exact"/>
              <w:jc w:val="left"/>
              <w:rPr>
                <w:rFonts w:ascii="宋体" w:hAnsi="宋体" w:cs="宋体"/>
                <w:color w:val="auto"/>
                <w:kern w:val="0"/>
              </w:rPr>
            </w:pPr>
            <w:r>
              <w:rPr>
                <w:rFonts w:hint="eastAsia" w:ascii="宋体" w:hAnsi="宋体" w:cs="宋体"/>
                <w:color w:val="auto"/>
                <w:kern w:val="0"/>
              </w:rPr>
              <w:t>N,N-diethylethanamine</w:t>
            </w:r>
          </w:p>
          <w:p>
            <w:pPr>
              <w:widowControl/>
              <w:spacing w:line="240" w:lineRule="exact"/>
              <w:jc w:val="left"/>
              <w:rPr>
                <w:rFonts w:ascii="宋体" w:hAnsi="宋体" w:cs="宋体"/>
                <w:color w:val="auto"/>
                <w:kern w:val="0"/>
              </w:rPr>
            </w:pPr>
            <w:r>
              <w:rPr>
                <w:rFonts w:hint="eastAsia" w:ascii="宋体" w:hAnsi="宋体" w:cs="宋体"/>
                <w:color w:val="auto"/>
                <w:kern w:val="0"/>
              </w:rPr>
              <w:t>triethylamine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C6H15N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三乙胺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对呼吸道有强烈的刺激性，吸入后可引起肺水肿甚至死亡。口服腐蚀口腔、食道及胃。眼及皮肤接触可引起化学性灼伤。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本品易燃，具强刺激性。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易燃，其蒸气与空气可形成爆炸性混合物，遇明火、高热能引起燃烧爆炸。与氧化剂能发生强烈反应。其蒸气比空气重，能在较低处扩散到相当远的地方，遇火源会着火回燃。具有腐蚀性。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一氧化碳、二氧化碳、氧化氮。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喷水冷却容器，可能的话将容器从火场移至空旷处。灭火剂：抗溶性泡沫、二氧化碳、干粉、砂土。用水灭火无效。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毒服。从上风处进入现场。尽可能切断泄漏源。防止流入下水道、排洪沟等限制性空间。小量泄漏：用砂土或其它不燃材料吸附或吸收。也可以用大量水冲洗，洗水稀释后放入废水系统。大量泄漏：构筑围堤或挖坑收容。用泡沫覆盖，降低蒸气灾害。喷雾状水或泡沫冷却和稀释蒸汽、保护现场人员。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加强通风。操作人员必须经过专门培训，严格遵守操作规程。建议操作人员佩戴导管式防毒面具，穿防毒物渗透工作服，戴橡胶耐油手套。远离火种、热源，工作场所严禁吸烟。使用防爆型的通风系统和设备。防止蒸气泄漏到工作场所空气中。避免与氧化剂、酸类接触。充装要控制流速，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包装要求密封，不可与空气接触。应与氧化剂、酸类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25ppm; ACGIH 1ppm,4.1mg/m3[皮]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ACGIH 3ppm,12.4mg/m3[皮]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生产过程密闭，加强通风。提供安全淋浴和洗眼设备。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可能接触其蒸气时，佩戴导管式防毒面具。紧急事态抢救或撤离时，应该佩戴氧气呼吸器、空气呼吸器。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工作现场禁止吸烟、进食和饮水。工作完毕，淋浴更衣。实行就业前和定期的体检。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无色油状液体，有强烈氨臭。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8.80(20℃)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4333.8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微溶于水，溶于乙醇、乙醚等多数有机溶剂。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用作溶剂、阻聚剂、防腐剂，及合成染料等。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LD50：460 mg/kg(大鼠经口)；570 mg/kg(兔经皮) LC50：6000mg/m3，2小时(小鼠吸入)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家兔经眼： 250μg/24小时，重度刺激。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用控制焚烧法处置。焚烧炉排出的氮氧化物通过洗涤器除去。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运输时运输车辆应配备相应品种和数量的消防器材及泄漏应急处理设备。夏季最好早晚运输。运输时所用的槽（罐）车应有接地链，槽内可设孔隔板以减少震荡产生静电。严禁与氧化剂、酸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3）甲基磺酰氯</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124-63-0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甲基磺酰氯</w:t>
            </w:r>
          </w:p>
          <w:p>
            <w:pPr>
              <w:widowControl/>
              <w:spacing w:line="240" w:lineRule="exact"/>
              <w:jc w:val="left"/>
              <w:rPr>
                <w:rFonts w:ascii="宋体" w:hAnsi="宋体" w:cs="宋体"/>
                <w:color w:val="auto"/>
                <w:kern w:val="0"/>
              </w:rPr>
            </w:pPr>
            <w:r>
              <w:rPr>
                <w:rFonts w:hint="eastAsia" w:ascii="宋体" w:hAnsi="宋体" w:cs="宋体"/>
                <w:color w:val="auto"/>
                <w:kern w:val="0"/>
              </w:rPr>
              <w:t>甲烷磺酰氯</w:t>
            </w:r>
          </w:p>
          <w:p>
            <w:pPr>
              <w:widowControl/>
              <w:spacing w:line="240" w:lineRule="exact"/>
              <w:jc w:val="left"/>
              <w:rPr>
                <w:rFonts w:ascii="宋体" w:hAnsi="宋体" w:cs="宋体"/>
                <w:color w:val="auto"/>
                <w:kern w:val="0"/>
              </w:rPr>
            </w:pPr>
            <w:r>
              <w:rPr>
                <w:rFonts w:hint="eastAsia" w:ascii="宋体" w:hAnsi="宋体" w:cs="宋体"/>
                <w:color w:val="auto"/>
                <w:kern w:val="0"/>
              </w:rPr>
              <w:t>mesyl chloride</w:t>
            </w:r>
          </w:p>
          <w:p>
            <w:pPr>
              <w:widowControl/>
              <w:spacing w:line="240" w:lineRule="exact"/>
              <w:jc w:val="left"/>
              <w:rPr>
                <w:rFonts w:ascii="宋体" w:hAnsi="宋体" w:cs="宋体"/>
                <w:color w:val="auto"/>
                <w:kern w:val="0"/>
              </w:rPr>
            </w:pPr>
            <w:r>
              <w:rPr>
                <w:rFonts w:hint="eastAsia" w:ascii="宋体" w:hAnsi="宋体" w:cs="宋体"/>
                <w:color w:val="auto"/>
                <w:kern w:val="0"/>
              </w:rPr>
              <w:t>methanesulfonyl chloride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CH3ClO2S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甲基磺酰氯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本品对粘膜、上呼吸道、眼睛和皮肤有强烈刺激性。可致灼伤。吸入后，可因喉和支气管的痉挛、炎症和水肿，化学性肺炎或肺水肿而致死。接触后出现烧灼感、咳嗽、喘息、喉炎、气短、头痛、恶心和呕吐。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本品可燃，具强腐蚀性、强刺激性，可致人体灼伤。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遇明火、高热可燃。受热或遇水分解放热, 放出有毒的腐蚀性烟气。能与碱、氨剧烈反应，造成火灾和爆炸。具有腐蚀性。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氯化氢。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灭火剂：干粉、二氧化碳。禁止用水。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酸碱工作服。不要直接接触泄漏物。尽可能切断泄漏源。防止流入下水道、排洪沟等限制性空间。小量泄漏：用砂土或其它不燃材料吸附或吸收。也可以用不燃性分散剂制成的乳液刷洗，洗液稀释后放入废水系统。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操作人员必须经过专门培训，严格遵守操作规程。建议操作人员佩戴过滤式防毒面具（全面罩）或自给式呼吸器，穿橡胶耐酸碱服，戴橡胶耐酸碱手套。远离火种、热源，工作场所严禁吸烟。使用防爆型的通风系统和设备。避免产生烟雾。防止烟雾和蒸气释放到工作场所空气中。避免与氧化剂、碱类、醇类接触。尤其要注意避免与水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储存于阴凉、干燥、通风良好的库房。远离火种、热源。保持容器密封。应与氧化剂、碱类、醇类等分开存放，切忌混储。配备相应品种和数量的消防器材。储区应备有泄漏应急处理设备和合适的收容材料。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可能接触其蒸气时，必须佩戴过滤式防毒面具（全面罩）或自给式呼吸器。紧急事态抢救或撤离时，佩戴自给式呼吸器。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工作场所禁止吸烟、进食和饮水，饭前要洗手。工作完毕，淋浴更衣。单独存放被毒物污染的衣服，洗后备用。注意个人清洁卫生。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无色或微黄色液体。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1.60(53℃)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不溶于水，溶于乙醇、乙醚。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用作分析试剂。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水、醇类、强氧化剂、强碱。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潮湿空气。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处置前应参阅国家和地方有关法规。建议用焚烧法处置。与燃料混合后，再焚烧。焚烧炉排出的气体要通过洗涤器除去。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81127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磨砂口玻璃瓶或螺纹口玻璃瓶外普通木箱；安瓿瓶外普通木箱；螺纹口玻璃瓶、铁盖压口玻璃瓶、塑料瓶或金属桶（罐）外普通木箱。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起运时包装要完整，装载应稳妥。运输过程中要确保容器不泄漏、不倒塌、不坠落、不损坏。严禁与氧化剂、碱类、醇类、食用化学品等混装混运。运输时运输车辆应配备相应品种和数量的消防器材及泄漏应急处理设备。运输途中应防曝晒、雨淋，防高温。公路运输时要按规定路线行驶，勿在居民区和人口稠密区停留。</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4）丙酮</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67-64-1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阿西通</w:t>
            </w:r>
          </w:p>
          <w:p>
            <w:pPr>
              <w:widowControl/>
              <w:spacing w:line="240" w:lineRule="exact"/>
              <w:jc w:val="left"/>
              <w:rPr>
                <w:rFonts w:ascii="宋体" w:hAnsi="宋体" w:cs="宋体"/>
                <w:color w:val="auto"/>
                <w:kern w:val="0"/>
              </w:rPr>
            </w:pPr>
            <w:r>
              <w:rPr>
                <w:rFonts w:hint="eastAsia" w:ascii="宋体" w:hAnsi="宋体" w:cs="宋体"/>
                <w:color w:val="auto"/>
                <w:kern w:val="0"/>
              </w:rPr>
              <w:t>丙酮</w:t>
            </w:r>
          </w:p>
          <w:p>
            <w:pPr>
              <w:widowControl/>
              <w:spacing w:line="240" w:lineRule="exact"/>
              <w:jc w:val="left"/>
              <w:rPr>
                <w:rFonts w:ascii="宋体" w:hAnsi="宋体" w:cs="宋体"/>
                <w:color w:val="auto"/>
                <w:kern w:val="0"/>
              </w:rPr>
            </w:pPr>
            <w:r>
              <w:rPr>
                <w:rFonts w:hint="eastAsia" w:ascii="宋体" w:hAnsi="宋体" w:cs="宋体"/>
                <w:color w:val="auto"/>
                <w:kern w:val="0"/>
              </w:rPr>
              <w:t>acetone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C3H6O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丙酮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急性中毒主要表现为对中枢神经系统的麻醉作用，出现乏力、恶心、头痛、头晕、易激动。重者发生呕吐、气急、痉挛，甚至昏迷。对眼、鼻、喉有刺激性。口服后，先有口唇、咽喉有烧灼感，后出现口干、呕吐、昏迷、酸中毒和酮症。慢性影响：长期接触该品出现眩晕、灼烧感、咽炎、支气管炎、乏力、易激动等。皮肤长期反复接触可致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本品极度易燃，具刺激性。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其蒸气与空气可形成爆炸性混合物，遇明火、高热极易燃烧爆炸。与氧化剂能发生强烈反应。其蒸气比空气重，能在较低处扩散到相当远的地方，遇火源会着火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尽可能将容器从火场移至空旷处。喷水保持火场容器冷却，直至灭火结束。处在火场中的容器若已变色或从安全泄压装置中产生声音，必须马上撤离。灭火剂：抗溶性泡沫、二氧化碳、干粉、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安全防护眼镜，穿防静电工作服，戴橡胶耐油手套。远离火种、热源，工作场所严禁吸烟。使用防爆型的通风系统和设备。防止蒸气泄漏到工作场所空气中。避免与氧化剂、还原剂、碱类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26℃。保持容器密封。应与氧化剂、还原剂、碱类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1000ppm,2380mg/m3; ACGIH 750ppm,1780mg/m3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ACGIH 1000ppm,2380mg/m3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气相色谱法；糠醛分光光度法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空气中浓度超标时，佩戴过滤式防毒面具（半面罩）。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一般不需要特殊防护，高浓度接触时可戴安全防护眼镜。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工作现场严禁吸烟。注意个人清洁卫生。避免长期反复接触。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无色透明易流动液体，有芳香气味，极易挥发。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53.32(39.5℃)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1788.7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与水混溶，可混溶于乙醇、乙醚、氯仿、油类、烃类等多数有机溶剂。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是基本的有机原料和低沸点溶剂。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强氧化剂、强还原剂、碱。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LD50：5800 mg/kg(大鼠经口)；20000 mg/kg(兔经皮)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家兔经眼：3950μg ，重度刺激。家兔经皮开放性刺激试验： 395mg，轻度刺激。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还原剂、碱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5）甲苯</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108-88-3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甲苯</w:t>
            </w:r>
          </w:p>
          <w:p>
            <w:pPr>
              <w:widowControl/>
              <w:spacing w:line="240" w:lineRule="exact"/>
              <w:jc w:val="left"/>
              <w:rPr>
                <w:rFonts w:ascii="宋体" w:hAnsi="宋体" w:cs="宋体"/>
                <w:color w:val="auto"/>
                <w:kern w:val="0"/>
              </w:rPr>
            </w:pPr>
            <w:r>
              <w:rPr>
                <w:rFonts w:hint="eastAsia" w:ascii="宋体" w:hAnsi="宋体" w:cs="宋体"/>
                <w:color w:val="auto"/>
                <w:kern w:val="0"/>
              </w:rPr>
              <w:t>methylbenzene</w:t>
            </w:r>
          </w:p>
          <w:p>
            <w:pPr>
              <w:widowControl/>
              <w:spacing w:line="240" w:lineRule="exact"/>
              <w:jc w:val="left"/>
              <w:rPr>
                <w:rFonts w:ascii="宋体" w:hAnsi="宋体" w:cs="宋体"/>
                <w:color w:val="auto"/>
                <w:kern w:val="0"/>
              </w:rPr>
            </w:pPr>
            <w:r>
              <w:rPr>
                <w:rFonts w:hint="eastAsia" w:ascii="宋体" w:hAnsi="宋体" w:cs="宋体"/>
                <w:color w:val="auto"/>
                <w:kern w:val="0"/>
              </w:rPr>
              <w:t>Toluene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C7H8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92.14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皮肤、粘膜有刺激性，对中枢神经系统有麻醉作用。急性中毒：短时间内吸入较高浓度本品可出现眼及上呼吸道明显的刺激症状、眼结膜及咽部充血、头晕、头痛、恶心、呕吐、胸闷、四肢无力、步态蹒跚、意识模糊。重症者可有躁动、抽搐、昏迷。慢性中毒：长期接触可发生神经衰弱综合征，肝肿大，女工月经异常等。皮肤干燥、皲裂、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对环境有严重危害，对空气、水环境及水源可造成污染。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易燃，其蒸气与空气可形成爆炸性混合物，遇明火、高热能引起燃烧爆炸。与氧化剂能发生强烈反应。流速过快，容易产生和积聚静电。其蒸气比空气重，能在较低处扩散到相当远的地方，遇火源会着火回燃。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喷水冷却容器，可能的话将容器从火场移至空旷处。处在火场中的容器若已变色或从安全泄压装置中产生声音，必须马上撤离。灭火剂：泡沫、干粉、二氧化碳、砂土。用水灭火无效。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毒服。尽可能切断泄漏源。防止流入下水道、排洪沟等限制性空间。小量泄漏：用活性炭或其它惰性材料吸收。也可以用不燃性分散剂制成的乳液刷洗，洗液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加强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200ppm,754mg/m3; ACGIH 50ppm,188mg/m3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生产过程密闭，加强通风。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空气中浓度超标时，佩戴自吸过滤式防毒面具（半面罩）。紧急事态抢救或撤离时，应该佩戴空气呼吸器或氧气呼吸器。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无色透明液体，有类似苯的芳香气味。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-94.9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4.89(30℃)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3905.0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不溶于水，可混溶于苯、醇、醚等多数有机溶剂。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用于掺合汽油组成及作为生产甲苯衍生物、炸药、染料中间体、药物等的主要原料。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LD50：5000 mg/kg(大鼠经口)；12124 mg/kg(兔经皮) LC50：20003mg/m3，8小时(小鼠吸入)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人经眼： 300ppm ，引起刺激。家兔经皮： 500mg，中度刺激。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该物质对环境有严重危害，对空气、水环境及水源可造成污染，对鱼类和哺乳动物应给予特别注意。可被生物和微生物氧化降解。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6）液氨</w:t>
      </w:r>
    </w:p>
    <w:tbl>
      <w:tblPr>
        <w:tblStyle w:val="31"/>
        <w:tblW w:w="5000" w:type="pct"/>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400"/>
        <w:gridCol w:w="68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rPr>
              <w:t>CAS：</w:t>
            </w:r>
          </w:p>
        </w:tc>
        <w:tc>
          <w:tcPr>
            <w:tcW w:w="0" w:type="auto"/>
            <w:tcBorders>
              <w:top w:val="single" w:color="000000" w:sz="4" w:space="0"/>
              <w:left w:val="single" w:color="000000" w:sz="4" w:space="0"/>
              <w:bottom w:val="single" w:color="000000" w:sz="4" w:space="0"/>
              <w:right w:val="single" w:color="000000" w:sz="4" w:space="0"/>
            </w:tcBorders>
            <w:vAlign w:val="center"/>
          </w:tcPr>
          <w:p>
            <w:pPr>
              <w:widowControl/>
              <w:wordWrap w:val="0"/>
              <w:jc w:val="left"/>
              <w:rPr>
                <w:rFonts w:ascii="宋体" w:hAnsi="宋体"/>
                <w:color w:val="auto"/>
                <w:kern w:val="0"/>
              </w:rPr>
            </w:pPr>
            <w:r>
              <w:rPr>
                <w:rFonts w:hint="eastAsia" w:ascii="宋体" w:hAnsi="宋体"/>
                <w:color w:val="auto"/>
              </w:rPr>
              <w:t>7664-41-7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rPr>
              <w:t>名称：</w:t>
            </w:r>
          </w:p>
        </w:tc>
        <w:tc>
          <w:tcPr>
            <w:tcW w:w="0" w:type="auto"/>
            <w:tcBorders>
              <w:top w:val="single" w:color="000000" w:sz="4" w:space="0"/>
              <w:left w:val="single" w:color="000000" w:sz="4" w:space="0"/>
              <w:bottom w:val="single" w:color="000000" w:sz="4" w:space="0"/>
              <w:right w:val="single" w:color="000000" w:sz="4" w:space="0"/>
            </w:tcBorders>
            <w:vAlign w:val="center"/>
          </w:tcPr>
          <w:p>
            <w:pPr>
              <w:widowControl/>
              <w:wordWrap w:val="0"/>
              <w:jc w:val="left"/>
              <w:rPr>
                <w:rFonts w:ascii="宋体" w:hAnsi="宋体"/>
                <w:color w:val="auto"/>
              </w:rPr>
            </w:pPr>
            <w:r>
              <w:rPr>
                <w:rFonts w:hint="eastAsia" w:ascii="宋体" w:hAnsi="宋体"/>
                <w:color w:val="auto"/>
              </w:rPr>
              <w:t>氨</w:t>
            </w:r>
          </w:p>
          <w:p>
            <w:pPr>
              <w:widowControl/>
              <w:wordWrap w:val="0"/>
              <w:jc w:val="left"/>
              <w:rPr>
                <w:rFonts w:ascii="宋体" w:hAnsi="宋体"/>
                <w:color w:val="auto"/>
              </w:rPr>
            </w:pPr>
            <w:r>
              <w:rPr>
                <w:rFonts w:hint="eastAsia" w:ascii="宋体" w:hAnsi="宋体"/>
                <w:color w:val="auto"/>
              </w:rPr>
              <w:t>氨气(液氨)</w:t>
            </w:r>
          </w:p>
          <w:p>
            <w:pPr>
              <w:widowControl/>
              <w:wordWrap w:val="0"/>
              <w:jc w:val="left"/>
              <w:rPr>
                <w:rFonts w:ascii="宋体" w:hAnsi="宋体"/>
                <w:color w:val="auto"/>
                <w:kern w:val="0"/>
              </w:rPr>
            </w:pPr>
            <w:r>
              <w:rPr>
                <w:rFonts w:hint="eastAsia" w:ascii="宋体" w:hAnsi="宋体"/>
                <w:color w:val="auto"/>
              </w:rPr>
              <w:t>ammonia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分子式：</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NH3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分子量：</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17.03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有害物成分：</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健康危害：</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低浓度氨对粘膜有刺激作用，高浓度可造成组织溶解坏死。急性中毒：轻度者出现流泪、咽痛、声音嘶哑、咳嗽、咯痰等；眼结膜、鼻粘膜、咽部充血、水肿；胸部 X线征象符合支气管炎或支气管周围炎。中度中毒上述症状加剧，出现呼吸困难、紫绀；胸部 X线征象符合肺炎或间质性肺炎。严重者可发生中毒性肺水肿，或有呼吸窘迫综合征，患者剧烈咳嗽、咯大量粉红色泡沫痰、呼吸窘迫、谵妄、昏迷、休克等。可发生喉头水肿或支气管粘膜坏死脱落窒息。高浓度氨可引起反射性呼吸停止。液氨或高浓度氨可致眼灼伤；液氨可致皮肤灼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环境危害：</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对环境有严重危害，对水体、土壤和大气可造成污染。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燃爆危险：</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本品易燃，有毒，具刺激性。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皮肤接触：</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立即脱去污染的衣着，应用2%硼酸液或大量清水彻底冲洗。就医。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眼睛接触：</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立即提起眼睑，用大量流动清水或生理盐水彻底冲洗至少15分钟。就医。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吸入：</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迅速脱离现场至空气新鲜处。保持呼吸道通畅。如呼吸困难，给输氧。如呼吸停止，立即进行人工呼吸。就医。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危险特性：</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与空气混合能形成爆炸性混合物。遇明火、高热能引起燃烧爆炸。与氟、氯等接触会发生剧烈的化学反应。若遇高热，容器内压增大，有开裂和爆炸的危险。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有害燃烧产物：</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氧化氮、氨。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灭火方法：</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消防人员必须穿全身防火防毒服，在上风向灭火。切断气源。若不能切断气源，则不允许熄灭泄漏处的火焰。喷水冷却容器，可能的话将容器从火场移至空旷处。灭火剂：雾状水、抗溶性泡沫、二氧化碳、砂土。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应急处理：</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迅速撤离泄漏污染区人员至上风处，并立即隔离150m，严格限制出入。切断火源。建议应急处理人员戴自给正压式呼吸器，穿防静电工作服。尽可能切断泄漏源。合理通风，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操作注意事项：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严加密闭，提供充分的局部排风和全面通风。操作人员必须经过专门培训，严格遵守操作规程。建议操作人员佩戴过滤式防毒面具（半面罩），戴化学安全防护眼镜，穿防静电工作服，戴橡胶手套。远离火种、热源，工作场所严禁吸烟。使用防爆型的通风系统和设备。防止气体泄漏到工作场所空气中。避免与氧化剂、酸类、卤素接触。搬运时轻装轻卸，防止钢瓶及附件破损。配备相应品种和数量的消防器材及泄漏应急处理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储存注意事项：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储存于阴凉、通风的库房。远离火种、热源。库温不宜超过30℃。应与氧化剂、酸类、卤素、食用化学品分开存放，切忌混储。采用防爆型照明、通风设施。禁止使用易产生火花的机械设备和工具。储区应备有泄漏应急处理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中国MAC(mg/m3)：</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前苏联MAC(mg/m3)：</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TLVTN：</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OSHA 50ppm,34mg/m3; ACGIH 25ppm,17mg/m3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jc w:val="right"/>
              <w:rPr>
                <w:rFonts w:ascii="宋体" w:hAnsi="宋体"/>
                <w:color w:val="auto"/>
                <w:kern w:val="0"/>
              </w:rPr>
            </w:pPr>
            <w:r>
              <w:rPr>
                <w:rFonts w:hint="eastAsia" w:ascii="宋体" w:hAnsi="宋体"/>
                <w:color w:val="auto"/>
                <w:kern w:val="0"/>
              </w:rPr>
              <w:t>TLVWN：</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jc w:val="left"/>
              <w:rPr>
                <w:rFonts w:ascii="宋体" w:hAnsi="宋体"/>
                <w:color w:val="auto"/>
                <w:kern w:val="0"/>
              </w:rPr>
            </w:pPr>
            <w:r>
              <w:rPr>
                <w:rFonts w:hint="eastAsia" w:ascii="宋体" w:hAnsi="宋体"/>
                <w:color w:val="auto"/>
                <w:kern w:val="0"/>
              </w:rPr>
              <w:t>ACGIH 35ppm,24mg/m3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监测方法：</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纳氏试剂比色法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工程控制：</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严加密闭，提供充分的局部排风和全面通风。提供安全淋浴和洗眼设备。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呼吸系统防护：</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空气中浓度超标时，建议佩戴过滤式防毒面具（半面罩）。紧急事态抢救或撤离时，必须佩戴空气呼吸器。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眼睛防护：</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戴化学安全防护眼镜。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身体防护：</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穿防静电工作服。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手防护：</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戴橡胶手套。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其他防护：</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工作现场禁止吸烟、进食和饮水。工作完毕，淋浴更衣。保持良好的卫生习惯。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主要成分：</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纯品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外观与性状：</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无色、有刺激性恶臭的气体。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熔点(℃)：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-77.7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沸点(℃)：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-33.5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相对密度(水=1)：</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0.82(-79℃)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相对蒸气密度(空气=1)：</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饱和蒸气压(kPa)：</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506.62(4.7℃)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临界温度(℃)：</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132.5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临界压力(MPa)：</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11.40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闪点(℃)：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无意义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引燃温度(℃)：</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651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爆炸上限%(V/V)：</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27.4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爆炸下限%(V/V)：</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15.7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溶解性：</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易溶于水、乙醇、乙醚。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主要用途：</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用作致冷剂及制取铵盐和氮肥。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禁配物：</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卤素、酰基氯、酸类、氯仿、强氧化剂。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急性毒性：</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LD50：350 mg/kg(大鼠经口) LC50：1390mg/m3，4小时(大鼠吸入)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刺激性：</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家兔经眼： 100mg，重度刺激。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其它有害作用：</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该物质对环境有严重危害，应特别注意对地表水、土壤、大气和饮用水的污染。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废弃处置方法：</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先用水稀释，再加盐酸中和，然后放入废水系统。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危险货物编号：</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23003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UN编号：</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1005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包装类别：</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O52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包装方法：</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钢质气瓶。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400" w:type="dxa"/>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right"/>
              <w:rPr>
                <w:rFonts w:ascii="宋体" w:hAnsi="宋体"/>
                <w:color w:val="auto"/>
                <w:kern w:val="0"/>
              </w:rPr>
            </w:pPr>
            <w:r>
              <w:rPr>
                <w:rFonts w:hint="eastAsia" w:ascii="宋体" w:hAnsi="宋体"/>
                <w:color w:val="auto"/>
                <w:kern w:val="0"/>
              </w:rPr>
              <w:t>运输注意事项：</w:t>
            </w:r>
          </w:p>
        </w:tc>
        <w:tc>
          <w:tcPr>
            <w:tcW w:w="0" w:type="auto"/>
            <w:tcBorders>
              <w:top w:val="single" w:color="000000" w:sz="4" w:space="0"/>
              <w:left w:val="single" w:color="000000" w:sz="4" w:space="0"/>
              <w:bottom w:val="single" w:color="000000" w:sz="4" w:space="0"/>
              <w:right w:val="single" w:color="000000" w:sz="4" w:space="0"/>
            </w:tcBorders>
          </w:tcPr>
          <w:p>
            <w:pPr>
              <w:widowControl/>
              <w:wordWrap w:val="0"/>
              <w:spacing w:line="300" w:lineRule="exact"/>
              <w:jc w:val="left"/>
              <w:rPr>
                <w:rFonts w:ascii="宋体" w:hAnsi="宋体"/>
                <w:color w:val="auto"/>
                <w:kern w:val="0"/>
              </w:rPr>
            </w:pPr>
            <w:r>
              <w:rPr>
                <w:rFonts w:hint="eastAsia" w:ascii="宋体" w:hAnsi="宋体"/>
                <w:color w:val="auto"/>
                <w:kern w:val="0"/>
              </w:rPr>
              <w:t>本品铁路运输时限使用耐压液化气企业自备罐车装运，装运前需报有关部门批准。采用刚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酸类、卤素、食用化学品等混装混运。夏季应早晚运输，防止日光曝晒。中途停留时应远离火种、热源。公路运输时要按规定路线行驶，禁止在居民区和人口稠密区停留。铁路运输时要禁止溜放。</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7）液氮</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7727-37-9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氮</w:t>
            </w:r>
          </w:p>
          <w:p>
            <w:pPr>
              <w:widowControl/>
              <w:spacing w:line="280" w:lineRule="exact"/>
              <w:jc w:val="left"/>
              <w:rPr>
                <w:rFonts w:ascii="宋体" w:hAnsi="宋体" w:cs="宋体"/>
                <w:color w:val="auto"/>
                <w:kern w:val="0"/>
              </w:rPr>
            </w:pPr>
            <w:r>
              <w:rPr>
                <w:rFonts w:hint="eastAsia" w:ascii="宋体" w:hAnsi="宋体" w:cs="宋体"/>
                <w:color w:val="auto"/>
                <w:kern w:val="0"/>
              </w:rPr>
              <w:t>氮气</w:t>
            </w:r>
          </w:p>
          <w:p>
            <w:pPr>
              <w:widowControl/>
              <w:spacing w:line="280" w:lineRule="exact"/>
              <w:jc w:val="left"/>
              <w:rPr>
                <w:rFonts w:ascii="宋体" w:hAnsi="宋体" w:cs="宋体"/>
                <w:color w:val="auto"/>
                <w:kern w:val="0"/>
              </w:rPr>
            </w:pPr>
            <w:r>
              <w:rPr>
                <w:rFonts w:hint="eastAsia" w:ascii="宋体" w:hAnsi="宋体" w:cs="宋体"/>
                <w:color w:val="auto"/>
                <w:kern w:val="0"/>
              </w:rPr>
              <w:t>nitrogen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N2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空气中氮气含量过高，使吸入气氧分压下降，引起缺氧窒息。吸入氮气浓度不太高时，患者最初感胸闷、气短、疲软无力；继而有烦躁不安、极度兴奋、乱跑、叫喊、神情恍惚、步态不稳，称之为“氮酩酊”，可进入昏睡或昏迷状态。吸入高浓度，患者可迅速昏迷、因呼吸和心跳停止而死亡。潜水员深替时，可发生氮的麻醉作用；若从高压环境下过快转入常压环境，体内会形成氮气气泡，压迫神经、血管或造成徽血管阻塞，发生“减压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本品不燃。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迅速脱离现场至空气新鲜处。保持呼吸道通畅。如呼吸困难，给输氧。呼吸心跳停止时，立即进行人工呼吸和胸外心脏按压术。就医。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氮气。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本品不燃。尽可能将容器从火场移至空旷处。喷水保持火场容器冷却，直至灭火结束。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迅速撤离泄漏污染区人员至上风处，并进行隔离，严格限制出入。建议应急处理人员戴自给正压式呼吸器，穿一般作业工作服。尽可能切断泄漏源。合理通风，加速扩散。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密闭操作。密闭操作，提供良好的自然通风条件。操作人员必须经过专门培训，严格遵守操作规程。防止气体泄漏到工作场所空气中。搬运时轻装轻卸，防止钢瓶及附件破损。配备泄漏应急处理设备。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储存于阴凉、通风的库房。远离火种、热源。库温不宜超过30℃。储区应备有泄漏应急处理设备。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ACGIH 窒息性气体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密闭操作。提供良好的自然通风条件。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一般不需特殊防护。当作业场所空气中氧气浓度低于18％时，必须佩戴空气呼吸器、氧气呼吸器或长管面具。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一般不需特殊防护。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穿一般作业工作服。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戴一般作业防护手套。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避免高浓度吸入。进入罐、限制性空间或其它高浓度区作业，须有人监护。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含量: 高纯氮≥99.999％; 工业级 一级≥99.5％; 二级≥98.5％。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0.81(-196℃)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1026.42(-173℃)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微溶于水、乙醇。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用于合成氨，制硝酸，用作物质保护剂，冷冻剂。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处置前应参阅国家和地方有关法规。废气直接排入大气。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钢质气瓶；安瓿瓶外普通木箱。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采用刚瓶运输时必须戴好钢瓶上的安全帽。钢瓶一般平放，并应将瓶口朝同一方向，不可交叉；高度不得超过车辆的防护栏板，并用三角木垫卡牢，防止滚动。严禁与易燃物或可燃物等混装混运。夏季应早晚运输，防止日光曝晒。铁路运输时要禁止溜放。</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8）锂</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7439-93-2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金属锂</w:t>
            </w:r>
          </w:p>
          <w:p>
            <w:pPr>
              <w:widowControl/>
              <w:spacing w:line="260" w:lineRule="exact"/>
              <w:jc w:val="left"/>
              <w:rPr>
                <w:rFonts w:ascii="宋体" w:hAnsi="宋体" w:cs="宋体"/>
                <w:color w:val="auto"/>
                <w:kern w:val="0"/>
              </w:rPr>
            </w:pPr>
            <w:r>
              <w:rPr>
                <w:rFonts w:hint="eastAsia" w:ascii="宋体" w:hAnsi="宋体" w:cs="宋体"/>
                <w:color w:val="auto"/>
                <w:kern w:val="0"/>
              </w:rPr>
              <w:t>锂</w:t>
            </w:r>
          </w:p>
          <w:p>
            <w:pPr>
              <w:widowControl/>
              <w:spacing w:line="260" w:lineRule="exact"/>
              <w:jc w:val="left"/>
              <w:rPr>
                <w:rFonts w:ascii="宋体" w:hAnsi="宋体" w:cs="宋体"/>
                <w:color w:val="auto"/>
                <w:kern w:val="0"/>
              </w:rPr>
            </w:pPr>
            <w:r>
              <w:rPr>
                <w:rFonts w:hint="eastAsia" w:ascii="宋体" w:hAnsi="宋体" w:cs="宋体"/>
                <w:color w:val="auto"/>
                <w:kern w:val="0"/>
              </w:rPr>
              <w:t>lithium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Li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本品具有强烈腐蚀性，眼和皮肤接触引起刺激或灼伤。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本品遇湿易燃，具强腐蚀性、强刺激性，可致人体灼伤。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化学反应活性很高，加热至熔融状态时能在空气中自燃，但粉尘能在常温下燃烧。遇水或酸发生反应放出氢气及热量, 能引起燃烧。燃烧后即成熔融物流散，并放出白色浓烟，使火场全部荫蔽。金属锂能在空气、氧气、氮气或二氧化碳中燃烧，特别是有氧化锂或氮化锂存在下极易燃烧。锂在高温下能与混凝土或其它含湿的材料猛烈反应，反应放出的氢气与空气能形成爆炸性混合物。与卤素、硫、磷等发生剧烈的化学反应, 引起燃烧。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氧化锂。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禁止使用水、泡沫或卤化物灭火剂。用二氧化碳与干粉也无效。最好的灭火方法是用干燥石墨粉和干砂闷熄火苗，隔绝空气。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隔离泄漏污染区，限制出入。切断火源。建议应急处理人员戴自给正压式呼吸器，穿化学防护服。不要直接接触泄漏物。小量泄漏：收入金属容器并保存在煤油或液体石蜡中。大量泄漏：与有关技术部门联系，确定清除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密闭操作。操作人员必须经过专门培训，严格遵守操作规程。建议操作人员佩戴自吸过滤式防尘口罩，戴化学安全防护眼镜，穿化学防护服，戴橡胶手套。远离火种、热源，工作场所严禁吸烟。使用防爆型的通风系统和设备。避免与酸类、卤素接触。尤其要注意避免与水接触。在氩气中操作处置。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存于液体石蜡中，注意包装完整密封。储存于阴凉、通风的库房。远离火种、热源。库温不超过25℃，相对湿度不超过75％。应与酸类、卤素等分开存放，切忌混储。采用防爆型照明、通风设施。禁止使用易产生火花的机械设备和工具。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密闭操作。提供安全淋浴和洗眼设备。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一般不需要特殊防护，但建议特殊情况下，佩戴自吸过滤式防尘口罩。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穿化学防护服。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工作现场严禁吸烟。注意个人清洁卫生。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银白色软金属。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1317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0.13(723℃)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不溶于烃类，溶于硝酸、液氨。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用作还原剂与氢化剂、合金硬化剂、铜和铜合金中脱氧剂，也用于有机合成。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卤素、酸类、氧、氯代烃、硫、磷。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在空气中可氧化。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LD50：1000 mg/kg(小鼠腹腔)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处置前应参阅国家和地方有关法规。用无水正丁醇破坏。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43001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1415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浸没在装有矿物油或液体石蜡的坚固金属容器内，严密封口，再装入坚固木箱中；装入盛有矿物油或液体石蜡的玻璃瓶内，再装入金属容器，严封后装入木箱。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6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6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装运本品的车辆排气管须有阻火装置。运输过程中要确保容器不泄漏、不倒塌、不坠落、不损坏。严禁与酸类、卤素、食用化学品等混装混运。运输途中应防曝晒、雨淋，防高温。中途停留时应远离火种、热源。运输用车、船必须干燥，并有良好的防雨设施。车辆运输完毕应进行彻底清扫。铁路运输时要禁止溜放。</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9）双氧水</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7722-84-1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过氧化氢</w:t>
            </w:r>
          </w:p>
          <w:p>
            <w:pPr>
              <w:widowControl/>
              <w:spacing w:line="240" w:lineRule="exact"/>
              <w:jc w:val="left"/>
              <w:rPr>
                <w:rFonts w:ascii="宋体" w:hAnsi="宋体" w:cs="宋体"/>
                <w:color w:val="auto"/>
                <w:kern w:val="0"/>
              </w:rPr>
            </w:pPr>
            <w:r>
              <w:rPr>
                <w:rFonts w:hint="eastAsia" w:ascii="宋体" w:hAnsi="宋体" w:cs="宋体"/>
                <w:color w:val="auto"/>
                <w:kern w:val="0"/>
              </w:rPr>
              <w:t>双氧水</w:t>
            </w:r>
          </w:p>
          <w:p>
            <w:pPr>
              <w:widowControl/>
              <w:spacing w:line="240" w:lineRule="exact"/>
              <w:jc w:val="left"/>
              <w:rPr>
                <w:rFonts w:ascii="宋体" w:hAnsi="宋体" w:cs="宋体"/>
                <w:color w:val="auto"/>
                <w:kern w:val="0"/>
              </w:rPr>
            </w:pPr>
            <w:r>
              <w:rPr>
                <w:rFonts w:hint="eastAsia" w:ascii="宋体" w:hAnsi="宋体" w:cs="宋体"/>
                <w:color w:val="auto"/>
                <w:kern w:val="0"/>
              </w:rPr>
              <w:t>hydrogen peroxide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H2O2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过氧化氢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吸入本品蒸气或雾对呼吸道有强烈刺激性。眼直接接触液体可致不可逆损伤甚至失明。口服中毒出现腹痛、胸口痛、呼吸困难、呕吐、一时性运动和感觉障碍、体温升高等。个别病例出现视力障碍、癫痫样痉挛、轻瘫。长期接触本品可致接触性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本品助燃，具强刺激性。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脱去污染的衣着，用大量流动清水冲洗。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爆炸性强氧化剂。过氧化氢本身不燃，但能与可燃物反应放出大量热量和氧气而引起着火爆炸。过氧化氢在pH值为3.5～4.5时最稳定，在碱性溶液中极易分解，在遇强光，特别是短波射线照射时也能发生分解。当加热到 100℃以上时，开始急剧分解。它与许多有机物如糖、淀粉、醇类、石油产品等形成爆炸性混合物，在撞击、受热或电火花作用下能发生爆炸。过氧化氢与许多无机化合物或杂质接触后会迅速分解而导致爆炸，放出大量的热量、氧和水蒸气。大多数重金属（如铁、铜、银、铅、汞、锌、钴、镍、铬、锰等）及其氧化物和盐类都是活性催化剂，尘土、香烟灰、碳粉、铁锈等也能加速分解。浓度超过74％的过氧化氢，在具有适当的点火源或温度的密闭容器中，能产生气相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氧气、水。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消防人员必须穿全身防火防毒服，在上风向灭火。尽可能将容器从火场移至空旷处。喷水保持火场容器冷却，直至灭火结束。处在火场中的容器若已变色或从安全泄压装置中产生声音，必须马上撤离。灭火剂：水、雾状水、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建议应急处理人员戴自给正压式呼吸器，穿防毒服。尽可能切断泄漏源。防止流入下水道、排洪沟等限制性空间。小量泄漏：用砂土、蛭石或其它惰性材料吸收。也可以用大量水冲洗，洗水稀释后放入废水系统。大量泄漏：构筑围堤或挖坑收容。喷雾状水冷却和稀释蒸汽、保护现场人员、把泄漏物稀释成不燃物。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自吸过滤式防毒面具（全面罩），穿聚乙烯防毒服，戴氯丁橡胶手套。远离火种、热源，工作场所严禁吸烟。远离易燃、可燃物。防止蒸气泄漏到工作场所空气中。避免与还原剂、活性金属粉末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储存于阴凉、通风的库房。远离火种、热源。库温不宜超过30℃。保持容器密封。应与易（可）燃物、还原剂、活性金属粉末等分开存放，切忌混储。储区应备有泄漏应急处理设备和合适的收容材料。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ACGIH 1ppm,1.4mg/m3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四氯化钛分光光度法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可能接触其蒸气时，应该佩戴自吸过滤式防毒面具（全面罩）。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穿聚乙烯防毒服。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戴氯丁橡胶手套。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工作现场严禁吸烟。工作完毕，淋浴更衣。注意个人清洁卫生。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工业级 分为27.5％、35％两种。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无色透明液体，有微弱的特殊气味。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-2(无水)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158(无水)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1.46(无水)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0.13(15.3℃)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溶于水、醇、醚，不溶于苯、石油醚。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用于漂白，用于医药，也用作分析试剂。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易燃或可燃物、强还原剂、铜、铁、铁盐、锌、活性金属粉末。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受热。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经水稀释后，发生分解放出氧气，待充分分解后，把废液排入废水系统。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51001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大包装：塑料桶（罐），容器上部应有减压阀或通气口，容器内至少有10％余量，每桶（罐）净重不超过50公斤。试剂包装：塑料瓶，再单个装入塑料袋内，合装在钙塑箱内。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双氧水应添加足够的稳定剂。含量≥40% 的双氧水，运输时须经铁路局批准。双氧水限用全钢棚车按规定办理运输。试剂包装（含量＜40% ），可以按零担办理。设计的桶、罐、箱，须包装试验合格，并经铁路局批准；含量≤3%的双氧水，可按普通货物条件运输。铁路运输时应严格按照铁道部《危险货物运输规则》中的危险货物配装表进行配装。运输时单独装运，运输过程中要确保容器不泄漏、不倒塌、不坠落、不损坏。严禁与酸类、易燃物、有机物、还原剂、自燃物品、遇湿易燃物品等并车混运。运输时车速不宜过快，不得强行超车。公路运输时要按规定路线行驶。运输车辆装卸前后，均应彻底清扫、洗净，严禁混入有机物、易燃物等杂质。</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0</w:t>
      </w:r>
      <w:r>
        <w:rPr>
          <w:rFonts w:hint="eastAsia"/>
          <w:color w:val="auto"/>
          <w:kern w:val="0"/>
          <w:sz w:val="24"/>
        </w:rPr>
        <w:t>）丁酮</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78-93-3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2-丁酮</w:t>
            </w:r>
          </w:p>
          <w:p>
            <w:pPr>
              <w:widowControl/>
              <w:spacing w:line="280" w:lineRule="exact"/>
              <w:jc w:val="left"/>
              <w:rPr>
                <w:rFonts w:ascii="宋体" w:hAnsi="宋体" w:cs="宋体"/>
                <w:color w:val="auto"/>
                <w:kern w:val="0"/>
              </w:rPr>
            </w:pPr>
            <w:r>
              <w:rPr>
                <w:rFonts w:hint="eastAsia" w:ascii="宋体" w:hAnsi="宋体" w:cs="宋体"/>
                <w:color w:val="auto"/>
                <w:kern w:val="0"/>
              </w:rPr>
              <w:t>甲基乙基酮</w:t>
            </w:r>
          </w:p>
          <w:p>
            <w:pPr>
              <w:widowControl/>
              <w:spacing w:line="280" w:lineRule="exact"/>
              <w:jc w:val="left"/>
              <w:rPr>
                <w:rFonts w:ascii="宋体" w:hAnsi="宋体" w:cs="宋体"/>
                <w:color w:val="auto"/>
                <w:kern w:val="0"/>
              </w:rPr>
            </w:pPr>
            <w:r>
              <w:rPr>
                <w:rFonts w:hint="eastAsia" w:ascii="宋体" w:hAnsi="宋体" w:cs="宋体"/>
                <w:color w:val="auto"/>
                <w:kern w:val="0"/>
              </w:rPr>
              <w:t>2-butanone</w:t>
            </w:r>
          </w:p>
          <w:p>
            <w:pPr>
              <w:widowControl/>
              <w:spacing w:line="280" w:lineRule="exact"/>
              <w:jc w:val="left"/>
              <w:rPr>
                <w:rFonts w:ascii="宋体" w:hAnsi="宋体" w:cs="宋体"/>
                <w:color w:val="auto"/>
                <w:kern w:val="0"/>
              </w:rPr>
            </w:pPr>
            <w:r>
              <w:rPr>
                <w:rFonts w:hint="eastAsia" w:ascii="宋体" w:hAnsi="宋体" w:cs="宋体"/>
                <w:color w:val="auto"/>
                <w:kern w:val="0"/>
              </w:rPr>
              <w:t>methyl ethyl ketone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C4H8O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72.11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2-丁酮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对眼、鼻、喉、粘膜有刺激性。长期接触可致皮炎。本品常与己酮同-[2]混合应用，能加强己酮-[2]引起的周围神经病现象，但单独接触丁酮未发现有周围神经病现象。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易燃，其蒸气与空气可形成爆炸性混合物，遇明火、高热或与氧化剂接触，有引起燃烧爆炸的危险。其蒸气比空气重，能在较低处扩散到相当远的地方，遇火源会着火回燃。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自吸过滤式防毒面具（半面罩），戴化学安全防护眼镜，穿防静电工作服，戴橡胶耐油手套。远离火种、热源，工作场所严禁吸烟。使用防爆型的通风系统和设备。防止蒸气泄漏到工作场所空气中。避免与氧化剂、还原剂、碱类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保持容器密封。应与氧化剂、还原剂、碱类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OSHA 200ppm,590mg/m3; ACGIH 200ppm,590mg/m3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ACGIH 300ppm,885mg/m3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生产过程密闭，全面通风。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空气中浓度超标时，佩戴自吸过滤式防毒面具（半面罩）。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必要时，戴化学安全防护眼镜。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工作现场严禁吸烟。注意个人清洁卫生。避免长期反复接触。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无色液体，有似丙酮的气味。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79.6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9.49(20℃)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2441.8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溶于水、乙醇、乙醚，可混溶于油类。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用作溶剂、脱蜡剂，也用于多种有机合成，及作为合成香料和医药的原料。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强氧化剂、碱类、强还原剂。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LD50：3400 mg/kg(大鼠经口)；6480 mg/kg(兔经皮) LC50：23520mg/m3，8小时(大鼠吸入)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家兔经眼：80mg，引起刺激。家兔经皮开放性刺激试验： 13780μg/24小时，轻度刺激。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32073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1193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8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8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还原剂、碱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1</w:t>
      </w:r>
      <w:r>
        <w:rPr>
          <w:rFonts w:hint="eastAsia"/>
          <w:color w:val="auto"/>
          <w:kern w:val="0"/>
          <w:sz w:val="24"/>
        </w:rPr>
        <w:t>）氨基锂</w:t>
      </w:r>
    </w:p>
    <w:tbl>
      <w:tblPr>
        <w:tblStyle w:val="51"/>
        <w:tblW w:w="501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8"/>
        <w:gridCol w:w="6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CAS：</w:t>
            </w:r>
          </w:p>
        </w:tc>
        <w:tc>
          <w:tcPr>
            <w:tcW w:w="0" w:type="auto"/>
            <w:vAlign w:val="center"/>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7782-89-0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名称：</w:t>
            </w:r>
          </w:p>
        </w:tc>
        <w:tc>
          <w:tcPr>
            <w:tcW w:w="0" w:type="auto"/>
            <w:vAlign w:val="center"/>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氨基化锂</w:t>
            </w:r>
          </w:p>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氨基锂</w:t>
            </w:r>
          </w:p>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lithium amide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分子式：</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LiNH2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分子量：</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22.96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有害物成分：</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氨基化锂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健康危害：</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本品对粘膜、上呼吸道、眼睛及皮肤有强烈刺激性。吸入后，可因喉和支气管的痉挛、炎症和水肿，化学性肺炎或肺水肿而致死。中毒表现有烧灼感、咳嗽、喘息、喉炎、气短、头痛、恶心和呕吐。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燃爆危险：</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本品遇湿易燃，具强刺激性。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皮肤接触：</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立即脱去污染的衣着，用大量流动清水冲洗。就医。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眼睛接触：</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吸入：</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食入：</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危险特性：</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遇明火、高热易引起燃烧爆炸。遇水分解放热，并散发出易燃的氨气。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有害燃烧产物：</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灭火方法：</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消防人员须戴好防毒面具，在安全距离以外，在上风向灭火。灭火剂：干粉、二氧化碳、砂土。禁止用水和泡沫灭火。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应急处理：</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隔离泄漏污染区，限制出入。切断火源。建议应急处理人员戴自给正压式呼吸器，穿防毒服。用砂土、干燥石灰或苏打灰混合。小心扫起，转移至安全场所。若大量泄漏，用塑料布、帆布覆盖。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操作注意事项：</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局部排风。操作人员必须经过专门培训，严格遵守操作规程。建议操作人员佩戴防尘面具（全面罩），穿胶布防毒衣，戴橡胶手套。远离火种、热源，工作场所严禁吸烟。使用防爆型的通风系统和设备。避免产生粉尘。避免与氧化剂、酸类、醇类接触。尤其要注意避免与水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储存注意事项：</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储存于阴凉、干燥、通风良好的库房。远离火种、热源。库温不超过30℃，相对湿度不超过80％。包装必须密封，切勿受潮。应与氧化剂、酸类、醇类等分开存放，切忌混储。采用防爆型照明、通风设施。禁止使用易产生火花的机械设备和工具。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工程控制：</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密闭操作，局部排风。提供安全淋浴和洗眼设备。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呼吸系统防护：</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可能接触其粉尘时，必须佩戴防尘面具（全面罩）。紧急事态抢救或撤离时，应该佩戴空气呼吸器。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眼睛防护：</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身体防护：</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穿胶布防毒衣。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手防护：</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其他防护：</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工作现场严禁吸烟。工作完毕，淋浴更衣。保持良好的卫生习惯。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主要成分：</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外观与性状：</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白色结晶或粉末，有氨的气味。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熔点(℃)：</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380~400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沸点(℃)：</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相对密度(水=1)：</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溶解性：</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不溶于煤油。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主要用途：</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用于有机合成、药物制造。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禁配物：</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强氧化剂、酸类、水、醇类。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避免接触的条件：</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接触潮气可分解。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急性毒性：</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其它有害作用：</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废弃处置方法：</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处置前应参阅国家和地方有关法规。用无水正丁醇破坏。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危险货物编号：</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UN编号：</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包装类别：</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O51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包装方法：</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塑料袋或二层牛皮纸袋外全开口或中开口钢桶（钢板厚0.5 毫米，每桶净重不超过50公斤）；螺纹口玻璃瓶、铁盖压口玻璃瓶、塑料瓶或金属桶（罐）外普通木箱。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tcPr>
          <w:p>
            <w:pPr>
              <w:widowControl/>
              <w:wordWrap w:val="0"/>
              <w:spacing w:line="26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运输注意事项：</w:t>
            </w:r>
          </w:p>
        </w:tc>
        <w:tc>
          <w:tcPr>
            <w:tcW w:w="0" w:type="auto"/>
          </w:tcPr>
          <w:p>
            <w:pPr>
              <w:widowControl/>
              <w:wordWrap w:val="0"/>
              <w:spacing w:line="26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运输时运输车辆应配备相应品种和数量的消防器材及泄漏应急处理设备。装运本品的车辆排气管须有阻火装置。运输过程中要确保容器不泄漏、不倒塌、不坠落、不损坏。严禁与氧化剂、酸类、醇类、食用化学品等混装混运。运输途中应防曝晒、雨淋，防高温。中途停留时应远离火种、热源。运输用车、船必须干燥，并有良好的防雨设施。车辆运输完毕应进行彻底清扫。铁路运输时要禁止溜放。</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2</w:t>
      </w:r>
      <w:r>
        <w:rPr>
          <w:rFonts w:hint="eastAsia"/>
          <w:color w:val="auto"/>
          <w:kern w:val="0"/>
          <w:sz w:val="24"/>
        </w:rPr>
        <w:t>）硫酸</w:t>
      </w:r>
    </w:p>
    <w:tbl>
      <w:tblPr>
        <w:tblStyle w:val="31"/>
        <w:tblW w:w="5000" w:type="pct"/>
        <w:tblCellSpacing w:w="0" w:type="dxa"/>
        <w:tblInd w:w="0" w:type="dxa"/>
        <w:tblBorders>
          <w:top w:val="outset" w:color="8C92B9" w:sz="6" w:space="0"/>
          <w:left w:val="outset" w:color="8C92B9" w:sz="6" w:space="0"/>
          <w:bottom w:val="outset" w:color="8C92B9" w:sz="6" w:space="0"/>
          <w:right w:val="outset" w:color="8C92B9" w:sz="6" w:space="0"/>
          <w:insideH w:val="none" w:color="auto" w:sz="0" w:space="0"/>
          <w:insideV w:val="none" w:color="auto" w:sz="0" w:space="0"/>
        </w:tblBorders>
        <w:tblLayout w:type="fixed"/>
        <w:tblCellMar>
          <w:top w:w="0" w:type="dxa"/>
          <w:left w:w="0" w:type="dxa"/>
          <w:bottom w:w="0" w:type="dxa"/>
          <w:right w:w="0" w:type="dxa"/>
        </w:tblCellMar>
      </w:tblPr>
      <w:tblGrid>
        <w:gridCol w:w="9100"/>
      </w:tblGrid>
      <w:tr>
        <w:tblPrEx>
          <w:tblBorders>
            <w:top w:val="outset" w:color="8C92B9" w:sz="6" w:space="0"/>
            <w:left w:val="outset" w:color="8C92B9" w:sz="6" w:space="0"/>
            <w:bottom w:val="outset" w:color="8C92B9" w:sz="6" w:space="0"/>
            <w:right w:val="outset" w:color="8C92B9" w:sz="6" w:space="0"/>
            <w:insideH w:val="none" w:color="auto" w:sz="0" w:space="0"/>
            <w:insideV w:val="none" w:color="auto" w:sz="0" w:space="0"/>
          </w:tblBorders>
          <w:tblCellMar>
            <w:top w:w="0" w:type="dxa"/>
            <w:left w:w="0" w:type="dxa"/>
            <w:bottom w:w="0" w:type="dxa"/>
            <w:right w:w="0" w:type="dxa"/>
          </w:tblCellMar>
        </w:tblPrEx>
        <w:trPr>
          <w:trHeight w:val="1680" w:hRule="atLeast"/>
          <w:tblCellSpacing w:w="0" w:type="dxa"/>
        </w:trPr>
        <w:tc>
          <w:tcPr>
            <w:tcW w:w="5000" w:type="pct"/>
            <w:tcBorders>
              <w:top w:val="outset" w:color="8C92B9" w:sz="6" w:space="0"/>
              <w:left w:val="outset" w:color="8C92B9" w:sz="6" w:space="0"/>
              <w:bottom w:val="outset" w:color="8C92B9" w:sz="6" w:space="0"/>
              <w:right w:val="outset" w:color="8C92B9" w:sz="6" w:space="0"/>
            </w:tcBorders>
          </w:tcPr>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2198"/>
              <w:gridCol w:w="6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2" w:type="dxa"/>
                  <w:vMerge w:val="restart"/>
                </w:tcPr>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标</w:t>
                  </w:r>
                </w:p>
                <w:p>
                  <w:pPr>
                    <w:widowControl/>
                    <w:spacing w:before="100" w:beforeAutospacing="1" w:after="100" w:afterAutospacing="1"/>
                    <w:jc w:val="right"/>
                    <w:rPr>
                      <w:rFonts w:ascii="宋体" w:hAnsi="宋体" w:eastAsia="Times New Roman" w:cs="宋体"/>
                      <w:color w:val="auto"/>
                      <w:kern w:val="0"/>
                    </w:rPr>
                  </w:pPr>
                  <w:r>
                    <w:rPr>
                      <w:rFonts w:ascii="宋体" w:hAnsi="宋体" w:eastAsia="Times New Roman" w:cs="宋体"/>
                      <w:color w:val="auto"/>
                      <w:kern w:val="0"/>
                    </w:rPr>
                    <w:t> </w:t>
                  </w: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识</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中文名：</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硫酸；磺漒水；硫漒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英文名：</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Sulfuric acid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分子式：</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H2SO4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分子量：</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98.08  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CAS号：</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7664-93-9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RTECS号：</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WS5600000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UN编号：</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1830  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危险货物编号：</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81007  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IMDG规则页码：</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8230  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理</w:t>
                  </w: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化</w:t>
                  </w: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性</w:t>
                  </w: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质</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外观与性状：</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纯品为无色透明油状液体，无臭。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主要用途：</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用于生产化学肥料，在化工、医药、塑料、染料、石油提炼等工业也有广泛的应用。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熔点：</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10．5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沸点：</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330．0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相对密度(水=1)：</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1．83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相对密度(空气=1):</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饱和蒸汽压(kPa)：</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0．13／145．8℃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溶解性：</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与水混溶。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临界温度(℃)：</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临界压力(MPa)：</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燃烧热(kj/mol)：</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无意义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jc w:val="center"/>
                    <w:rPr>
                      <w:rFonts w:ascii="宋体" w:hAnsi="宋体" w:eastAsia="Times New Roman" w:cs="宋体"/>
                      <w:b/>
                      <w:bCs/>
                      <w:color w:val="auto"/>
                      <w:kern w:val="0"/>
                    </w:rPr>
                  </w:pPr>
                  <w:r>
                    <w:rPr>
                      <w:rFonts w:ascii="宋体" w:hAnsi="宋体" w:eastAsia="Times New Roman" w:cs="宋体"/>
                      <w:b/>
                      <w:bCs/>
                      <w:color w:val="auto"/>
                      <w:kern w:val="0"/>
                    </w:rPr>
                    <w:t>燃</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b/>
                      <w:bCs/>
                      <w:color w:val="auto"/>
                      <w:kern w:val="0"/>
                    </w:rPr>
                  </w:pPr>
                  <w:r>
                    <w:rPr>
                      <w:rFonts w:ascii="宋体" w:hAnsi="宋体" w:eastAsia="Times New Roman" w:cs="宋体"/>
                      <w:b/>
                      <w:bCs/>
                      <w:color w:val="auto"/>
                      <w:kern w:val="0"/>
                    </w:rPr>
                    <w:t>烧</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b/>
                      <w:bCs/>
                      <w:color w:val="auto"/>
                      <w:kern w:val="0"/>
                    </w:rPr>
                  </w:pPr>
                  <w:r>
                    <w:rPr>
                      <w:rFonts w:ascii="宋体" w:hAnsi="宋体" w:eastAsia="Times New Roman" w:cs="宋体"/>
                      <w:b/>
                      <w:bCs/>
                      <w:color w:val="auto"/>
                      <w:kern w:val="0"/>
                    </w:rPr>
                    <w:t>爆</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b/>
                      <w:bCs/>
                      <w:color w:val="auto"/>
                      <w:kern w:val="0"/>
                    </w:rPr>
                  </w:pPr>
                  <w:r>
                    <w:rPr>
                      <w:rFonts w:ascii="宋体" w:hAnsi="宋体" w:eastAsia="Times New Roman" w:cs="宋体"/>
                      <w:b/>
                      <w:bCs/>
                      <w:color w:val="auto"/>
                      <w:kern w:val="0"/>
                    </w:rPr>
                    <w:t>炸</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b/>
                      <w:bCs/>
                      <w:color w:val="auto"/>
                      <w:kern w:val="0"/>
                    </w:rPr>
                  </w:pPr>
                  <w:r>
                    <w:rPr>
                      <w:rFonts w:ascii="宋体" w:hAnsi="宋体" w:eastAsia="Times New Roman" w:cs="宋体"/>
                      <w:b/>
                      <w:bCs/>
                      <w:color w:val="auto"/>
                      <w:kern w:val="0"/>
                    </w:rPr>
                    <w:t>危</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b/>
                      <w:bCs/>
                      <w:color w:val="auto"/>
                      <w:kern w:val="0"/>
                    </w:rPr>
                  </w:pPr>
                  <w:r>
                    <w:rPr>
                      <w:rFonts w:ascii="宋体" w:hAnsi="宋体" w:eastAsia="Times New Roman" w:cs="宋体"/>
                      <w:b/>
                      <w:bCs/>
                      <w:color w:val="auto"/>
                      <w:kern w:val="0"/>
                    </w:rPr>
                    <w:t>险</w:t>
                  </w:r>
                </w:p>
                <w:p>
                  <w:pPr>
                    <w:widowControl/>
                    <w:jc w:val="center"/>
                    <w:rPr>
                      <w:rFonts w:ascii="宋体" w:hAnsi="宋体" w:eastAsia="Times New Roman" w:cs="宋体"/>
                      <w:b/>
                      <w:bCs/>
                      <w:color w:val="auto"/>
                      <w:kern w:val="0"/>
                    </w:rPr>
                  </w:pPr>
                </w:p>
                <w:p>
                  <w:pPr>
                    <w:widowControl/>
                    <w:jc w:val="center"/>
                    <w:rPr>
                      <w:rFonts w:ascii="宋体" w:hAnsi="宋体" w:eastAsia="Times New Roman" w:cs="宋体"/>
                      <w:color w:val="auto"/>
                      <w:kern w:val="0"/>
                    </w:rPr>
                  </w:pPr>
                  <w:r>
                    <w:rPr>
                      <w:rFonts w:ascii="宋体" w:hAnsi="宋体" w:eastAsia="Times New Roman" w:cs="宋体"/>
                      <w:b/>
                      <w:bCs/>
                      <w:color w:val="auto"/>
                      <w:kern w:val="0"/>
                    </w:rPr>
                    <w:t>性</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避免接触的条件：</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燃烧性：</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助燃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建规火险分级：</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乙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闪点(℃)：</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无意义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自燃温度(℃)：</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无意义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爆炸下限(V%)：</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无意义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爆炸上限(V%)：</w:t>
                  </w:r>
                </w:p>
              </w:tc>
              <w:tc>
                <w:tcPr>
                  <w:tcW w:w="6344" w:type="dxa"/>
                </w:tcPr>
                <w:p>
                  <w:pPr>
                    <w:widowControl/>
                    <w:jc w:val="left"/>
                    <w:rPr>
                      <w:rFonts w:ascii="宋体" w:hAnsi="宋体" w:eastAsia="Times New Roman" w:cs="宋体"/>
                      <w:color w:val="auto"/>
                      <w:kern w:val="0"/>
                    </w:rPr>
                  </w:pPr>
                  <w:r>
                    <w:rPr>
                      <w:rFonts w:ascii="宋体" w:hAnsi="宋体" w:eastAsia="Times New Roman" w:cs="宋体"/>
                      <w:color w:val="auto"/>
                      <w:kern w:val="0"/>
                    </w:rPr>
                    <w:t xml:space="preserve">无意义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危险特性：</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与易燃物(如苯)和有机物(如糖、纤维素等)接触会发生剧烈反应，甚至引起燃烧。能与一些活性金属粉末发生反应，放出氢气。遇水大量放热，可发生沸溅。具有强腐蚀性。能腐蚀绝大多数金属和塑料、橡胶及涂料。</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易燃性(红色)：0</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反应活性(黄色)：2</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特殊危险：与水反应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燃烧(分解)产物：</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氧化硫。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稳定性：</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稳定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聚合危害：</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不能出现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禁忌物：</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碱类、碱金属、水、强还原剂、易燃或可燃物。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灭火方法：</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砂土。禁止用水。消防器具(包括SCBA)不能提供足够有效的防护。若不小心接触，立即撤离现场，隔离器具，对人员彻底清污。蒸气比空气重，易在低处聚集。储存容器及其部件可能向四面八方飞射很远。如果该物质或被污染的流体进入水路，通知有潜在水体污染的下游用户，通知地方卫生、消防官员和污染控制部门。在安全防爆距离以外，使用雾状水冷却暴露的容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jc w:val="center"/>
                    <w:rPr>
                      <w:rFonts w:ascii="宋体" w:hAnsi="宋体" w:eastAsia="Times New Roman" w:cs="宋体"/>
                      <w:color w:val="auto"/>
                      <w:kern w:val="0"/>
                    </w:rPr>
                  </w:pPr>
                  <w:r>
                    <w:rPr>
                      <w:rFonts w:ascii="宋体" w:hAnsi="宋体" w:eastAsia="Times New Roman" w:cs="宋体"/>
                      <w:b/>
                      <w:bCs/>
                      <w:color w:val="auto"/>
                      <w:kern w:val="0"/>
                    </w:rPr>
                    <w:t>包装与储运</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危险性类别：</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第8．1类  酸性腐蚀品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危险货物包装标志：</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包装类别：</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储运注意事项：</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储存于阴凉、干燥、通风处。应与易燃、可燃物，碱类、金属粉末等分开存放。不可混储混运。搬运时要轻装轻卸，防止包装及容器损坏。分装和搬运作业要注意个人防护。</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ERG指南：137</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ERG指南分类：遇水反应性物质—腐蚀性的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jc w:val="center"/>
                    <w:rPr>
                      <w:rFonts w:ascii="宋体" w:hAnsi="宋体" w:eastAsia="Times New Roman" w:cs="宋体"/>
                      <w:color w:val="auto"/>
                      <w:kern w:val="0"/>
                    </w:rPr>
                  </w:pPr>
                  <w:r>
                    <w:rPr>
                      <w:rFonts w:ascii="宋体" w:hAnsi="宋体" w:eastAsia="Times New Roman" w:cs="宋体"/>
                      <w:b/>
                      <w:bCs/>
                      <w:color w:val="auto"/>
                      <w:kern w:val="0"/>
                    </w:rPr>
                    <w:t>毒性危害</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接触限值：</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中国MAC：2mg／m3</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苏联MAC：1mg[H+]／m3</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美国TWA：ACGIH 1mg／m3</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美国STEL：ACGIH 3mg／m3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侵入途径：</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吸入  食入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毒性：</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属中等毒类</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LD50：2140mg／kg(大鼠经口)</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LC50：510mg／m3  2小时(大鼠吸入)；320mg／m3  2小时(小鼠吸入)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健康危害：</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对皮肤、粘膜等组织有强烈的刺激和腐蚀作用。对眼睛可引起结膜炎、水肿、角膜混浊，以致失明；引起呼吸道刺激症状，重者发生呼吸困难和肺水肿；高浓度引起喉痉挛或声门水肿而死亡。口服后引起消化道烧伤以至溃疡形成。严重者可能有胃穿孔、腹膜炎、喉痉挛和声门水肿、肾损害、休克等。慢性影响有牙齿酸蚀症、慢性支气管炎、肺水肿和肝硬化。</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健康危害(蓝色)：3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急</w:t>
                  </w: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救</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皮肤接触：</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脱去污染的衣着，立即用水冲洗至少15分钟。或用2％碳酸氢钠溶液冲洗。就医。对少量皮肤接触，避免将物质播散面积扩大。在医生指导下擦去皮肤已凝固的熔融物。注意患者保暖并且保持安静。吸入、食入或皮肤接触该物质可引起迟发反应。确保医务人员了解该物质相关的个体防护知识，注意自身防护。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眼睛接触：</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立即提起眼睑，用流动清水或生理盐水冲洗至少15分钟。就医。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吸入：</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迅速脱离现场至空气新鲜处。呼吸困难时给输氧。给予2～4％碳酸氢钠溶液雾化吸入。就医。如果患者食入或吸入该物质不要用口对口进行人工呼吸，可用单向阀小型呼吸器或其他适当的医疗呼吸器。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食入：</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误服者给牛奶、蛋清、植物油等口服，不可催吐。立即就医。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pPr>
                    <w:widowControl/>
                    <w:spacing w:before="100" w:beforeAutospacing="1" w:after="100" w:afterAutospacing="1"/>
                    <w:jc w:val="center"/>
                    <w:rPr>
                      <w:rFonts w:ascii="宋体" w:hAnsi="宋体" w:eastAsia="Times New Roman" w:cs="宋体"/>
                      <w:b/>
                      <w:bCs/>
                      <w:color w:val="auto"/>
                      <w:kern w:val="0"/>
                    </w:rPr>
                  </w:pPr>
                  <w:r>
                    <w:rPr>
                      <w:rFonts w:ascii="宋体" w:hAnsi="宋体" w:eastAsia="Times New Roman" w:cs="宋体"/>
                      <w:b/>
                      <w:bCs/>
                      <w:color w:val="auto"/>
                      <w:kern w:val="0"/>
                    </w:rPr>
                    <w:t>防</w:t>
                  </w:r>
                </w:p>
                <w:p>
                  <w:pPr>
                    <w:widowControl/>
                    <w:spacing w:before="100" w:beforeAutospacing="1" w:after="100" w:afterAutospacing="1"/>
                    <w:jc w:val="center"/>
                    <w:rPr>
                      <w:rFonts w:ascii="宋体" w:hAnsi="宋体" w:eastAsia="Times New Roman" w:cs="宋体"/>
                      <w:b/>
                      <w:bCs/>
                      <w:color w:val="auto"/>
                      <w:kern w:val="0"/>
                    </w:rPr>
                  </w:pPr>
                </w:p>
                <w:p>
                  <w:pPr>
                    <w:widowControl/>
                    <w:spacing w:before="100" w:beforeAutospacing="1" w:after="100" w:afterAutospacing="1"/>
                    <w:jc w:val="center"/>
                    <w:rPr>
                      <w:rFonts w:ascii="宋体" w:hAnsi="宋体" w:eastAsia="Times New Roman" w:cs="宋体"/>
                      <w:b/>
                      <w:bCs/>
                      <w:color w:val="auto"/>
                      <w:kern w:val="0"/>
                    </w:rPr>
                  </w:pPr>
                  <w:r>
                    <w:rPr>
                      <w:rFonts w:ascii="宋体" w:hAnsi="宋体" w:eastAsia="Times New Roman" w:cs="宋体"/>
                      <w:b/>
                      <w:bCs/>
                      <w:color w:val="auto"/>
                      <w:kern w:val="0"/>
                    </w:rPr>
                    <w:t>护</w:t>
                  </w:r>
                </w:p>
                <w:p>
                  <w:pPr>
                    <w:widowControl/>
                    <w:spacing w:before="100" w:beforeAutospacing="1" w:after="100" w:afterAutospacing="1"/>
                    <w:jc w:val="center"/>
                    <w:rPr>
                      <w:rFonts w:ascii="宋体" w:hAnsi="宋体" w:eastAsia="Times New Roman" w:cs="宋体"/>
                      <w:b/>
                      <w:bCs/>
                      <w:color w:val="auto"/>
                      <w:kern w:val="0"/>
                    </w:rPr>
                  </w:pPr>
                </w:p>
                <w:p>
                  <w:pPr>
                    <w:widowControl/>
                    <w:spacing w:before="100" w:beforeAutospacing="1" w:after="100" w:afterAutospacing="1"/>
                    <w:jc w:val="center"/>
                    <w:rPr>
                      <w:rFonts w:ascii="宋体" w:hAnsi="宋体" w:eastAsia="Times New Roman" w:cs="宋体"/>
                      <w:b/>
                      <w:bCs/>
                      <w:color w:val="auto"/>
                      <w:kern w:val="0"/>
                    </w:rPr>
                  </w:pPr>
                  <w:r>
                    <w:rPr>
                      <w:rFonts w:ascii="宋体" w:hAnsi="宋体" w:eastAsia="Times New Roman" w:cs="宋体"/>
                      <w:b/>
                      <w:bCs/>
                      <w:color w:val="auto"/>
                      <w:kern w:val="0"/>
                    </w:rPr>
                    <w:t>措</w:t>
                  </w:r>
                </w:p>
                <w:p>
                  <w:pPr>
                    <w:widowControl/>
                    <w:spacing w:before="100" w:beforeAutospacing="1" w:after="100" w:afterAutospacing="1"/>
                    <w:jc w:val="center"/>
                    <w:rPr>
                      <w:rFonts w:ascii="宋体" w:hAnsi="宋体" w:eastAsia="Times New Roman" w:cs="宋体"/>
                      <w:b/>
                      <w:bCs/>
                      <w:color w:val="auto"/>
                      <w:kern w:val="0"/>
                    </w:rPr>
                  </w:pPr>
                </w:p>
                <w:p>
                  <w:pPr>
                    <w:widowControl/>
                    <w:spacing w:before="100" w:beforeAutospacing="1" w:after="100" w:afterAutospacing="1"/>
                    <w:jc w:val="center"/>
                    <w:rPr>
                      <w:rFonts w:ascii="宋体" w:hAnsi="宋体" w:eastAsia="Times New Roman" w:cs="宋体"/>
                      <w:color w:val="auto"/>
                      <w:kern w:val="0"/>
                    </w:rPr>
                  </w:pPr>
                  <w:r>
                    <w:rPr>
                      <w:rFonts w:ascii="宋体" w:hAnsi="宋体" w:eastAsia="Times New Roman" w:cs="宋体"/>
                      <w:b/>
                      <w:bCs/>
                      <w:color w:val="auto"/>
                      <w:kern w:val="0"/>
                    </w:rPr>
                    <w:t>施</w:t>
                  </w: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工程控制：</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密闭操作，注意通风。尽可能机械化、自动化。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呼吸系统防护：</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可能接触其蒸气或烟雾时，必须佩带防毒面具或供气式头盔。紧急事态抢救或逃生时，建议佩带自给式呼吸器。NIOSH/OSHA比照硫酸    25mg／m3：连续供气式呼吸器、动力驱动装防酸滤毒盒带高效微粒滤层的空气净化呼吸器。    50mg／m3：装防酸滤毒盒带高效微粒滤层的全面罩呼吸器、装滤毒盒防酸性气体且有高效微粒滤层的全面罩空气净化呼吸器、自携式呼吸器、全面罩呼吸器。    80mg／m3：供气式正压全面罩呼吸器。    应急或有计划进入浓度未知区域，或处于立即危及生命或健康的状况：自携式正压全面罩呼吸器、供气式正压全面罩呼吸器辅之以辅助自携式正压呼吸器。    逃生：装滤毒盒防酸性气体且有高效微粒滤层的全面罩空气净化呼吸器、自携式逃生呼吸器。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眼睛防护：</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戴化学安全防护眼镜。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防护服：</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穿工作服(防腐材料制作)。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手防护：</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戴橡皮手套。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pPr>
                    <w:widowControl/>
                    <w:jc w:val="left"/>
                    <w:rPr>
                      <w:rFonts w:ascii="宋体" w:hAnsi="宋体" w:eastAsia="Times New Roman" w:cs="宋体"/>
                      <w:color w:val="auto"/>
                      <w:kern w:val="0"/>
                    </w:rPr>
                  </w:pPr>
                </w:p>
              </w:tc>
              <w:tc>
                <w:tcPr>
                  <w:tcW w:w="2198" w:type="dxa"/>
                </w:tcPr>
                <w:p>
                  <w:pPr>
                    <w:widowControl/>
                    <w:jc w:val="right"/>
                    <w:rPr>
                      <w:rFonts w:ascii="宋体" w:hAnsi="宋体" w:eastAsia="Times New Roman" w:cs="宋体"/>
                      <w:color w:val="auto"/>
                      <w:kern w:val="0"/>
                    </w:rPr>
                  </w:pPr>
                  <w:r>
                    <w:rPr>
                      <w:rFonts w:ascii="宋体" w:hAnsi="宋体" w:eastAsia="Times New Roman" w:cs="宋体"/>
                      <w:color w:val="auto"/>
                      <w:kern w:val="0"/>
                    </w:rPr>
                    <w:t>其他：</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 xml:space="preserve">工作后，淋浴更衣。单独存放被毒物污染的衣服，洗后再用。保持良好的卫生习惯。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gridSpan w:val="2"/>
                </w:tcPr>
                <w:p>
                  <w:pPr>
                    <w:widowControl/>
                    <w:jc w:val="right"/>
                    <w:rPr>
                      <w:rFonts w:ascii="宋体" w:hAnsi="宋体" w:eastAsia="Times New Roman" w:cs="宋体"/>
                      <w:color w:val="auto"/>
                      <w:kern w:val="0"/>
                    </w:rPr>
                  </w:pPr>
                  <w:r>
                    <w:rPr>
                      <w:rFonts w:ascii="宋体" w:hAnsi="宋体" w:eastAsia="Times New Roman" w:cs="宋体"/>
                      <w:color w:val="auto"/>
                      <w:kern w:val="0"/>
                    </w:rPr>
                    <w:t>泄漏处置：</w:t>
                  </w:r>
                </w:p>
              </w:tc>
              <w:tc>
                <w:tcPr>
                  <w:tcW w:w="6344" w:type="dxa"/>
                </w:tcPr>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疏散泄漏污染区人员至安全区，禁止无关人员进入污染区，建议应急处理人员戴好面罩，穿化学防护服。不要直接接触泄漏物，勿使泄漏物与可燃物质(木材、纸、油等)接触，在确保安全情况下堵漏。喷水雾减慢挥发(或扩散)，但不要对泄漏物或泄漏点直接喷水。用沙土、干燥石灰或苏打灰混合，然后收集运至废物处理场所处置。也可以用大量水冲洗，经稀释的洗水放入废水系统。如大量泄漏，利用围堤收容，然后收集、转移、回收或无害处理后废弃。</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环境信息：</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防止水污染法：款307主要污染物、款313主要化学物或款401．15毒性物。</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防止水污染法：款311有害物质应报告量  主要化学物(同CERCLA)。</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应急计划和社区知情权法：款302极端有害物质，临界规划值(TPQ)  454kg。</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应急计划和社区知情权法：款304应报告量  454kg。</w:t>
                  </w:r>
                </w:p>
                <w:p>
                  <w:pPr>
                    <w:widowControl/>
                    <w:spacing w:line="300" w:lineRule="exact"/>
                    <w:jc w:val="left"/>
                    <w:rPr>
                      <w:rFonts w:ascii="宋体" w:hAnsi="宋体" w:eastAsia="Times New Roman" w:cs="宋体"/>
                      <w:color w:val="auto"/>
                      <w:kern w:val="0"/>
                    </w:rPr>
                  </w:pPr>
                  <w:r>
                    <w:rPr>
                      <w:rFonts w:ascii="宋体" w:hAnsi="宋体" w:eastAsia="Times New Roman" w:cs="宋体"/>
                      <w:color w:val="auto"/>
                      <w:kern w:val="0"/>
                    </w:rPr>
                    <w:t>应急计划和社区知情权法：款313表R，最低应报告浓度  0．1％。</w:t>
                  </w:r>
                </w:p>
              </w:tc>
            </w:tr>
          </w:tbl>
          <w:p>
            <w:pPr>
              <w:widowControl/>
              <w:jc w:val="left"/>
              <w:rPr>
                <w:rFonts w:ascii="宋体" w:hAnsi="宋体" w:cs="宋体"/>
                <w:color w:val="auto"/>
                <w:kern w:val="0"/>
                <w:sz w:val="24"/>
                <w:szCs w:val="24"/>
              </w:rPr>
            </w:pP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3</w:t>
      </w:r>
      <w:r>
        <w:rPr>
          <w:rFonts w:hint="eastAsia"/>
          <w:color w:val="auto"/>
          <w:kern w:val="0"/>
          <w:sz w:val="24"/>
        </w:rPr>
        <w:t>）氢溴酸</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10035-10-6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氢溴酸</w:t>
            </w:r>
          </w:p>
          <w:p>
            <w:pPr>
              <w:widowControl/>
              <w:wordWrap w:val="0"/>
              <w:spacing w:line="240" w:lineRule="exact"/>
              <w:jc w:val="left"/>
              <w:rPr>
                <w:rFonts w:ascii="宋体" w:hAnsi="宋体" w:cs="宋体"/>
                <w:color w:val="auto"/>
                <w:kern w:val="0"/>
              </w:rPr>
            </w:pPr>
            <w:r>
              <w:rPr>
                <w:rFonts w:hint="eastAsia" w:ascii="宋体" w:hAnsi="宋体" w:cs="宋体"/>
                <w:color w:val="auto"/>
                <w:kern w:val="0"/>
              </w:rPr>
              <w:t>hydrobromic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HBr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80.92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氢溴酸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可引起皮肤、粘膜的刺激或灼伤。长期低浓度接触可引起呼吸道刺激症状和消化功能障碍。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本品不燃，具强腐蚀性、强刺激性，可致人体灼伤。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对大多数金属有强腐蚀性。能与普通金属发生反应, 放出氢气而与空气形成爆炸性混合物。遇Ｈ发泡剂立即燃烧。遇氰化物能产生剧毒的氰化氢气体。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溴化氢。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用碱性物质如碳酸氢钠、碳酸钠、消石灰等中和。小火可用干燥砂土闷熄。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建议应急处理人员戴自给正压式呼吸器，穿防酸碱工作服。不要直接接触泄漏物。尽可能切断泄漏源。小量泄漏：用砂土、干燥石灰或苏打灰混合。也可以用大量水冲洗，洗水稀释后放入废水系统。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密闭操作，注意通风。操作尽可能机械化、自动化。操作人员必须经过专门培训，严格遵守操作规程。建议操作人员佩戴自吸过滤式防毒面具（全面罩），穿橡胶耐酸碱服，戴橡胶耐酸碱手套。远离易燃、可燃物。防止蒸气泄漏到工作场所空气中。避免与碱类、活性金属粉末接触。搬运时要轻装轻卸，防止包装及容器损坏。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超过30℃，相对湿度不超过85％。保持容器密封。应与易（可）燃物、碱类、活性金属粉末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OSHA 3ppm,9.9mg/m3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ACGIH 3ppm,9.9mg/m3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密闭操作，注意通风。尽可能机械化、自动化。提供安全淋浴和洗眼设备。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可能接触其烟雾时，佩戴自吸过滤式防毒面具（全面罩）或空气呼吸器。紧急事态抢救或撤离时，建议佩戴氧气呼吸器。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工作现场禁止吸烟、进食和饮水。工作完毕，淋浴更衣。单独存放被毒物污染的衣服，洗后备用。保持良好的卫生习惯。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无色液体，具有刺激性酸味。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-66.5(纯品)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126(47%)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1.49(47%)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与水混溶，可混溶于醇、乙酸。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用于制造无机溴化物和有机溴化物，用作分析试剂、触媒及还原剂。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碱类、氨、活性金属粉末、易燃或可燃物。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LD50：76 mg/kg(大鼠静脉) LC50：9460mg/m3，1小时(大鼠吸入)；2694mg/m3，1小时(小鼠吸入)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处置前应参阅国家和地方有关法规。中和、稀释后，排入废水系统。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81017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1788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玻璃瓶或塑料桶（罐）外普通木箱或半花格木箱；磨砂口玻璃瓶或螺纹口玻璃瓶外普通木箱；安瓿瓶外普通木箱；螺纹口玻璃瓶、铁盖压口玻璃瓶、塑料瓶或金属桶（罐）外普通木箱。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起运时包装要完整，装载应稳妥。运输过程中要确保容器不泄漏、不倒塌、不坠落、不损坏。严禁与易燃物或可燃物、碱类、活性金属粉末、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4</w:t>
      </w:r>
      <w:r>
        <w:rPr>
          <w:rFonts w:hint="eastAsia"/>
          <w:color w:val="auto"/>
          <w:kern w:val="0"/>
          <w:sz w:val="24"/>
        </w:rPr>
        <w:t>）二甲基甲酰胺（DMF）</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color w:val="auto"/>
                <w:kern w:val="0"/>
                <w:sz w:val="24"/>
              </w:rPr>
              <w:tab/>
            </w: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C3H7NO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N,N-二甲基甲酰胺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急性中毒：主要有眼和上呼吸道刺激症状、头痛、焦虑、恶心、呕吐、腹痛、便秘等。肝损害一般在中毒数日后出现，肝脏肿大，肝区痛，可出现黄疸。经皮肤吸收中毒者，皮肤出现水泡、水肿、粘糙，局部麻木、瘙痒、灼痛。慢性影响：有皮肤、粘膜刺激，神经衰弱综合征，血压偏低。还有恶心、呕吐、胸闷、食欲不振、胃痛、便秘及肝大和肝功能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易燃，遇明火、高热或与氧化剂接触，有引起燃烧爆炸的危险。能与浓硫酸、发烟硝酸猛烈反应, 甚至发生爆炸。与卤化物（如四氯化碳）能发生强烈反应。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一氧化碳、二氧化碳、氧化氮。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尽可能将容器从火场移至空旷处。喷水保持火场容器冷却，直至灭火结束。灭火剂：雾状水、抗溶性泡沫、干粉、二氧化碳、砂土。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化学防护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化学安全防护眼镜，穿化学防护服，戴橡胶手套。远离火种、热源，工作场所严禁吸烟。使用防爆型的通风系统和设备。防止蒸气泄漏到工作场所空气中。避免与氧化剂、还原剂、卤素接触。充装要控制流速，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保持容器密封。应与氧化剂、还原剂、卤素等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10ppm,30mg/m3[皮]; ACGIH 10ppm,30mg/m3[皮]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气相色谱法；羟胺－氧化铁分光光度法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空气中浓度超标时，佩戴过滤式防毒面具（半面罩）。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穿化学防护服。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工作现场严禁吸烟。工作完毕，淋浴更衣。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无色液体，有微弱的特殊臭味。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3.46(60℃)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与水混溶，可混溶于多数有机溶剂。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主要用作工业溶剂，医药工业上用于生产维生素、激素，也用于制造杀虫脒。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强氧化剂、酰基氯、氯仿、强还原剂、卤素、氯代烃。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LD50：4000 mg/kg(大鼠经口)；4720 mg/kg(兔经皮) LC50：9400mg/m3，2小时(小鼠吸入)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用焚烧法处置。与燃料混合后，再焚烧。焚烧炉排出的氮氧化物通过洗涤器除去。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33627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还原剂、卤素、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5</w:t>
      </w:r>
      <w:r>
        <w:rPr>
          <w:rFonts w:hint="eastAsia"/>
          <w:color w:val="auto"/>
          <w:kern w:val="0"/>
          <w:sz w:val="24"/>
        </w:rPr>
        <w:t>）乙酸乙酯</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C4H8O2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88.10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乙酸乙酯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对眼、鼻、咽喉有刺激作用。高浓度吸入可引进行性麻醉作用，急性肺水肿，肝、肾损害。持续大量吸入，可致呼吸麻痹。误服者可产生恶心、呕吐、腹痛、腹泻等。有致敏作用，因血管神经障碍而致牙龈出血；可致湿疹样皮炎。慢性影响：长期接触本品有时可致角膜混浊、继发性贫血、白细胞增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本品易燃，具刺激性，具致敏性。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易燃，其蒸气与空气可形成爆炸性混合物，遇明火、高热能引起燃烧爆炸。与氧化剂接触猛烈反应。其蒸气比空气重，能在较低处扩散到相当远的地方，遇火源会着火回燃。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采用抗溶性泡沫、二氧化碳、干粉、砂土灭火。用水灭火无效，但可用水保持火场中容器冷却。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活性炭或其它惰性材料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密闭操作，全面通风。操作人员必须经过专门培训，严格遵守操作规程。建议操作人员佩戴自吸过滤式防毒面具（半面罩），戴化学安全防护眼镜，穿防静电工作服，戴橡胶耐油手套。远离火种、热源，工作场所严禁吸烟。使用防爆型的通风系统和设备。防止蒸气泄漏到工作场所空气中。避免与氧化剂、酸类、碱类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储存于阴凉、通风的库房。远离火种、热源。库温不宜超过30℃。保持容器密封。应与氧化剂、酸类、碱类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OSHA 400ppm,1440mg/m3; ACGIH 400ppm,1440mg/m3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气相色谱法；羟胺－氯化铁分光光度法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可能接触其蒸气时，应该佩戴自吸过滤式防毒面具（半面罩）。紧急事态抢救或撤离时，建议佩戴空气呼吸器。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工作现场严禁吸烟。工作完毕，淋浴更衣。注意个人清洁卫生。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无色澄清液体，有芳香气味，易挥发。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13.33(27℃)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2244.2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250.1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微溶于水，溶于醇、酮、醚、氯仿等多数有机溶剂。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用途很广。主要用作溶剂，及用于染料和一些医药中间体的合成。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强氧化剂、碱类、酸类。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LD50：5620 mg/kg(大鼠经口)；4940 mg/kg(兔经口) LC50：5760mg/m3，8小时(大鼠吸入)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人经眼： 400ppm ，引起刺激。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32127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1173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wordWrap w:val="0"/>
              <w:spacing w:line="240" w:lineRule="exact"/>
              <w:jc w:val="right"/>
              <w:rPr>
                <w:rFonts w:ascii="宋体" w:hAnsi="宋体" w:cs="宋体"/>
                <w:color w:val="auto"/>
                <w:kern w:val="0"/>
              </w:rPr>
            </w:pPr>
            <w:r>
              <w:rPr>
                <w:rFonts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wordWrap w:val="0"/>
              <w:spacing w:line="240" w:lineRule="exact"/>
              <w:jc w:val="left"/>
              <w:rPr>
                <w:rFonts w:ascii="宋体" w:hAnsi="宋体" w:cs="宋体"/>
                <w:color w:val="auto"/>
                <w:kern w:val="0"/>
              </w:rPr>
            </w:pPr>
            <w:r>
              <w:rPr>
                <w:rFonts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酸类、碱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6</w:t>
      </w:r>
      <w:r>
        <w:rPr>
          <w:rFonts w:hint="eastAsia"/>
          <w:color w:val="auto"/>
          <w:kern w:val="0"/>
          <w:sz w:val="24"/>
        </w:rPr>
        <w:t>）叔丁醇</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C4H10O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叔丁醇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吸入或口服对身体有害。对眼睛、皮肤、粘膜和呼吸道有刺激作用。中毒表现可有头痛、恶心、眩晕。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易燃，其蒸气与空气可形成爆炸性混合物，遇明火、高热能引起燃烧爆炸。与氧化剂能发生强烈反应。其蒸气比空气重，能在较低处扩散到相当远的地方，遇火源会着火回燃。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若是液体。尽可能切断泄漏源。防止流入下水道、排洪沟等限制性空间。小量泄漏：用活性炭或其它惰性材料吸收。也可以用大量水冲洗，洗水稀释后放入废水系统。大量泄漏：构筑围堤或挖坑收容。用泡沫覆盖，降低蒸气灾害。用防爆泵转移至槽车或专用收集器内，回收或运至废物处理场所处置。若是固体，用洁净的铲子收集于干燥、洁净、有盖的容器中。若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化学安全防护眼镜，穿防静电工作服。远离火种、热源，工作场所严禁吸烟。使用防爆型的通风系统和设备。防止蒸气泄漏到工作场所空气中。避免与氧化剂、酸类接触。灌装时应控制流速，且有接地装置，防止静电积聚。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保持容器密封。应与氧化剂、酸类等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100ppm,303mg/m3; ACGIH 100ppm,303mg/m3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空气中浓度超标时，应该佩戴过滤式防毒面具（半面罩）。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戴一般作业防护手套。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工作现场严禁吸烟。保持良好的卫生习惯。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无色结晶或液体，有樟脑气味。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5.33(24.5℃)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2630.5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溶于水、醇、醚。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用于有机合成，制造香精等。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酸类、酸酐、强氧化剂。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LD50：3500 mg/kg(大鼠经口)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处置前应参阅国家和地方有关法规。建议用焚烧法处置。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酸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7</w:t>
      </w:r>
      <w:r>
        <w:rPr>
          <w:rFonts w:hint="eastAsia"/>
          <w:color w:val="auto"/>
          <w:kern w:val="0"/>
          <w:sz w:val="24"/>
        </w:rPr>
        <w:t>）三氟乙酸酐</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C4F6O3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210.03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三氟乙酸酐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本品对皮肤和粘膜具有强烈刺激作用，并能引起灼伤。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本品不燃，具强腐蚀性、强刺激性，可致人体灼伤，具催泪性。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遇低级醇和水起化学反应而分解。对很多金属尤其是潮湿空气存在下有腐蚀性。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一氧化碳、二氧化碳、氟化氢。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灭火剂：干粉、砂土。禁止用水和泡沫灭火。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建议应急处理人员戴自给正压式呼吸器，穿防酸碱工作服。不要直接接触泄漏物。尽可能切断泄漏源。小量泄漏：用砂土或其它不燃材料吸附或吸收。也可以用大量水冲洗，洗水稀释后放入废水系统。大量泄漏：构筑围堤或挖坑收容。撒湿冰或冰水冷却。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操作尽可能机械化、自动化。操作人员必须经过专门培训，严格遵守操作规程。建议操作人员佩戴导管式防毒面具，穿橡胶耐酸碱服，戴橡胶耐酸碱手套。防止蒸气泄漏到工作场所空气中。避免与氧化剂、酸类、碱类、醇类接触。搬运时要轻装轻卸，防止包装及容器损坏。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储存于阴凉、干燥、通风良好的库房。远离火种、热源。包装必须密封，切勿受潮。应与氧化剂、酸类、碱类、醇类等分开存放，切忌混储。储区应备有泄漏应急处理设备和合适的收容材料。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密闭操作，局部排风。尽可能机械化、自动化。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可能接触其蒸气时，必须佩戴导管式防毒面具或自吸式长管面具。紧急事态抢救或撤离时，建议佩戴空气呼吸器。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工作现场禁止吸烟、进食和饮水。工作完毕，彻底清洗。注意个人清洁卫生。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无色液体, 有刺激性气味, 易挥发。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39.5～40.1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用作分析试剂、溶剂、催化剂、脱水缩合剂、羟基和氨基三氟乙酰化时的保护剂。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强氧化剂、强酸、强碱、水、醇类。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接触潮气可分解。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根据国家和地方有关法规的要求处置。或与厂商或制造商联系，确定处置方法。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81102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耐酸坛或陶瓷瓶外普通木箱或半花格木箱；玻璃瓶或塑料桶（罐）外普通木箱或半花格木箱；磨砂口玻璃瓶或螺纹口玻璃瓶外普通木箱；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起运时包装要完整，装载应稳妥。运输过程中要确保容器不泄漏、不倒塌、不坠落、不损坏。严禁与氧化剂、酸类、碱类、醇类、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8</w:t>
      </w:r>
      <w:r>
        <w:rPr>
          <w:rFonts w:hint="eastAsia"/>
          <w:color w:val="auto"/>
          <w:kern w:val="0"/>
          <w:sz w:val="24"/>
        </w:rPr>
        <w:t>）二氯甲烷</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CH2Cl2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二氯甲烷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有麻醉作用，主要损害中枢神经和呼吸系统。急性中毒：轻者可有眩晕、头痛、呕吐以及眼和上呼吸道粘膜刺激症状；较重者则出现易激动、步态不稳、共济失调、嗜睡，可引起化学性支气管炎。重者昏迷，可有肺水肿。血中碳氧血红蛋白含量增高。慢性影响：长期接触主要有头痛、乏力、眩晕、食欲减退、动作迟钝、嗜睡等。对皮肤有脱脂作用，引起干燥、脱屑和皲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本品可燃，有毒，具刺激性。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与明火或灼热的物体接触时能产生剧毒的光气。遇潮湿空气能水解生成微量的氯化氢，光照亦能促进水解而对金属的腐蚀性增强。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一氧化碳、二氧化碳、氯化氢、光气。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消防人员须佩戴防毒面具、穿全身消防服，在上风向灭火。喷水冷却容器，可能的话将容器从火场移至空旷处。灭火剂：雾状水、泡沫、二氧化碳、砂土。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大量泄漏：构筑围堤或挖坑收容。用泡沫覆盖，降低蒸气灾害。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操作人员必须经过专门培训，严格遵守操作规程。建议操作人员佩戴直接式防毒面具（半面罩），戴化学安全防护眼镜，穿防毒物渗透工作服，戴防化学品手套。远离火种、热源，工作场所严禁吸烟。使用防爆型的通风系统和设备。防止蒸气泄漏到工作场所空气中。避免与碱金属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超过30℃，相对湿度不超过80％。保持容器密封。应与碱金属、食用化学品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500ppm; ACGIH 50ppm,175mg/m3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空气中浓度超标时，应该佩戴直接式防毒面具（半面罩）。紧急事态抢救或撤离时，佩戴空气呼吸器。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必要时，戴化学安全防护眼镜。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戴防化学品手套。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工作现场禁止吸烟、进食和饮水。工作完毕，淋浴更衣。单独存放被毒物污染的衣服，洗后备用。注意个人清洁卫生。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含量: 工业级 一级≥99.0％; 二级≥98.0％。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无色透明液体，有芳香气味。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30.55(10℃)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微溶于水，溶于乙醇、乙醚。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用作树脂及塑料工业的溶剂。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碱金属、铝。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光照。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LD50：1600～2000 mg/kg(大鼠经口) LC50：88000mg/m3，1/2小时(大鼠吸入)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家兔经眼： 162mg，中度刺激。家兔经皮： 810mg/24 小时，重度刺激。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该物质对环境可能有危害，在地下水中有蓄积作用。对水生生物应给予特别注意。还应注意对大气的污染。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用焚烧法处置。与燃料混合后，再焚烧。焚烧炉排出的卤化氢通过酸洗涤器除去。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61552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小开口钢桶；安瓿瓶外普通木箱；螺纹口玻璃瓶、铁盖压口玻璃瓶、塑料瓶或金属桶（罐）外普通木箱；螺纹口玻璃瓶、塑料瓶或镀锡薄钢板桶（罐）外满底板花格箱、纤维板箱或胶合板箱。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运输前应先检查包装容器是否完整、密封，运输过程中要确保容器不泄漏、不倒塌、不坠落、不损坏。严禁与酸类、氧化剂、食品及食品添加剂混运。运输时运输车辆应配备相应品种和数量的消防器材及泄漏应急处理设备。运输途中应防曝晒、雨淋，防高温。公路运输时要按规定路线行驶。</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1</w:t>
      </w:r>
      <w:r>
        <w:rPr>
          <w:color w:val="auto"/>
          <w:kern w:val="0"/>
          <w:sz w:val="24"/>
        </w:rPr>
        <w:t>9</w:t>
      </w:r>
      <w:r>
        <w:rPr>
          <w:rFonts w:hint="eastAsia"/>
          <w:color w:val="auto"/>
          <w:kern w:val="0"/>
          <w:sz w:val="24"/>
        </w:rPr>
        <w:t>）石油醚</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微软雅黑" w:hAnsi="微软雅黑" w:eastAsia="微软雅黑"/>
                <w:color w:val="auto"/>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微软雅黑" w:hAnsi="微软雅黑" w:eastAsia="微软雅黑"/>
                <w:color w:val="auto"/>
              </w:rPr>
              <w:t>8032-32-4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微软雅黑" w:hAnsi="微软雅黑" w:eastAsia="微软雅黑"/>
                <w:color w:val="auto"/>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微软雅黑" w:hAnsi="微软雅黑" w:eastAsia="微软雅黑"/>
                <w:color w:val="auto"/>
              </w:rPr>
            </w:pPr>
            <w:r>
              <w:rPr>
                <w:rFonts w:hint="eastAsia" w:ascii="微软雅黑" w:hAnsi="微软雅黑" w:eastAsia="微软雅黑"/>
                <w:color w:val="auto"/>
              </w:rPr>
              <w:t>石油精</w:t>
            </w:r>
          </w:p>
          <w:p>
            <w:pPr>
              <w:widowControl/>
              <w:spacing w:line="240" w:lineRule="exact"/>
              <w:jc w:val="left"/>
              <w:rPr>
                <w:rFonts w:ascii="微软雅黑" w:hAnsi="微软雅黑" w:eastAsia="微软雅黑"/>
                <w:color w:val="auto"/>
              </w:rPr>
            </w:pPr>
            <w:r>
              <w:rPr>
                <w:rFonts w:hint="eastAsia" w:ascii="微软雅黑" w:hAnsi="微软雅黑" w:eastAsia="微软雅黑"/>
                <w:color w:val="auto"/>
              </w:rPr>
              <w:t>石油醚</w:t>
            </w:r>
          </w:p>
          <w:p>
            <w:pPr>
              <w:widowControl/>
              <w:spacing w:line="240" w:lineRule="exact"/>
              <w:jc w:val="left"/>
              <w:rPr>
                <w:rFonts w:ascii="宋体" w:hAnsi="宋体" w:cs="宋体"/>
                <w:color w:val="auto"/>
                <w:kern w:val="0"/>
              </w:rPr>
            </w:pPr>
            <w:r>
              <w:rPr>
                <w:rFonts w:hint="eastAsia" w:ascii="微软雅黑" w:hAnsi="微软雅黑" w:eastAsia="微软雅黑"/>
                <w:color w:val="auto"/>
              </w:rPr>
              <w:t>Petroleum ether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戊烷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其蒸气或雾对眼睛、粘膜和呼吸道有刺激性。中毒表现可有烧灼感、咳嗽、喘息、喉炎、气短、头痛、恶心和呕吐。本品可引起周围神经炎。对皮肤有强烈刺激性。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对环境有危害，对水体、土壤和大气可造成污染。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本品极度易燃，具强刺激性。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立即脱去污染的衣着，用肥皂水和清水彻底冲洗皮肤。就医。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其蒸气与空气可形成爆炸性混合物，遇明火、高热能引起燃烧爆炸。燃烧时产生大量烟雾。与氧化剂能发生强烈反应。高速冲击、流动、激荡后可因产生静电火花放电引起燃烧爆炸。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喷水冷却容器，可能的话将容器从火场移至空旷处。处在火场中的容器若已变色或从安全泄压装置中产生声音，必须马上撤离。灭火剂：泡沫、二氧化碳、干粉、砂土。用水灭火无效。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活性炭或其它惰性材料吸收。也可以用不燃性分散剂制成的乳液刷洗，洗液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化学安全防护眼镜，穿防静电工作服，戴橡胶耐油手套。远离火种、热源，工作场所严禁吸烟。使用防爆型的通风系统和设备。防止蒸气泄漏到工作场所空气中。避免与氧化剂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25℃。保持容器密封。应与氧化剂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100ppm; ACGIH 300ppm,1370mg/m3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空气中浓度超标时，佩戴过滤式防毒面具（半面罩）。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戊烷、己烷。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无色透明液体，有煤油气味。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0.64～0.66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53.32(20℃)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不溶于水，溶于无水乙醇、苯、氯仿、油类等多数有机溶剂。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主要用作溶剂及作为油脂的抽提用。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LD50：40 mg/kg(小鼠静脉)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该物质对环境有危害，应特别注意对地表水、土壤、大气和饮用水的污染。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处置前应参阅国家和地方有关法规。建议用焚烧法处置。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运输时运输车辆应配备相应品种和数量的消防器材及泄漏应急处理设备。夏季最好早晚运输。运输时所用的槽（罐）车应有接地链，槽内可设孔隔板以减少震荡产生静电。严禁与氧化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0</w:t>
      </w:r>
      <w:r>
        <w:rPr>
          <w:rFonts w:hint="eastAsia"/>
          <w:color w:val="auto"/>
          <w:kern w:val="0"/>
          <w:sz w:val="24"/>
        </w:rPr>
        <w:t>）亚硫酸氢钠</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NaHSO3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亚硫酸氢钠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对皮肤、眼、呼吸道有刺激性，可引起过敏反应。可引起角膜损害，导致失明。可引起哮喘；大量口服引起恶心、腹痛、腹泻、循环衰竭、中枢神经抑制。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对环境有危害，对水体可造成污染。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本品不燃，具腐蚀性，可致人体灼伤。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具有强还原性。接触酸或酸气能产生有毒气体。受高热分解放出有毒的气体。具有腐蚀性。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氧化硫、氧化钠。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消防人员必须穿全身耐酸碱消防服。灭火时尽可能将容器从火场移至空旷处。然后根据着火原因选择适当灭火剂灭火。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隔离泄漏污染区，限制出入。建议应急处理人员戴防尘口罩，穿防酸服。不要直接接触泄漏物。小量泄漏：避免扬尘，小心扫起，收集于干燥、洁净、有盖的容器中。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防止粉尘释放到车间空气中。操作人员必须经过专门培训，严格遵守操作规程。建议操作人员佩戴自吸过滤式防尘口罩，戴化学安全防护眼镜，穿橡胶耐酸碱服，戴橡胶耐酸碱手套。避免产生粉尘。避免与氧化剂、酸类、碱类接触。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储存于阴凉、通风的库房。远离火种、热源。防止阳光直射。包装密封。应与氧化剂、酸类、碱类分开存放，切忌混储。不宜久存，以免变质。储区应备有合适的材料收容泄漏物。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5mg/m3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密闭操作，局部排风。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空气中粉尘浓度超标时，必须佩戴自吸过滤式防尘口罩。紧急事态抢救或撤离时，应该佩戴空气呼吸器。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工作场所禁止吸烟、进食和饮水，饭前要洗手。工作完毕，淋浴更衣。保持良好的卫生习惯。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含量:工业级≥99.5%。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白色结晶粉末，有二氧化硫的气味。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易溶于水，微溶于醇、乙醚。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用作漂白剂、媒染剂、蔬菜脱水和保存剂、照相还原剂、医药电镀、造纸等助漂净剂。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强氧化剂、强酸、强碱。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接触空气。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LD50：2000 mg/kg(大鼠经口)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该物质对环境有危害，应特别注意对水体的污染。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加入水中，加纯碱，再用盐酸中和，然后用大量水冲入下水道。若可能，重复使用容器或在规定场所掩埋。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81510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2693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小开口铝桶；安瓿瓶外普通木箱；螺纹口玻璃瓶、铁盖压口玻璃瓶、塑料瓶或金属桶（罐）外普通木箱。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起运时包装要完整，装载应稳妥。运输过程中要确保容器不泄漏、不倒塌、不坠落、不损坏。严禁与氧化剂、酸类、碱类、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1</w:t>
      </w:r>
      <w:r>
        <w:rPr>
          <w:rFonts w:hint="eastAsia"/>
          <w:color w:val="auto"/>
          <w:kern w:val="0"/>
          <w:sz w:val="24"/>
        </w:rPr>
        <w:t>）甲醇</w:t>
      </w:r>
    </w:p>
    <w:tbl>
      <w:tblPr>
        <w:tblStyle w:val="31"/>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600"/>
        <w:gridCol w:w="2006"/>
        <w:gridCol w:w="2468"/>
        <w:gridCol w:w="307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CAS：</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67-56-1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名称：</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甲醇  木酒精  methanol  methyl alcohol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分子式：</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CH4O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分子量：</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32.04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有害物成分：</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甲醇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健康危害：</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对中枢神经系统有麻醉作用；对视神经和视网膜有特殊选择作用，引起病变；可致代射性酸中毒。急性中毒：短时大量吸入出现轻度眼上呼吸道刺激症状（口服有胃肠道刺激症状）；经一段时间潜伏期后出现头痛、头晕、乏力、眩晕、酒醉感、意识朦胧、谵妄，甚至昏迷。视神经及视网膜病变，可有视物模糊、复视等，重者失明。代谢性酸中毒时出现二氧化碳结合力下降、呼吸加速等。慢性影响：神经衰弱综合征，植物神经功能失调，粘膜刺激，视力减退等。皮肤出现脱脂、皮炎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燃爆危险：</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本品易燃，具刺激性。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皮肤接触：</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脱去污染的衣着，用肥皂水和清水彻底冲洗皮肤。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眼睛接触：</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提起眼睑，用流动清水或生理盐水冲洗。就医。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吸入：</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迅速脱离现场至空气新鲜处。保持呼吸道通畅。如呼吸困难，给输氧。如呼吸停止，立即进行人工呼吸。就医。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食入：</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饮足量温水，催吐。用清水或 1％硫代硫酸钠溶液洗胃。就医。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危险特性：</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易燃，其蒸气与空气可形成爆炸性混合物，遇明火、高热能引起燃烧爆炸。与氧化剂接触发生化学反应或引起燃烧。在火场中，受热的容器有爆炸危险。其蒸气比空气重，能在较低处扩散到相当远的地方，遇火源会着火回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有害燃烧产物：</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一氧化碳、二氧化碳。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灭火方法：</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应急处理：</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迅速撤离泄漏污染区人员至安全区，并进行隔离，严格限制出入。切断火源。建议应急处理人员戴自给正压式呼吸器，穿防静电工作服。不要直接接触泄漏物。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操作注意事项：</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密闭操作，加强通风。操作人员必须经过专门培训，严格遵守操作规程。建议操作人员佩戴过滤式防毒面具（半面罩），戴化学安全防护眼镜，穿防静电工作服，戴橡胶手套。远离火种、热源，工作场所严禁吸烟。使用防爆型的通风系统和设备。防止蒸气泄漏到工作场所空气中。避免与氧化剂、酸类、碱金属接触。灌装时应控制流速，且有接地装置，防止静电积聚。配备相应品种和数量的消防器材及泄漏应急处理设备。倒空的容器可能残留有害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储存注意事项：</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储存于阴凉、通风的库房。远离火种、热源。库温不宜超过30℃。保持容器密封。应与氧化剂、酸类、碱金属等分开存放，切忌混储。采用防爆型照明、通风设施。禁止使用易产生火花的机械设备和工具。储区应备有泄漏应急处理设备和合适的收容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MAC(mg/m3)：</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50中国5前苏联</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TLVTN：</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OSHA 200ppm,262mg/m3; ACGIH 200ppm,262mg/m3[皮]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TLVWN：</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ACGIH 250ppm,328mg/m3[皮]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监测方法：</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气相色谱法；变色酸分光光度法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工程控制：</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生产过程密闭，加强通风。提供安全淋浴和洗眼设备。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呼吸系统防护：</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可能接触其蒸气时，应该佩戴过滤式防毒面具（半面罩）。紧急事态抢救或撤离时，建议佩戴空气呼吸器。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眼睛防护：</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戴化学安全防护眼镜。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身体防护：</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穿防静电工作服。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手防护：</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戴橡胶手套。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其他防护：</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工作现场禁止吸烟、进食和饮水。工作完毕，淋浴更衣。实行就业前和定期的体检。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主要成分：</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纯品</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外观与性状：</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无色澄清液体，有刺激性气味。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熔点(℃)：</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-97.8</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相对密度(水=1)：</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0.79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沸点(℃)：</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64.8</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相对蒸气密度(空气=1)：</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1.11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饱和蒸气压(kPa)：</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13.33(21.2℃)</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燃烧热(kJ/mol)：</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727.0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闪点(℃)：</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11</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辛醇/水分配系数的对数值：</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-0.82/-0.66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引燃温度(℃)：</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385</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爆炸上限%(V/V)：</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44.0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临界温度(℃)：</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240</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爆炸下限%(V/V)：</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临界压力(MPa)：</w:t>
            </w:r>
          </w:p>
        </w:tc>
        <w:tc>
          <w:tcPr>
            <w:tcW w:w="1096" w:type="pct"/>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7.95</w:t>
            </w:r>
          </w:p>
        </w:tc>
        <w:tc>
          <w:tcPr>
            <w:tcW w:w="1348" w:type="pct"/>
            <w:tcBorders>
              <w:top w:val="single" w:color="auto" w:sz="6" w:space="0"/>
              <w:left w:val="nil"/>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溶解性：</w:t>
            </w:r>
          </w:p>
        </w:tc>
        <w:tc>
          <w:tcPr>
            <w:tcW w:w="1682" w:type="pct"/>
            <w:tcBorders>
              <w:top w:val="single" w:color="auto" w:sz="6" w:space="0"/>
              <w:left w:val="nil"/>
              <w:bottom w:val="single" w:color="auto" w:sz="6" w:space="0"/>
              <w:right w:val="single" w:color="auto" w:sz="6" w:space="0"/>
            </w:tcBorders>
            <w:shd w:val="clear" w:color="auto" w:fill="FFFFFF"/>
            <w:vAlign w:val="center"/>
          </w:tcPr>
          <w:p>
            <w:pPr>
              <w:widowControl/>
              <w:wordWrap w:val="0"/>
              <w:jc w:val="left"/>
              <w:rPr>
                <w:rFonts w:ascii="宋体" w:hAnsi="宋体"/>
                <w:color w:val="auto"/>
                <w:kern w:val="0"/>
              </w:rPr>
            </w:pPr>
            <w:r>
              <w:rPr>
                <w:rFonts w:hint="eastAsia" w:ascii="宋体" w:hAnsi="宋体"/>
                <w:color w:val="auto"/>
                <w:kern w:val="0"/>
              </w:rPr>
              <w:t>溶于水，可混溶于醇、醚等多数有机溶剂。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主要用途：</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主要用于制甲醛、香精、染料、医药、火药、防冻剂等。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禁配物：</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酸类、酸酐、强氧化剂、碱金属。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急性毒性：</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LD50：5628 mg/kg(大鼠经口)；15800 mg/kg(兔经皮) LC50：83776mg/m3，4小时(大鼠吸入)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其它有害作用：</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该物质对环境可能有危害，对水体应给予特别注意。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废弃处置方法：</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用焚烧法处置。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危险货物编号：</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32058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UN编号：</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1230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包装类别：</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O52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包装方法：</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小开口钢桶；安瓿瓶外普通木箱；螺纹口玻璃瓶、铁盖压口玻璃瓶、塑料瓶或金属桶（罐）外普通木箱。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74" w:type="pct"/>
            <w:tcBorders>
              <w:top w:val="single" w:color="auto" w:sz="6" w:space="0"/>
              <w:left w:val="single" w:color="auto" w:sz="6" w:space="0"/>
              <w:bottom w:val="single" w:color="auto" w:sz="6" w:space="0"/>
              <w:right w:val="single" w:color="auto" w:sz="6" w:space="0"/>
            </w:tcBorders>
            <w:shd w:val="clear" w:color="auto" w:fill="FFFFFF"/>
          </w:tcPr>
          <w:p>
            <w:pPr>
              <w:widowControl/>
              <w:wordWrap w:val="0"/>
              <w:jc w:val="right"/>
              <w:rPr>
                <w:rFonts w:ascii="宋体" w:hAnsi="宋体"/>
                <w:color w:val="auto"/>
                <w:kern w:val="0"/>
              </w:rPr>
            </w:pPr>
            <w:r>
              <w:rPr>
                <w:rFonts w:hint="eastAsia" w:ascii="宋体" w:hAnsi="宋体"/>
                <w:color w:val="auto"/>
                <w:kern w:val="0"/>
              </w:rPr>
              <w:t>运输注意事项：</w:t>
            </w:r>
          </w:p>
        </w:tc>
        <w:tc>
          <w:tcPr>
            <w:tcW w:w="4126" w:type="pct"/>
            <w:gridSpan w:val="3"/>
            <w:tcBorders>
              <w:top w:val="single" w:color="auto" w:sz="6" w:space="0"/>
              <w:left w:val="single" w:color="auto" w:sz="6" w:space="0"/>
              <w:bottom w:val="single" w:color="auto" w:sz="6" w:space="0"/>
              <w:right w:val="single" w:color="auto" w:sz="6" w:space="0"/>
            </w:tcBorders>
            <w:shd w:val="clear" w:color="auto" w:fill="FFFFFF"/>
            <w:tcMar>
              <w:top w:w="0" w:type="dxa"/>
              <w:left w:w="150" w:type="dxa"/>
              <w:bottom w:w="0" w:type="dxa"/>
              <w:right w:w="75" w:type="dxa"/>
            </w:tcMar>
            <w:vAlign w:val="center"/>
          </w:tcPr>
          <w:p>
            <w:pPr>
              <w:widowControl/>
              <w:wordWrap w:val="0"/>
              <w:jc w:val="left"/>
              <w:rPr>
                <w:rFonts w:ascii="宋体" w:hAnsi="宋体"/>
                <w:color w:val="auto"/>
                <w:kern w:val="0"/>
              </w:rPr>
            </w:pPr>
            <w:r>
              <w:rPr>
                <w:rFonts w:hint="eastAsia" w:ascii="宋体" w:hAnsi="宋体"/>
                <w:color w:val="auto"/>
                <w:kern w:val="0"/>
              </w:rPr>
              <w:t>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酸类、碱金属、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2</w:t>
      </w:r>
      <w:r>
        <w:rPr>
          <w:rFonts w:hint="eastAsia"/>
          <w:color w:val="auto"/>
          <w:kern w:val="0"/>
          <w:sz w:val="24"/>
        </w:rPr>
        <w:t>）乙醇</w:t>
      </w:r>
    </w:p>
    <w:tbl>
      <w:tblPr>
        <w:tblStyle w:val="31"/>
        <w:tblW w:w="0" w:type="auto"/>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476"/>
        <w:gridCol w:w="1856"/>
        <w:gridCol w:w="904"/>
        <w:gridCol w:w="255"/>
        <w:gridCol w:w="360"/>
        <w:gridCol w:w="1043"/>
        <w:gridCol w:w="321"/>
        <w:gridCol w:w="722"/>
        <w:gridCol w:w="237"/>
        <w:gridCol w:w="1384"/>
        <w:gridCol w:w="718"/>
        <w:gridCol w:w="903"/>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9"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标识</w:t>
            </w:r>
          </w:p>
        </w:tc>
        <w:tc>
          <w:tcPr>
            <w:tcW w:w="5698" w:type="dxa"/>
            <w:gridSpan w:val="8"/>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中文名：乙醇</w:t>
            </w:r>
            <w:r>
              <w:rPr>
                <w:color w:val="auto"/>
              </w:rPr>
              <w:t>[</w:t>
            </w:r>
            <w:r>
              <w:rPr>
                <w:rFonts w:hint="eastAsia" w:ascii="宋体" w:hAnsi="宋体"/>
                <w:color w:val="auto"/>
              </w:rPr>
              <w:t>无水</w:t>
            </w:r>
            <w:r>
              <w:rPr>
                <w:color w:val="auto"/>
              </w:rPr>
              <w:t>]</w:t>
            </w:r>
            <w:r>
              <w:rPr>
                <w:rFonts w:hint="eastAsia" w:ascii="宋体" w:hAnsi="宋体"/>
                <w:color w:val="auto"/>
              </w:rPr>
              <w:t>；无水酒精</w:t>
            </w:r>
          </w:p>
        </w:tc>
        <w:tc>
          <w:tcPr>
            <w:tcW w:w="3005"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危险货物编号：</w:t>
            </w:r>
            <w:r>
              <w:rPr>
                <w:color w:val="auto"/>
              </w:rPr>
              <w:t>32061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5"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5698" w:type="dxa"/>
            <w:gridSpan w:val="8"/>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英文名：</w:t>
            </w:r>
            <w:r>
              <w:rPr>
                <w:color w:val="auto"/>
              </w:rPr>
              <w:t>ethyl alcohol</w:t>
            </w:r>
            <w:r>
              <w:rPr>
                <w:rFonts w:hint="eastAsia" w:ascii="宋体" w:hAnsi="宋体"/>
                <w:color w:val="auto"/>
              </w:rPr>
              <w:t>；</w:t>
            </w:r>
            <w:r>
              <w:rPr>
                <w:color w:val="auto"/>
              </w:rPr>
              <w:t>ethanol</w:t>
            </w:r>
          </w:p>
        </w:tc>
        <w:tc>
          <w:tcPr>
            <w:tcW w:w="3005"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UN</w:t>
            </w:r>
            <w:r>
              <w:rPr>
                <w:rFonts w:hint="eastAsia" w:ascii="宋体" w:hAnsi="宋体"/>
                <w:color w:val="auto"/>
              </w:rPr>
              <w:t>编号：</w:t>
            </w:r>
            <w:r>
              <w:rPr>
                <w:color w:val="auto"/>
              </w:rPr>
              <w:t>1170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51"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3015"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分子式：</w:t>
            </w:r>
            <w:r>
              <w:rPr>
                <w:color w:val="auto"/>
              </w:rPr>
              <w:t>C2H6O</w:t>
            </w:r>
          </w:p>
        </w:tc>
        <w:tc>
          <w:tcPr>
            <w:tcW w:w="2683" w:type="dxa"/>
            <w:gridSpan w:val="5"/>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分子量：</w:t>
            </w:r>
            <w:r>
              <w:rPr>
                <w:color w:val="auto"/>
              </w:rPr>
              <w:t>46.07</w:t>
            </w:r>
          </w:p>
        </w:tc>
        <w:tc>
          <w:tcPr>
            <w:tcW w:w="3005"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CAS</w:t>
            </w:r>
            <w:r>
              <w:rPr>
                <w:rFonts w:hint="eastAsia" w:ascii="宋体" w:hAnsi="宋体"/>
                <w:color w:val="auto"/>
              </w:rPr>
              <w:t>号：</w:t>
            </w:r>
            <w:r>
              <w:rPr>
                <w:color w:val="auto"/>
              </w:rPr>
              <w:t>64-17-5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6" w:hRule="atLeast"/>
          <w:jc w:val="center"/>
        </w:trPr>
        <w:tc>
          <w:tcPr>
            <w:tcW w:w="476" w:type="dxa"/>
            <w:vMerge w:val="restart"/>
            <w:tcBorders>
              <w:top w:val="nil"/>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理化性质</w:t>
            </w: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外观与性状</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无色液体，有酒香。</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8"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熔点（℃）</w:t>
            </w:r>
          </w:p>
        </w:tc>
        <w:tc>
          <w:tcPr>
            <w:tcW w:w="904"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-114.1</w:t>
            </w:r>
          </w:p>
        </w:tc>
        <w:tc>
          <w:tcPr>
            <w:tcW w:w="1979" w:type="dxa"/>
            <w:gridSpan w:val="4"/>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相对密度</w:t>
            </w:r>
            <w:r>
              <w:rPr>
                <w:color w:val="auto"/>
              </w:rPr>
              <w:t>(</w:t>
            </w:r>
            <w:r>
              <w:rPr>
                <w:rFonts w:hint="eastAsia" w:ascii="宋体" w:hAnsi="宋体"/>
                <w:color w:val="auto"/>
              </w:rPr>
              <w:t>水</w:t>
            </w:r>
            <w:r>
              <w:rPr>
                <w:color w:val="auto"/>
              </w:rPr>
              <w:t>=1)</w:t>
            </w:r>
          </w:p>
        </w:tc>
        <w:tc>
          <w:tcPr>
            <w:tcW w:w="959" w:type="dxa"/>
            <w:gridSpan w:val="2"/>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0.79</w:t>
            </w:r>
          </w:p>
        </w:tc>
        <w:tc>
          <w:tcPr>
            <w:tcW w:w="2102" w:type="dxa"/>
            <w:gridSpan w:val="2"/>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相对密度</w:t>
            </w:r>
            <w:r>
              <w:rPr>
                <w:color w:val="auto"/>
              </w:rPr>
              <w:t>(</w:t>
            </w:r>
            <w:r>
              <w:rPr>
                <w:rFonts w:hint="eastAsia" w:ascii="宋体" w:hAnsi="宋体"/>
                <w:color w:val="auto"/>
              </w:rPr>
              <w:t>空气</w:t>
            </w:r>
            <w:r>
              <w:rPr>
                <w:color w:val="auto"/>
              </w:rPr>
              <w:t>=1)</w:t>
            </w:r>
          </w:p>
        </w:tc>
        <w:tc>
          <w:tcPr>
            <w:tcW w:w="903"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1.59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4"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沸点（℃）</w:t>
            </w:r>
          </w:p>
        </w:tc>
        <w:tc>
          <w:tcPr>
            <w:tcW w:w="904"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78.3</w:t>
            </w:r>
          </w:p>
        </w:tc>
        <w:tc>
          <w:tcPr>
            <w:tcW w:w="2938" w:type="dxa"/>
            <w:gridSpan w:val="6"/>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饱和蒸气压（</w:t>
            </w:r>
            <w:r>
              <w:rPr>
                <w:color w:val="auto"/>
              </w:rPr>
              <w:t>kPa</w:t>
            </w:r>
            <w:r>
              <w:rPr>
                <w:rFonts w:hint="eastAsia" w:ascii="宋体" w:hAnsi="宋体"/>
                <w:color w:val="auto"/>
              </w:rPr>
              <w:t>）</w:t>
            </w:r>
          </w:p>
        </w:tc>
        <w:tc>
          <w:tcPr>
            <w:tcW w:w="3005"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5.33/19</w:t>
            </w:r>
            <w:r>
              <w:rPr>
                <w:rFonts w:hint="eastAsia" w:ascii="宋体" w:hAnsi="宋体"/>
                <w:color w:val="auto"/>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5"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溶解性</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与水混溶，可混溶于醚、氯仿、甘油等多数有机溶剂。</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4" w:hRule="atLeast"/>
          <w:jc w:val="center"/>
        </w:trPr>
        <w:tc>
          <w:tcPr>
            <w:tcW w:w="476" w:type="dxa"/>
            <w:vMerge w:val="restart"/>
            <w:tcBorders>
              <w:top w:val="nil"/>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毒性及健康危害</w:t>
            </w: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侵入途径</w:t>
            </w:r>
          </w:p>
        </w:tc>
        <w:tc>
          <w:tcPr>
            <w:tcW w:w="6847" w:type="dxa"/>
            <w:gridSpan w:val="10"/>
            <w:tcBorders>
              <w:top w:val="single" w:color="auto" w:sz="6" w:space="0"/>
              <w:left w:val="nil"/>
              <w:bottom w:val="single" w:color="auto" w:sz="6"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68"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毒性</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LD50</w:t>
            </w:r>
            <w:r>
              <w:rPr>
                <w:rFonts w:hint="eastAsia" w:ascii="宋体" w:hAnsi="宋体"/>
                <w:color w:val="auto"/>
              </w:rPr>
              <w:t>：</w:t>
            </w:r>
            <w:r>
              <w:rPr>
                <w:color w:val="auto"/>
              </w:rPr>
              <w:t>7060mg/kg(</w:t>
            </w:r>
            <w:r>
              <w:rPr>
                <w:rFonts w:hint="eastAsia" w:ascii="宋体" w:hAnsi="宋体"/>
                <w:color w:val="auto"/>
              </w:rPr>
              <w:t>兔经口</w:t>
            </w:r>
            <w:r>
              <w:rPr>
                <w:color w:val="auto"/>
              </w:rPr>
              <w:t>)</w:t>
            </w:r>
            <w:r>
              <w:rPr>
                <w:rFonts w:hint="eastAsia" w:ascii="宋体" w:hAnsi="宋体"/>
                <w:color w:val="auto"/>
              </w:rPr>
              <w:t>；</w:t>
            </w:r>
            <w:r>
              <w:rPr>
                <w:color w:val="auto"/>
              </w:rPr>
              <w:t>7340mg/kg(</w:t>
            </w:r>
            <w:r>
              <w:rPr>
                <w:rFonts w:hint="eastAsia" w:ascii="宋体" w:hAnsi="宋体"/>
                <w:color w:val="auto"/>
              </w:rPr>
              <w:t>兔经皮</w:t>
            </w:r>
            <w:r>
              <w:rPr>
                <w:color w:val="auto"/>
              </w:rPr>
              <w:t>)</w:t>
            </w:r>
            <w:r>
              <w:rPr>
                <w:rFonts w:hint="eastAsia" w:ascii="宋体" w:hAnsi="宋体"/>
                <w:color w:val="auto"/>
              </w:rPr>
              <w:t>；</w:t>
            </w:r>
          </w:p>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LC50</w:t>
            </w:r>
            <w:r>
              <w:rPr>
                <w:rFonts w:hint="eastAsia" w:ascii="宋体" w:hAnsi="宋体"/>
                <w:color w:val="auto"/>
              </w:rPr>
              <w:t>：</w:t>
            </w:r>
            <w:r>
              <w:rPr>
                <w:color w:val="auto"/>
              </w:rPr>
              <w:t>37620mg/m3</w:t>
            </w:r>
            <w:r>
              <w:rPr>
                <w:rFonts w:hint="eastAsia" w:ascii="宋体" w:hAnsi="宋体"/>
                <w:color w:val="auto"/>
              </w:rPr>
              <w:t>，</w:t>
            </w:r>
            <w:r>
              <w:rPr>
                <w:color w:val="auto"/>
              </w:rPr>
              <w:t>10</w:t>
            </w:r>
            <w:r>
              <w:rPr>
                <w:rFonts w:hint="eastAsia" w:ascii="宋体" w:hAnsi="宋体"/>
                <w:color w:val="auto"/>
              </w:rPr>
              <w:t>小时</w:t>
            </w:r>
            <w:r>
              <w:rPr>
                <w:color w:val="auto"/>
              </w:rPr>
              <w:t>(</w:t>
            </w:r>
            <w:r>
              <w:rPr>
                <w:rFonts w:hint="eastAsia" w:ascii="宋体" w:hAnsi="宋体"/>
                <w:color w:val="auto"/>
                <w:spacing w:val="-6"/>
              </w:rPr>
              <w:t>大鼠吸入</w:t>
            </w:r>
            <w:r>
              <w:rPr>
                <w:color w:val="auto"/>
                <w:spacing w:val="-6"/>
              </w:rPr>
              <w:t>)</w:t>
            </w:r>
            <w:r>
              <w:rPr>
                <w:rFonts w:hint="eastAsia" w:ascii="宋体" w:hAnsi="宋体"/>
                <w:color w:val="auto"/>
                <w:spacing w:val="-6"/>
              </w:rPr>
              <w:t>；人吸入</w:t>
            </w:r>
            <w:r>
              <w:rPr>
                <w:color w:val="auto"/>
                <w:spacing w:val="-6"/>
              </w:rPr>
              <w:t>4.3mg/L×50</w:t>
            </w:r>
            <w:r>
              <w:rPr>
                <w:rFonts w:hint="eastAsia" w:ascii="宋体" w:hAnsi="宋体"/>
                <w:color w:val="auto"/>
                <w:spacing w:val="-6"/>
              </w:rPr>
              <w:t>分钟，头面部发热，四肢发凉，头痛；人吸入</w:t>
            </w:r>
            <w:r>
              <w:rPr>
                <w:color w:val="auto"/>
                <w:spacing w:val="-6"/>
              </w:rPr>
              <w:t>2.6mg/L×39</w:t>
            </w:r>
            <w:r>
              <w:rPr>
                <w:rFonts w:hint="eastAsia" w:ascii="宋体" w:hAnsi="宋体"/>
                <w:color w:val="auto"/>
                <w:spacing w:val="-6"/>
              </w:rPr>
              <w:t>分钟，头痛，无后作</w:t>
            </w:r>
            <w:r>
              <w:rPr>
                <w:rFonts w:hint="eastAsia" w:ascii="宋体" w:hAnsi="宋体"/>
                <w:color w:val="auto"/>
              </w:rPr>
              <w:t>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03"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4"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健康危害</w:t>
            </w:r>
          </w:p>
        </w:tc>
        <w:tc>
          <w:tcPr>
            <w:tcW w:w="6847" w:type="dxa"/>
            <w:gridSpan w:val="10"/>
            <w:tcBorders>
              <w:top w:val="single" w:color="auto" w:sz="6" w:space="0"/>
              <w:left w:val="nil"/>
              <w:bottom w:val="single" w:color="auto" w:sz="4"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本品为中枢神经系统抑制剂。首先引起兴奋，随后抑制。急性中毒：急性中毒多发生于口服。一般可分为兴奋、催眠、麻醉、窒息四阶段。患者进入第三或第四阶段，出现意识丧失、瞳孔扩大、呼吸不规律、休克、心力循环衰竭及呼吸停止。慢性影响：在生产中长期接触高浓度本品可引起鼻、眼、粘膜刺激症状，以及头痛、头晕、疲乏、易激动、震颤、恶心等。长期酗酒可引起多发性神经病、慢性胃炎、脂肪肝、肝硬化、心肌损害及器质性精神病等。皮肤长期接触可引起干燥、脱屑、皲裂和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4"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急救方法</w:t>
            </w:r>
          </w:p>
        </w:tc>
        <w:tc>
          <w:tcPr>
            <w:tcW w:w="6847" w:type="dxa"/>
            <w:gridSpan w:val="10"/>
            <w:tcBorders>
              <w:top w:val="single" w:color="auto" w:sz="4"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皮肤接触：脱去被污染的衣着，用流动清水冲洗。</w:t>
            </w:r>
          </w:p>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眼睛接触：提起眼睑，用流动清水或生理盐水冲洗。就医。</w:t>
            </w:r>
          </w:p>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吸入：迅速脱离现场至空气新鲜处。就医。</w:t>
            </w:r>
          </w:p>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食入：饮足量温水，催吐，就医。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66" w:hRule="atLeast"/>
          <w:jc w:val="center"/>
        </w:trPr>
        <w:tc>
          <w:tcPr>
            <w:tcW w:w="476" w:type="dxa"/>
            <w:vMerge w:val="restart"/>
            <w:tcBorders>
              <w:top w:val="nil"/>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燃烧爆炸危险性</w:t>
            </w: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燃烧性</w:t>
            </w:r>
          </w:p>
        </w:tc>
        <w:tc>
          <w:tcPr>
            <w:tcW w:w="1519"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易燃</w:t>
            </w:r>
          </w:p>
        </w:tc>
        <w:tc>
          <w:tcPr>
            <w:tcW w:w="2086"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燃烧分解物</w:t>
            </w:r>
          </w:p>
        </w:tc>
        <w:tc>
          <w:tcPr>
            <w:tcW w:w="3242" w:type="dxa"/>
            <w:gridSpan w:val="4"/>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6"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闪点</w:t>
            </w:r>
            <w:r>
              <w:rPr>
                <w:color w:val="auto"/>
              </w:rPr>
              <w:t>(</w:t>
            </w:r>
            <w:r>
              <w:rPr>
                <w:rFonts w:hint="eastAsia" w:ascii="宋体" w:hAnsi="宋体"/>
                <w:color w:val="auto"/>
              </w:rPr>
              <w:t>℃</w:t>
            </w:r>
            <w:r>
              <w:rPr>
                <w:color w:val="auto"/>
              </w:rPr>
              <w:t>)</w:t>
            </w:r>
          </w:p>
        </w:tc>
        <w:tc>
          <w:tcPr>
            <w:tcW w:w="1519"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12</w:t>
            </w:r>
          </w:p>
        </w:tc>
        <w:tc>
          <w:tcPr>
            <w:tcW w:w="2086"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爆炸上限（</w:t>
            </w:r>
            <w:r>
              <w:rPr>
                <w:color w:val="auto"/>
              </w:rPr>
              <w:t>v%</w:t>
            </w:r>
            <w:r>
              <w:rPr>
                <w:rFonts w:hint="eastAsia" w:ascii="宋体" w:hAnsi="宋体"/>
                <w:color w:val="auto"/>
              </w:rPr>
              <w:t>）</w:t>
            </w:r>
          </w:p>
        </w:tc>
        <w:tc>
          <w:tcPr>
            <w:tcW w:w="3242" w:type="dxa"/>
            <w:gridSpan w:val="4"/>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19.0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6"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引燃温度</w:t>
            </w:r>
            <w:r>
              <w:rPr>
                <w:color w:val="auto"/>
              </w:rPr>
              <w:t>(</w:t>
            </w:r>
            <w:r>
              <w:rPr>
                <w:rFonts w:hint="eastAsia" w:ascii="宋体" w:hAnsi="宋体"/>
                <w:color w:val="auto"/>
              </w:rPr>
              <w:t>℃</w:t>
            </w:r>
            <w:r>
              <w:rPr>
                <w:color w:val="auto"/>
              </w:rPr>
              <w:t>)</w:t>
            </w:r>
          </w:p>
        </w:tc>
        <w:tc>
          <w:tcPr>
            <w:tcW w:w="1519"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363</w:t>
            </w:r>
          </w:p>
        </w:tc>
        <w:tc>
          <w:tcPr>
            <w:tcW w:w="2086"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爆炸下限（</w:t>
            </w:r>
            <w:r>
              <w:rPr>
                <w:color w:val="auto"/>
              </w:rPr>
              <w:t>v%</w:t>
            </w:r>
            <w:r>
              <w:rPr>
                <w:rFonts w:hint="eastAsia" w:ascii="宋体" w:hAnsi="宋体"/>
                <w:color w:val="auto"/>
              </w:rPr>
              <w:t>）</w:t>
            </w:r>
          </w:p>
        </w:tc>
        <w:tc>
          <w:tcPr>
            <w:tcW w:w="3242" w:type="dxa"/>
            <w:gridSpan w:val="4"/>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color w:val="auto"/>
              </w:rPr>
              <w:t>3.3</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6"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建规火险分级</w:t>
            </w:r>
          </w:p>
        </w:tc>
        <w:tc>
          <w:tcPr>
            <w:tcW w:w="1519" w:type="dxa"/>
            <w:gridSpan w:val="3"/>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甲</w:t>
            </w:r>
          </w:p>
        </w:tc>
        <w:tc>
          <w:tcPr>
            <w:tcW w:w="1043"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稳定性</w:t>
            </w:r>
          </w:p>
        </w:tc>
        <w:tc>
          <w:tcPr>
            <w:tcW w:w="1043" w:type="dxa"/>
            <w:gridSpan w:val="2"/>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稳定</w:t>
            </w:r>
          </w:p>
        </w:tc>
        <w:tc>
          <w:tcPr>
            <w:tcW w:w="1621" w:type="dxa"/>
            <w:gridSpan w:val="2"/>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聚合危害</w:t>
            </w:r>
          </w:p>
        </w:tc>
        <w:tc>
          <w:tcPr>
            <w:tcW w:w="1621" w:type="dxa"/>
            <w:gridSpan w:val="2"/>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6"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禁忌物</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强氧化剂、酸类、酸酐、碱金属、胺类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48"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危险特性</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易燃，其蒸气与空气可形成爆炸性混合物。遇明火、高热能引起燃烧爆炸。与氧化剂接触发生化学反应或引起燃烧。在火场中，受热的容器有爆炸危险。其蒸气比空气重，能在较低处扩散到相当远的地方，遇明火会引着回燃。</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储运条件</w:t>
            </w:r>
          </w:p>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与泄漏处理</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储运条件：储存于阴凉、通风的仓间内，远离火种、热源。防止阳光直射；保持容器密封。应与氧化剂、酸类、碱金属、胺类等分开存放，切忌混储。灌装时应注意流速</w:t>
            </w:r>
            <w:r>
              <w:rPr>
                <w:color w:val="auto"/>
              </w:rPr>
              <w:t>(</w:t>
            </w:r>
            <w:r>
              <w:rPr>
                <w:rFonts w:hint="eastAsia" w:ascii="宋体" w:hAnsi="宋体"/>
                <w:color w:val="auto"/>
              </w:rPr>
              <w:t>不越过</w:t>
            </w:r>
            <w:r>
              <w:rPr>
                <w:color w:val="auto"/>
              </w:rPr>
              <w:t>3m/s)</w:t>
            </w:r>
            <w:r>
              <w:rPr>
                <w:rFonts w:hint="eastAsia" w:ascii="宋体" w:hAnsi="宋体"/>
                <w:color w:val="auto"/>
              </w:rPr>
              <w:t>，且有接地装置，防止静电积聚。本品铁路运输时限使用钢制企业自备罐车装运，装运前需报有关部门批准。运输时所用的槽（罐）车应有接地链，槽内可设孔隔板以减少震荡产生静电。严禁与氧化剂、酸类、碱金属、胺类、食用化学品等混装混运。装运该物品的车辆排气管必须配备阻火装置，禁止使用易产生火花的机械设备和工具装卸。泄漏处理：迅速撤离泄漏污染区人员至安全区，并进行隔离，严格限制出入。切断火源。建议应急处理人员戴自给正压式呼吸器，穿消防防护服。不要直接接触泄漏物。尽可能切断泄漏源，防止进入下水道、排洪沟等限制性空间。小量泄漏：用砂土或其它不燃材料吸附或吸收。也可以用大量水冲洗，洗液稀释后放入废水系统。大量泄漏：构筑围堤或挖坑收容；用泡沫覆盖，降低蒸气灾害。用防爆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476" w:type="dxa"/>
            <w:vMerge w:val="continue"/>
            <w:tcBorders>
              <w:top w:val="nil"/>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ascii="Calibri" w:hAnsi="Calibri" w:cs="Calibri"/>
                <w:color w:val="auto"/>
              </w:rPr>
            </w:pPr>
          </w:p>
        </w:tc>
        <w:tc>
          <w:tcPr>
            <w:tcW w:w="1856" w:type="dxa"/>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灭火方法</w:t>
            </w:r>
          </w:p>
        </w:tc>
        <w:tc>
          <w:tcPr>
            <w:tcW w:w="6847" w:type="dxa"/>
            <w:gridSpan w:val="10"/>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spacing w:line="300" w:lineRule="exact"/>
              <w:textAlignment w:val="auto"/>
              <w:rPr>
                <w:color w:val="auto"/>
              </w:rPr>
            </w:pPr>
            <w:r>
              <w:rPr>
                <w:rFonts w:hint="eastAsia" w:ascii="宋体" w:hAnsi="宋体"/>
                <w:color w:val="auto"/>
              </w:rPr>
              <w:t>尽可能将容器从火场移至空旷处。喷水保持火场容器冷却，直至灭火结束。灭火剂：抗溶性泡沫、干粉、二氧化碳、砂土。</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3</w:t>
      </w:r>
      <w:r>
        <w:rPr>
          <w:rFonts w:hint="eastAsia"/>
          <w:color w:val="auto"/>
          <w:kern w:val="0"/>
          <w:sz w:val="24"/>
        </w:rPr>
        <w:t>）丙酸酐</w:t>
      </w:r>
    </w:p>
    <w:tbl>
      <w:tblPr>
        <w:tblStyle w:val="31"/>
        <w:tblW w:w="5077"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38"/>
        <w:gridCol w:w="6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C6H10O2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130.14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丙酸酐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大鼠吸入本品饱和蒸气，１小时后死亡。其蒸气对眼睛、皮肤有明显的刺激作用。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对环境有危害，对水体可造成污染。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本品易燃，具腐蚀性、刺激性，可致人体灼伤。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其蒸气与空气可形成爆炸性混合物，遇明火、高热易引起燃烧爆炸。与强氧化剂接触可发生化学反应。具有腐蚀性。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消防人员须戴好防毒面具，在安全距离以外，在上风向灭火。用水喷射逸出液体，使其稀释成不燃性混合物，并用雾状水保护消防人员。灭火剂：抗溶性泡沫、干粉、砂土。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酸碱工作服。不要直接接触泄漏物。尽可能切断泄漏源。防止流入下水道、排洪沟等限制性空间。小量泄漏：用砂土或其它不燃材料吸附或吸收。大量泄漏：构筑围堤或挖坑收容。喷雾状水冷却和稀释蒸汽、保护现场人员、把泄漏物稀释成不燃物。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密闭操作，加强通风。操作人员必须经过专门培训，严格遵守操作规程。建议操作人员佩戴自吸过滤式防毒面具（全面罩），穿橡胶耐酸碱服，戴橡胶耐酸碱手套。远离火种、热源，工作场所严禁吸烟。使用防爆型的通风系统和设备。防止蒸气泄漏到工作场所空气中。避免与氧化剂、碱类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储存于阴凉、干燥、通风良好的库房。远离火种、热源。库温不宜超过30℃。保持容器密封。应与氧化剂、碱类等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生产过程密闭，加强通风。提供安全淋浴和洗眼设备。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可能接触其蒸气时，应该佩戴自吸过滤式防毒面具（全面罩）。必要时，建议佩戴空气呼吸器。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工作场所禁止吸烟、进食和饮水，饭前要洗手。工作完毕，淋浴更衣。注意个人清洁卫生。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含量≥98.0％。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无色有刺激性恶臭的液体。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0.13(20.6℃)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3120.8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342.7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溶于乙醇、乙醚、氯仿、碱液。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用作酯化剂、脱水剂及用于染料和药品、香水的制造。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水、强氧化剂、强碱。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避免接触的条件：</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潮湿空气。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LD50：2360 mg/kg(大鼠经口)；500 mg/kg(兔经皮)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该物质对环境有危害，应特别注意对水体的污染。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处置前应参阅国家和地方有关法规。建议用焚烧法处置。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81614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2496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玻璃瓶或塑料桶（罐）外全开口钢桶；耐酸坛或陶瓷瓶外普通木箱或半花格木箱；玻璃瓶或塑料桶（罐）外普通木箱或半花格木箱；磨砂口玻璃瓶或螺纹口玻璃瓶外普通木箱；螺纹口玻璃瓶、铁盖压口玻璃瓶、塑料瓶或金属桶（罐）外普通木箱；螺纹口玻璃瓶、塑料瓶或镀锡薄钢板桶（罐）外满底板花格箱、纤维板箱或胶合板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17" w:type="dxa"/>
            <w:shd w:val="clear" w:color="auto" w:fill="FFFFFF"/>
            <w:tcMar>
              <w:top w:w="75" w:type="dxa"/>
              <w:left w:w="0" w:type="dxa"/>
              <w:bottom w:w="75" w:type="dxa"/>
              <w:right w:w="0" w:type="dxa"/>
            </w:tcMar>
          </w:tcPr>
          <w:p>
            <w:pPr>
              <w:keepNext w:val="0"/>
              <w:keepLines w:val="0"/>
              <w:pageBreakBefore w:val="0"/>
              <w:widowControl/>
              <w:kinsoku/>
              <w:wordWrap/>
              <w:overflowPunct/>
              <w:topLinePunct w:val="0"/>
              <w:autoSpaceDE/>
              <w:autoSpaceDN/>
              <w:bidi w:val="0"/>
              <w:adjustRightInd/>
              <w:snapToGrid/>
              <w:spacing w:line="240" w:lineRule="exact"/>
              <w:jc w:val="right"/>
              <w:textAlignment w:val="auto"/>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ascii="宋体" w:hAnsi="宋体" w:cs="宋体"/>
                <w:color w:val="auto"/>
                <w:kern w:val="0"/>
              </w:rPr>
            </w:pPr>
            <w:r>
              <w:rPr>
                <w:rFonts w:hint="eastAsia" w:ascii="宋体" w:hAnsi="宋体" w:cs="宋体"/>
                <w:color w:val="auto"/>
                <w:kern w:val="0"/>
              </w:rPr>
              <w:t>起运时包装要完整，装载应稳妥。运输过程中要确保容器不泄漏、不倒塌、不坠落、不损坏。严禁与氧化剂、碱类、食用化学品等混装混运。运输时运输车辆应配备相应品种和数量的消防器材及泄漏应急处理设备。运输途中应防曝晒、雨淋，防高温。公路运输时要按规定路线行驶，勿在居民区和人口稠密区停留。</w:t>
            </w:r>
          </w:p>
        </w:tc>
      </w:tr>
    </w:tbl>
    <w:p>
      <w:pPr>
        <w:widowControl/>
        <w:spacing w:before="100" w:beforeAutospacing="1" w:after="100" w:afterAutospacing="1"/>
        <w:ind w:firstLine="480" w:firstLineChars="200"/>
        <w:jc w:val="left"/>
        <w:rPr>
          <w:rFonts w:hint="eastAsia"/>
          <w:color w:val="auto"/>
          <w:kern w:val="0"/>
          <w:sz w:val="24"/>
        </w:rPr>
      </w:pPr>
    </w:p>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4</w:t>
      </w:r>
      <w:r>
        <w:rPr>
          <w:rFonts w:hint="eastAsia"/>
          <w:color w:val="auto"/>
          <w:kern w:val="0"/>
          <w:sz w:val="24"/>
        </w:rPr>
        <w:t>）间氯过氧苯甲酸</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6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中文名称</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间氯过氧苯甲酸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中文别名</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3</w:t>
            </w:r>
            <w:r>
              <w:rPr>
                <w:color w:val="auto"/>
                <w:kern w:val="0"/>
                <w:sz w:val="24"/>
              </w:rPr>
              <w:t>-</w:t>
            </w:r>
            <w:r>
              <w:rPr>
                <w:rFonts w:hint="eastAsia"/>
                <w:color w:val="auto"/>
                <w:kern w:val="0"/>
                <w:sz w:val="24"/>
              </w:rPr>
              <w:t>氯过氧苯甲酸；3</w:t>
            </w:r>
            <w:r>
              <w:rPr>
                <w:color w:val="auto"/>
                <w:kern w:val="0"/>
                <w:sz w:val="24"/>
              </w:rPr>
              <w:t>-</w:t>
            </w:r>
            <w:r>
              <w:rPr>
                <w:rFonts w:hint="eastAsia"/>
                <w:color w:val="auto"/>
                <w:kern w:val="0"/>
                <w:sz w:val="24"/>
              </w:rPr>
              <w:t>氯过氧化苯甲酸；间氯过氧化苯甲酸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英文名称</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3</w:t>
            </w:r>
            <w:r>
              <w:rPr>
                <w:color w:val="auto"/>
                <w:kern w:val="0"/>
                <w:sz w:val="24"/>
              </w:rPr>
              <w:t>-</w:t>
            </w:r>
            <w:r>
              <w:rPr>
                <w:rFonts w:hint="eastAsia"/>
                <w:color w:val="auto"/>
                <w:kern w:val="0"/>
                <w:sz w:val="24"/>
              </w:rPr>
              <w:t>氯过氧苯甲酸；3</w:t>
            </w:r>
            <w:r>
              <w:rPr>
                <w:color w:val="auto"/>
                <w:kern w:val="0"/>
                <w:sz w:val="24"/>
              </w:rPr>
              <w:t>-</w:t>
            </w:r>
            <w:r>
              <w:rPr>
                <w:rFonts w:hint="eastAsia"/>
                <w:color w:val="auto"/>
                <w:kern w:val="0"/>
                <w:sz w:val="24"/>
              </w:rPr>
              <w:t>氯过氧化苯甲酸；间氯过氧化苯甲酸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英文别名</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3-Chloroperbenzoic acid; m-Chloroperbenzoic acid; m-CPBA; 3-Chloroperoxybenzoic acid; MCPBA ; 3-chlorobenzenecarboperoxoic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CAS号</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9</w:t>
            </w:r>
            <w:r>
              <w:rPr>
                <w:color w:val="auto"/>
                <w:kern w:val="0"/>
                <w:sz w:val="24"/>
              </w:rPr>
              <w:t>37-14-4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EINECS号</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2</w:t>
            </w:r>
            <w:r>
              <w:rPr>
                <w:color w:val="auto"/>
                <w:kern w:val="0"/>
                <w:sz w:val="24"/>
              </w:rPr>
              <w:t>13-322-3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分子式</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C</w:t>
            </w:r>
            <w:r>
              <w:rPr>
                <w:color w:val="auto"/>
                <w:kern w:val="0"/>
                <w:sz w:val="24"/>
              </w:rPr>
              <w:t>7</w:t>
            </w:r>
            <w:r>
              <w:rPr>
                <w:rFonts w:hint="eastAsia"/>
                <w:color w:val="auto"/>
                <w:kern w:val="0"/>
                <w:sz w:val="24"/>
              </w:rPr>
              <w:t>H</w:t>
            </w:r>
            <w:r>
              <w:rPr>
                <w:color w:val="auto"/>
                <w:kern w:val="0"/>
                <w:sz w:val="24"/>
              </w:rPr>
              <w:t>5</w:t>
            </w:r>
            <w:r>
              <w:rPr>
                <w:rFonts w:hint="eastAsia"/>
                <w:color w:val="auto"/>
                <w:kern w:val="0"/>
                <w:sz w:val="24"/>
              </w:rPr>
              <w:t>ClO</w:t>
            </w:r>
            <w:r>
              <w:rPr>
                <w:color w:val="auto"/>
                <w:kern w:val="0"/>
                <w:sz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分子量</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1</w:t>
            </w:r>
            <w:r>
              <w:rPr>
                <w:color w:val="auto"/>
                <w:kern w:val="0"/>
                <w:sz w:val="24"/>
              </w:rPr>
              <w:t>88.5652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color w:val="auto"/>
                <w:kern w:val="0"/>
                <w:sz w:val="24"/>
              </w:rPr>
              <w:t>I</w:t>
            </w:r>
            <w:r>
              <w:rPr>
                <w:rFonts w:hint="eastAsia"/>
                <w:color w:val="auto"/>
                <w:kern w:val="0"/>
                <w:sz w:val="24"/>
              </w:rPr>
              <w:t>nChl</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InChI=1/C7H5ClO4/c8-12-11-6-3-1-2-5(4-6)7(9)10/h1-4H,(H,9,10)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密度</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1.482g/cm3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熔点</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-92-94℃ (dec.)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沸点</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302.759°C at 760 mmHg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闪点</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136.904°C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蒸气压</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0mmHg at 25°C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物化性质</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产品用途</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危险品标志</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风险术语</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R22:吞食有害。</w:t>
            </w:r>
          </w:p>
          <w:p>
            <w:pPr>
              <w:widowControl/>
              <w:spacing w:before="100" w:beforeAutospacing="1" w:after="100" w:afterAutospacing="1" w:line="260" w:lineRule="exact"/>
              <w:jc w:val="left"/>
              <w:rPr>
                <w:color w:val="auto"/>
                <w:kern w:val="0"/>
                <w:sz w:val="24"/>
              </w:rPr>
            </w:pPr>
            <w:r>
              <w:rPr>
                <w:rFonts w:hint="eastAsia"/>
                <w:color w:val="auto"/>
                <w:kern w:val="0"/>
                <w:sz w:val="24"/>
              </w:rPr>
              <w:t>R34:引起灼伤。</w:t>
            </w:r>
          </w:p>
          <w:p>
            <w:pPr>
              <w:widowControl/>
              <w:spacing w:before="100" w:beforeAutospacing="1" w:after="100" w:afterAutospacing="1" w:line="260" w:lineRule="exact"/>
              <w:jc w:val="left"/>
              <w:rPr>
                <w:color w:val="auto"/>
                <w:kern w:val="0"/>
                <w:sz w:val="24"/>
              </w:rPr>
            </w:pPr>
            <w:r>
              <w:rPr>
                <w:rFonts w:hint="eastAsia"/>
                <w:color w:val="auto"/>
                <w:kern w:val="0"/>
                <w:sz w:val="24"/>
              </w:rPr>
              <w:t>R7:可能引起火灾。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tcPr>
          <w:p>
            <w:pPr>
              <w:widowControl/>
              <w:spacing w:before="100" w:beforeAutospacing="1" w:after="100" w:afterAutospacing="1" w:line="260" w:lineRule="exact"/>
              <w:jc w:val="left"/>
              <w:rPr>
                <w:color w:val="auto"/>
                <w:kern w:val="0"/>
                <w:sz w:val="24"/>
              </w:rPr>
            </w:pPr>
            <w:r>
              <w:rPr>
                <w:rFonts w:hint="eastAsia"/>
                <w:color w:val="auto"/>
                <w:kern w:val="0"/>
                <w:sz w:val="24"/>
              </w:rPr>
              <w:t>安全术语</w:t>
            </w:r>
          </w:p>
        </w:tc>
        <w:tc>
          <w:tcPr>
            <w:tcW w:w="6513" w:type="dxa"/>
          </w:tcPr>
          <w:p>
            <w:pPr>
              <w:widowControl/>
              <w:spacing w:before="100" w:beforeAutospacing="1" w:after="100" w:afterAutospacing="1" w:line="260" w:lineRule="exact"/>
              <w:jc w:val="left"/>
              <w:rPr>
                <w:color w:val="auto"/>
                <w:kern w:val="0"/>
                <w:sz w:val="24"/>
              </w:rPr>
            </w:pPr>
            <w:r>
              <w:rPr>
                <w:rFonts w:hint="eastAsia"/>
                <w:color w:val="auto"/>
                <w:kern w:val="0"/>
                <w:sz w:val="24"/>
              </w:rPr>
              <w:t>S17:远离可燃性物质。</w:t>
            </w:r>
          </w:p>
          <w:p>
            <w:pPr>
              <w:widowControl/>
              <w:spacing w:before="100" w:beforeAutospacing="1" w:after="100" w:afterAutospacing="1" w:line="260" w:lineRule="exact"/>
              <w:jc w:val="left"/>
              <w:rPr>
                <w:color w:val="auto"/>
                <w:kern w:val="0"/>
                <w:sz w:val="24"/>
              </w:rPr>
            </w:pPr>
            <w:r>
              <w:rPr>
                <w:rFonts w:hint="eastAsia"/>
                <w:color w:val="auto"/>
                <w:kern w:val="0"/>
                <w:sz w:val="24"/>
              </w:rPr>
              <w:t>S26:不慎与眼睛接触后，请立即用大量清水冲洗并征求医生意见。</w:t>
            </w:r>
          </w:p>
          <w:p>
            <w:pPr>
              <w:widowControl/>
              <w:spacing w:before="100" w:beforeAutospacing="1" w:after="100" w:afterAutospacing="1" w:line="260" w:lineRule="exact"/>
              <w:jc w:val="left"/>
              <w:rPr>
                <w:color w:val="auto"/>
                <w:kern w:val="0"/>
                <w:sz w:val="24"/>
              </w:rPr>
            </w:pPr>
            <w:r>
              <w:rPr>
                <w:rFonts w:hint="eastAsia"/>
                <w:color w:val="auto"/>
                <w:kern w:val="0"/>
                <w:sz w:val="24"/>
              </w:rPr>
              <w:t>S36/37/39:穿戴适当的防护服、手套和护目镜或面具。</w:t>
            </w:r>
          </w:p>
          <w:p>
            <w:pPr>
              <w:widowControl/>
              <w:spacing w:before="100" w:beforeAutospacing="1" w:after="100" w:afterAutospacing="1" w:line="260" w:lineRule="exact"/>
              <w:jc w:val="left"/>
              <w:rPr>
                <w:color w:val="auto"/>
                <w:kern w:val="0"/>
                <w:sz w:val="24"/>
              </w:rPr>
            </w:pPr>
            <w:r>
              <w:rPr>
                <w:rFonts w:hint="eastAsia"/>
                <w:color w:val="auto"/>
                <w:kern w:val="0"/>
                <w:sz w:val="24"/>
              </w:rPr>
              <w:t>S45:若发生事故或感不适，立即就医(可能的话，出示其标签)。</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5</w:t>
      </w:r>
      <w:r>
        <w:rPr>
          <w:rFonts w:hint="eastAsia"/>
          <w:color w:val="auto"/>
          <w:kern w:val="0"/>
          <w:sz w:val="24"/>
        </w:rPr>
        <w:t>）异丙醇</w:t>
      </w:r>
    </w:p>
    <w:tbl>
      <w:tblPr>
        <w:tblStyle w:val="31"/>
        <w:tblW w:w="5000" w:type="pct"/>
        <w:tblCellSpacing w:w="7" w:type="dxa"/>
        <w:tblInd w:w="-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C3H8O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接触高浓度蒸气出现头痛、倦睡、共济失调以及眼、鼻、喉刺激症状。口服可致恶心、呕吐、腹痛、腹泻、倦睡、昏迷甚至死亡。长期皮肤接触可致皮肤干燥、皲裂。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饮足量温水，催吐。洗胃。就医。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易燃，其蒸气与空气可形成爆炸性混合物，遇明火、高热能引起燃烧爆炸。与氧化剂接触猛烈反应。在火场中，受热的容器有爆炸危险。其蒸气比空气重，能在较低处扩散到相当远的地方，遇火源会着火回燃。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尽可能将容器从火场移至空旷处。喷水保持火场容器冷却，直至灭火结束。处在火场中的容器若已变色或从安全泄压装置中产生声音，必须马上撤离。灭火剂：抗溶性泡沫、干粉、二氧化碳、砂土。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密闭操作，全面通风。操作人员必须经过专门培训，严格遵守操作规程。建议操作人员佩戴过滤式防毒面具（半面罩），戴安全防护眼镜，穿防静电工作服，戴乳胶手套。远离火种、热源，工作场所严禁吸烟。使用防爆型的通风系统和设备。防止蒸气泄漏到工作场所空气中。避免与氧化剂、酸类、卤素接触。灌装时应控制流速，且有接地装置，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保持容器密封。应与氧化剂、酸类、卤素等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400ppm,985mg/m3; ACGIH 400ppm,983mg/m3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ACGIH 500ppm,1230mg/m3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生产过程密闭，全面通风。提供安全淋浴和洗眼设备。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一般不需要特殊防护，高浓度接触时可佩戴过滤式防毒面具（半面罩）。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一般不需要特殊防护，高浓度接触时可戴安全防护眼镜。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戴乳胶手套。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工作现场严禁吸烟。保持良好的卫生习惯。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无色透明液体，有似乙醇和丙酮混合物的气味。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4.40(20℃)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1984.7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辛醇/水分配系数的对数值：</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溶于水、醇、醚、苯、氯仿等多数有机溶剂。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是重要的化工产品和原料。主要用于制药、化妆品、塑料、香料、涂料等。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强氧化剂、酸类、酸酐、卤素。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LD50：5045 mg/kg(大鼠经口)；12800 mg/kg(兔经皮)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32064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小开口钢桶；安瓿瓶外普通木箱；螺纹口玻璃瓶、铁盖压口玻璃瓶、塑料瓶或金属桶（罐）外普通木箱；螺纹口玻璃瓶、塑料瓶或镀锡薄钢板桶（罐）外满底板花格箱、纤维板箱或胶合板箱。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运输时运输车辆应配备相应品种和数量的消防器材及泄漏应急处理设备。夏季最好早晚运输。运输时所用的槽（罐）车应有接地链，槽内可设孔隔板以减少震荡产生静电。严禁与氧化剂、酸类、卤素、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6</w:t>
      </w:r>
      <w:r>
        <w:rPr>
          <w:rFonts w:hint="eastAsia"/>
          <w:color w:val="auto"/>
          <w:kern w:val="0"/>
          <w:sz w:val="24"/>
        </w:rPr>
        <w:t>）环己酮</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6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CAS：</w:t>
            </w:r>
          </w:p>
        </w:tc>
        <w:tc>
          <w:tcPr>
            <w:tcW w:w="0" w:type="auto"/>
            <w:vAlign w:val="center"/>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108-94-1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名称：</w:t>
            </w:r>
          </w:p>
        </w:tc>
        <w:tc>
          <w:tcPr>
            <w:tcW w:w="0" w:type="auto"/>
            <w:vAlign w:val="center"/>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环己酮</w:t>
            </w:r>
          </w:p>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cyclohexanone</w:t>
            </w:r>
          </w:p>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ketohexamethylene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分子式：</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C6H10O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分子量：</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98.14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有害物成分：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环己酮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健康危害：</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具有麻醉和刺激作用。急性中毒：主要表现有眼、鼻、喉粘膜刺激症状和头晕、胸闷、全身无力等症状。重者可出现休克、昏迷、四肢抽搐、肺水肿，最后因呼吸衰竭而死亡。脱离接触后能较快恢复正常。液体对皮肤有刺激性；眼接触有可能造成角膜损害。慢性影响：长期反复接触可致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燃爆危险：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本品易燃，具刺激性。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皮肤接触：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脱去污染的衣着，用肥皂水和清水彻底冲洗皮肤。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眼睛接触：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吸入：</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食入：</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危险特性：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易燃，遇高热、明火有引起燃烧的危险。与氧化剂接触猛烈反应。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有害燃烧产物：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灭火方法：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喷水冷却容器，可能的话将容器从火场移至空旷处。灭火剂：泡沫、干粉、二氧化碳、砂土。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应急处理：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迅速撤离泄漏污染区人员至安全区，并进行隔离，严格限制出入。切断火源。建议应急处理人员戴自给正压式呼吸器，穿防静电工作服。尽可能切断泄漏源。防止流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操作注意事项：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注意通风。操作人员必须经过专门培训，严格遵守操作规程。建议操作人员佩戴自吸过滤式防毒面具（半面罩），戴化学安全防护眼镜，穿防静电工作服，戴橡胶耐油手套。远离火种、热源，工作场所严禁吸烟。使用防爆型的通风系统和设备。防止蒸气泄漏到工作场所空气中。避免与氧化剂、还原剂接触。充装要控制流速，防止静电积聚。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储存注意事项：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储存于阴凉、通风的库房。远离火种、热源。库温不宜超过30℃。保持容器密封。应与氧化剂、还原剂等分开存放，切忌混储。采用防爆型照明、通风设施。禁止使用易产生火花的机械设备和工具。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中国MAC(mg/m3)：</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前苏联MAC(mg/m3)：</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TLVTN：</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OSHA 50ppm,200mg/m3; ACGIH 25ppm,100mg/m3[皮]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监测方法：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气相色谱法；糠醛比色法；溶剂解吸－气相色谱法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工程控制：</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密闭操作，注意通风。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呼吸系统防护：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可能接触其蒸气时，应该佩戴自吸过滤式防毒面具（半面罩）。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身体防护：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手防护：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其他防护：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工作现场严禁吸烟。注意个人清洁卫生。避免长期反复接触。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主要成分：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含量: 优级≥99.5％;合格品≥99.0％。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外观与性状：</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无色或浅黄色透明液体，有强烈的刺激性臭味。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熔点(℃)：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沸点(℃)：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相对密度(水=1)：</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相对蒸气密度(空气=1)：</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饱和蒸气压(kPa)：</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1.33(38.7℃)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临界温度(℃)：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385.9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临界压力(MPa)：</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辛醇/水分配系数的对数值：</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闪点(℃)：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引燃温度(℃)：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爆炸上限%(V/V)：</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爆炸下限%(V/V)：</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溶解性：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微溶于水，可混溶于醇、醚、苯、丙酮等多数有机溶剂。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主要用途：</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主要用于制造己内酰胺和己二酸，也是优良的溶剂。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禁配物：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强氧化剂、强还原剂、塑料。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急性毒性：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LD50：1535 mg/kg(大鼠经口)；948 mg/kg(兔经皮) LC50：32080mg/m3，4小时(大鼠吸入)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刺激性：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人经眼：75ppm ，引起刺激。家兔经皮开放性刺激试验： 500mg，轻度刺激。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其它有害作用：</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该物质对环境可能有危害，对水体应给予特别注意。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废弃处置方法：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处置前应参阅国家和地方有关法规。建议用焚烧法处置。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危险货物编号：</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33590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UN编号：</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包装类别：</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安瓿瓶外普通木箱；螺纹口玻璃瓶、铁盖压口玻璃瓶、塑料瓶或金属桶（罐）外普通木箱；螺纹口玻璃瓶、塑料瓶或镀锡薄钢板桶（罐）外满底板花格箱、纤维板箱或胶合板箱。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运输注意事项：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运输时运输车辆应配备相应品种和数量的消防器材及泄漏应急处理设备。夏季最好早晚运输。运输时所用的槽（罐）车应有接地链，槽内可设孔隔板以减少震荡产生静电。严禁与氧化剂、还原剂、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widowControl/>
        <w:spacing w:before="100" w:beforeAutospacing="1" w:after="100" w:afterAutospacing="1"/>
        <w:ind w:firstLine="480" w:firstLineChars="200"/>
        <w:jc w:val="left"/>
        <w:rPr>
          <w:color w:val="auto"/>
          <w:kern w:val="0"/>
          <w:sz w:val="24"/>
        </w:rPr>
      </w:pPr>
      <w:r>
        <w:rPr>
          <w:rFonts w:hint="eastAsia"/>
          <w:color w:val="auto"/>
          <w:kern w:val="0"/>
          <w:sz w:val="24"/>
        </w:rPr>
        <w:t>2</w:t>
      </w:r>
      <w:r>
        <w:rPr>
          <w:color w:val="auto"/>
          <w:kern w:val="0"/>
          <w:sz w:val="24"/>
        </w:rPr>
        <w:t>7</w:t>
      </w:r>
      <w:r>
        <w:rPr>
          <w:rFonts w:hint="eastAsia"/>
          <w:color w:val="auto"/>
          <w:kern w:val="0"/>
          <w:sz w:val="24"/>
        </w:rPr>
        <w:t>）NP</w:t>
      </w:r>
      <w:r>
        <w:rPr>
          <w:color w:val="auto"/>
          <w:kern w:val="0"/>
          <w:sz w:val="24"/>
        </w:rPr>
        <w:t>-10</w:t>
      </w:r>
      <w:r>
        <w:rPr>
          <w:rFonts w:hint="eastAsia"/>
          <w:color w:val="auto"/>
          <w:kern w:val="0"/>
          <w:sz w:val="24"/>
        </w:rPr>
        <w:t>（壬基酚聚氧乙烯醚）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w:t>
            </w:r>
            <w:r>
              <w:rPr>
                <w:rFonts w:ascii="宋体" w:hAnsi="宋体"/>
                <w:b/>
                <w:color w:val="auto"/>
              </w:rPr>
              <w:t xml:space="preserve">产品及企业标识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color w:val="auto"/>
              </w:rPr>
            </w:pPr>
            <w:r>
              <w:rPr>
                <w:rFonts w:ascii="宋体" w:hAnsi="宋体"/>
                <w:b/>
                <w:color w:val="auto"/>
              </w:rPr>
              <w:t>产品名称：</w:t>
            </w:r>
            <w:r>
              <w:rPr>
                <w:rFonts w:eastAsia="等线"/>
                <w:b/>
                <w:color w:val="auto"/>
              </w:rPr>
              <w:t xml:space="preserve">NP-10          </w:t>
            </w:r>
            <w:r>
              <w:rPr>
                <w:rFonts w:ascii="宋体" w:hAnsi="宋体"/>
                <w:color w:val="auto"/>
              </w:rPr>
              <w:t>中文名称：</w:t>
            </w:r>
            <w:r>
              <w:rPr>
                <w:rFonts w:ascii="宋体" w:hAnsi="宋体"/>
                <w:b/>
                <w:bCs/>
                <w:color w:val="auto"/>
              </w:rPr>
              <w:t>壬基酚</w:t>
            </w:r>
            <w:r>
              <w:rPr>
                <w:rFonts w:ascii="宋体" w:hAnsi="宋体"/>
                <w:b/>
                <w:color w:val="auto"/>
              </w:rPr>
              <w:t>聚氧乙烯醚</w:t>
            </w:r>
            <w:r>
              <w:rPr>
                <w:rFonts w:eastAsia="等线"/>
                <w:b/>
                <w:bCs/>
                <w:color w:val="auto"/>
              </w:rPr>
              <w:t xml:space="preserve"> </w:t>
            </w:r>
            <w:r>
              <w:rPr>
                <w:rFonts w:eastAsia="等线"/>
                <w:color w:val="auto"/>
              </w:rPr>
              <w:t xml:space="preserve">                       </w:t>
            </w:r>
            <w:r>
              <w:rPr>
                <w:rFonts w:ascii="宋体" w:hAnsi="宋体"/>
                <w:color w:val="auto"/>
              </w:rPr>
              <w:t>英文名称：</w:t>
            </w:r>
            <w:r>
              <w:rPr>
                <w:rFonts w:eastAsia="等线"/>
                <w:color w:val="auto"/>
              </w:rPr>
              <w:t>NONOXYNOL 9</w:t>
            </w:r>
          </w:p>
          <w:p>
            <w:pPr>
              <w:snapToGrid w:val="0"/>
              <w:spacing w:line="264" w:lineRule="exact"/>
              <w:rPr>
                <w:rFonts w:eastAsia="等线"/>
                <w:color w:val="auto"/>
              </w:rPr>
            </w:pPr>
            <w:r>
              <w:rPr>
                <w:rFonts w:ascii="宋体" w:hAnsi="宋体"/>
                <w:color w:val="auto"/>
              </w:rPr>
              <w:t>其他名称：农乳</w:t>
            </w:r>
          </w:p>
          <w:p>
            <w:pPr>
              <w:snapToGrid w:val="0"/>
              <w:spacing w:line="264" w:lineRule="exact"/>
              <w:rPr>
                <w:rFonts w:eastAsia="等线"/>
                <w:color w:val="auto"/>
              </w:rPr>
            </w:pPr>
            <w:r>
              <w:rPr>
                <w:rFonts w:ascii="宋体" w:hAnsi="宋体"/>
                <w:color w:val="auto"/>
              </w:rPr>
              <w:t>产品类别：乳化剂</w:t>
            </w:r>
          </w:p>
          <w:p>
            <w:pPr>
              <w:spacing w:line="264" w:lineRule="exact"/>
              <w:rPr>
                <w:rFonts w:eastAsia="等线"/>
                <w:color w:val="auto"/>
              </w:rPr>
            </w:pPr>
            <w:r>
              <w:rPr>
                <w:rFonts w:ascii="宋体" w:hAnsi="宋体"/>
                <w:b/>
                <w:color w:val="auto"/>
              </w:rPr>
              <w:t>企业名称（中英文）</w:t>
            </w:r>
            <w:r>
              <w:rPr>
                <w:rFonts w:eastAsia="等线"/>
                <w:b/>
                <w:color w:val="auto"/>
              </w:rPr>
              <w:t>:</w:t>
            </w:r>
            <w:r>
              <w:rPr>
                <w:rFonts w:eastAsia="等线"/>
                <w:color w:val="auto"/>
              </w:rPr>
              <w:t xml:space="preserve"> </w:t>
            </w:r>
            <w:r>
              <w:rPr>
                <w:rFonts w:ascii="宋体" w:hAnsi="宋体"/>
                <w:color w:val="auto"/>
              </w:rPr>
              <w:t>无锡市科林化工有限公司</w:t>
            </w:r>
          </w:p>
          <w:p>
            <w:pPr>
              <w:spacing w:line="264" w:lineRule="exact"/>
              <w:rPr>
                <w:rFonts w:eastAsia="等线"/>
                <w:color w:val="auto"/>
              </w:rPr>
            </w:pPr>
            <w:r>
              <w:rPr>
                <w:rFonts w:eastAsia="等线"/>
                <w:color w:val="auto"/>
              </w:rPr>
              <w:t xml:space="preserve">                    </w:t>
            </w:r>
            <w:r>
              <w:rPr>
                <w:rFonts w:eastAsia="等线" w:cs="Arial"/>
                <w:color w:val="auto"/>
                <w:shd w:val="clear" w:color="auto" w:fill="FFFFFF"/>
              </w:rPr>
              <w:t>Wuxi Kelin Chemical Co., Ltd.</w:t>
            </w:r>
          </w:p>
          <w:p>
            <w:pPr>
              <w:spacing w:line="264" w:lineRule="exact"/>
              <w:rPr>
                <w:rFonts w:eastAsia="等线"/>
                <w:color w:val="auto"/>
              </w:rPr>
            </w:pPr>
            <w:r>
              <w:rPr>
                <w:rFonts w:eastAsia="等线"/>
                <w:color w:val="auto"/>
              </w:rPr>
              <w:t xml:space="preserve">        </w:t>
            </w:r>
          </w:p>
          <w:p>
            <w:pPr>
              <w:snapToGrid w:val="0"/>
              <w:spacing w:line="264" w:lineRule="exact"/>
              <w:rPr>
                <w:rFonts w:eastAsia="等线"/>
                <w:color w:val="auto"/>
              </w:rPr>
            </w:pPr>
            <w:r>
              <w:rPr>
                <w:rFonts w:ascii="宋体" w:hAnsi="宋体"/>
                <w:color w:val="auto"/>
              </w:rPr>
              <w:t>地址：无锡市惠山区堰桥镇牌楼东路</w:t>
            </w:r>
            <w:r>
              <w:rPr>
                <w:rFonts w:eastAsia="等线"/>
                <w:color w:val="auto"/>
              </w:rPr>
              <w:t>3</w:t>
            </w:r>
            <w:r>
              <w:rPr>
                <w:rFonts w:ascii="宋体" w:hAnsi="宋体"/>
                <w:color w:val="auto"/>
              </w:rPr>
              <w:t>号             邮编：</w:t>
            </w:r>
            <w:r>
              <w:rPr>
                <w:rFonts w:eastAsia="等线"/>
                <w:color w:val="auto"/>
              </w:rPr>
              <w:t>214000</w:t>
            </w:r>
          </w:p>
          <w:p>
            <w:pPr>
              <w:snapToGrid w:val="0"/>
              <w:spacing w:line="264" w:lineRule="exact"/>
              <w:rPr>
                <w:rFonts w:eastAsia="等线"/>
                <w:color w:val="auto"/>
              </w:rPr>
            </w:pPr>
            <w:r>
              <w:rPr>
                <w:rFonts w:ascii="宋体" w:hAnsi="宋体"/>
                <w:color w:val="auto"/>
              </w:rPr>
              <w:t>企业电话：</w:t>
            </w:r>
            <w:r>
              <w:rPr>
                <w:rFonts w:eastAsia="等线"/>
                <w:color w:val="auto"/>
              </w:rPr>
              <w:t>0510-83751469</w:t>
            </w:r>
          </w:p>
          <w:p>
            <w:pPr>
              <w:snapToGrid w:val="0"/>
              <w:spacing w:line="264" w:lineRule="exact"/>
              <w:rPr>
                <w:rFonts w:eastAsia="等线"/>
                <w:color w:val="auto"/>
              </w:rPr>
            </w:pPr>
            <w:r>
              <w:rPr>
                <w:rFonts w:ascii="宋体" w:hAnsi="宋体"/>
                <w:color w:val="auto"/>
              </w:rPr>
              <w:t>传真号码：</w:t>
            </w:r>
            <w:r>
              <w:rPr>
                <w:rFonts w:eastAsia="等线"/>
                <w:color w:val="auto"/>
              </w:rPr>
              <w:t>0510-83753012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2</w:t>
            </w:r>
            <w:r>
              <w:rPr>
                <w:rFonts w:ascii="宋体" w:hAnsi="宋体"/>
                <w:b/>
                <w:color w:val="auto"/>
              </w:rPr>
              <w:t>成分</w:t>
            </w:r>
            <w:r>
              <w:rPr>
                <w:rFonts w:eastAsia="等线"/>
                <w:b/>
                <w:color w:val="auto"/>
              </w:rPr>
              <w:t>/</w:t>
            </w:r>
            <w:r>
              <w:rPr>
                <w:rFonts w:ascii="宋体" w:hAnsi="宋体"/>
                <w:b/>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color w:val="auto"/>
              </w:rPr>
            </w:pPr>
            <w:r>
              <w:rPr>
                <w:rFonts w:ascii="宋体" w:hAnsi="宋体"/>
                <w:b/>
                <w:color w:val="auto"/>
              </w:rPr>
              <w:t>产品有效成分化学名称：</w:t>
            </w:r>
            <w:r>
              <w:rPr>
                <w:rFonts w:ascii="宋体" w:hAnsi="宋体"/>
                <w:b/>
                <w:bCs/>
                <w:color w:val="auto"/>
              </w:rPr>
              <w:t>壬基酚</w:t>
            </w:r>
            <w:r>
              <w:rPr>
                <w:rFonts w:ascii="宋体" w:hAnsi="宋体"/>
                <w:b/>
                <w:color w:val="auto"/>
              </w:rPr>
              <w:t>聚氧乙烯醚</w:t>
            </w:r>
            <w:r>
              <w:rPr>
                <w:rFonts w:eastAsia="等线"/>
                <w:b/>
                <w:bCs/>
                <w:color w:val="auto"/>
              </w:rPr>
              <w:t xml:space="preserve"> </w:t>
            </w:r>
            <w:r>
              <w:rPr>
                <w:rFonts w:eastAsia="等线"/>
                <w:color w:val="auto"/>
              </w:rPr>
              <w:t xml:space="preserve"> </w:t>
            </w:r>
            <w:r>
              <w:rPr>
                <w:rFonts w:eastAsia="等线"/>
                <w:b/>
                <w:color w:val="auto"/>
              </w:rPr>
              <w:t xml:space="preserve"> </w:t>
            </w:r>
            <w:r>
              <w:rPr>
                <w:rFonts w:eastAsia="等线"/>
                <w:color w:val="auto"/>
              </w:rPr>
              <w:t xml:space="preserve">   </w:t>
            </w:r>
          </w:p>
          <w:p>
            <w:pPr>
              <w:snapToGrid w:val="0"/>
              <w:spacing w:line="264" w:lineRule="exact"/>
              <w:rPr>
                <w:rFonts w:eastAsia="等线"/>
                <w:color w:val="auto"/>
              </w:rPr>
            </w:pPr>
            <w:r>
              <w:rPr>
                <w:rFonts w:ascii="宋体" w:hAnsi="宋体"/>
                <w:color w:val="auto"/>
              </w:rPr>
              <w:t>含量：</w:t>
            </w:r>
            <w:r>
              <w:rPr>
                <w:rFonts w:eastAsia="等线"/>
                <w:color w:val="auto"/>
              </w:rPr>
              <w:t xml:space="preserve"> 99%   </w:t>
            </w:r>
          </w:p>
          <w:p>
            <w:pPr>
              <w:snapToGrid w:val="0"/>
              <w:spacing w:line="264" w:lineRule="exact"/>
              <w:rPr>
                <w:rFonts w:eastAsia="等线"/>
                <w:color w:val="auto"/>
              </w:rPr>
            </w:pPr>
            <w:r>
              <w:rPr>
                <w:rFonts w:eastAsia="等线"/>
                <w:color w:val="auto"/>
              </w:rPr>
              <w:t>CAS No. :14409-72-4</w:t>
            </w:r>
          </w:p>
          <w:p>
            <w:pPr>
              <w:snapToGrid w:val="0"/>
              <w:spacing w:line="264" w:lineRule="exact"/>
              <w:rPr>
                <w:rFonts w:eastAsia="等线"/>
                <w:color w:val="auto"/>
              </w:rPr>
            </w:pPr>
            <w:r>
              <w:rPr>
                <w:rFonts w:ascii="宋体" w:hAnsi="宋体"/>
                <w:color w:val="auto"/>
              </w:rPr>
              <w:t>结构式：</w:t>
            </w:r>
            <w:r>
              <w:rPr>
                <w:rFonts w:eastAsia="等线"/>
                <w:color w:val="auto"/>
              </w:rPr>
              <w:t xml:space="preserve">  </w:t>
            </w:r>
          </w:p>
          <w:p>
            <w:pPr>
              <w:snapToGrid w:val="0"/>
              <w:spacing w:line="264" w:lineRule="exact"/>
              <w:rPr>
                <w:rFonts w:eastAsia="等线"/>
                <w:color w:val="auto"/>
              </w:rPr>
            </w:pPr>
            <w:r>
              <w:rPr>
                <w:rFonts w:ascii="宋体" w:hAnsi="宋体"/>
                <w:color w:val="auto"/>
              </w:rPr>
              <w:t>分子式：</w:t>
            </w:r>
            <w:r>
              <w:rPr>
                <w:rFonts w:eastAsia="等线"/>
                <w:color w:val="auto"/>
              </w:rPr>
              <w:t xml:space="preserve">  C33H60O10   </w:t>
            </w:r>
          </w:p>
          <w:p>
            <w:pPr>
              <w:snapToGrid w:val="0"/>
              <w:spacing w:line="264" w:lineRule="exact"/>
              <w:rPr>
                <w:rFonts w:eastAsia="等线"/>
                <w:color w:val="auto"/>
              </w:rPr>
            </w:pPr>
            <w:r>
              <w:rPr>
                <w:rFonts w:ascii="宋体" w:hAnsi="宋体"/>
                <w:color w:val="auto"/>
              </w:rPr>
              <w:t>相对分子质量：</w:t>
            </w:r>
            <w:r>
              <w:rPr>
                <w:rFonts w:eastAsia="等线" w:cs="Open Sans"/>
                <w:color w:val="auto"/>
                <w:shd w:val="clear" w:color="auto" w:fill="F9F9F9"/>
              </w:rPr>
              <w:t>616.82</w:t>
            </w:r>
          </w:p>
          <w:p>
            <w:pPr>
              <w:snapToGrid w:val="0"/>
              <w:spacing w:line="264" w:lineRule="exact"/>
              <w:rPr>
                <w:rFonts w:eastAsia="等线"/>
                <w:color w:val="auto"/>
              </w:rPr>
            </w:pPr>
            <w:r>
              <w:rPr>
                <w:rFonts w:ascii="宋体" w:hAnsi="宋体"/>
                <w:color w:val="auto"/>
              </w:rPr>
              <w:t>主要理化性质：浅色粘稠液体</w:t>
            </w:r>
          </w:p>
          <w:p>
            <w:pPr>
              <w:snapToGrid w:val="0"/>
              <w:spacing w:line="264" w:lineRule="exact"/>
              <w:rPr>
                <w:rFonts w:eastAsia="等线"/>
                <w:color w:val="auto"/>
              </w:rPr>
            </w:pPr>
            <w:r>
              <w:rPr>
                <w:rFonts w:ascii="宋体" w:hAnsi="宋体"/>
                <w:b/>
                <w:color w:val="auto"/>
              </w:rPr>
              <w:t>有害物成分名称：</w:t>
            </w:r>
            <w:r>
              <w:rPr>
                <w:rFonts w:eastAsia="等线"/>
                <w:b/>
                <w:color w:val="auto"/>
              </w:rPr>
              <w:t xml:space="preserve">               </w:t>
            </w:r>
            <w:r>
              <w:rPr>
                <w:rFonts w:ascii="宋体" w:hAnsi="宋体"/>
                <w:color w:val="auto"/>
              </w:rPr>
              <w:t>含量：</w:t>
            </w:r>
          </w:p>
          <w:p>
            <w:pPr>
              <w:snapToGrid w:val="0"/>
              <w:spacing w:line="264" w:lineRule="exact"/>
              <w:rPr>
                <w:rFonts w:eastAsia="等线"/>
                <w:color w:val="auto"/>
              </w:rPr>
            </w:pPr>
            <w:r>
              <w:rPr>
                <w:rFonts w:eastAsia="等线"/>
                <w:color w:val="auto"/>
              </w:rPr>
              <w:t>CAS No.</w:t>
            </w:r>
            <w:r>
              <w:rPr>
                <w:rFonts w:ascii="宋体" w:hAnsi="宋体"/>
                <w:color w:val="auto"/>
              </w:rPr>
              <w:t xml:space="preserve">：   </w:t>
            </w:r>
          </w:p>
          <w:p>
            <w:pPr>
              <w:snapToGrid w:val="0"/>
              <w:spacing w:line="264" w:lineRule="exact"/>
              <w:rPr>
                <w:rFonts w:eastAsia="等线"/>
                <w:color w:val="auto"/>
              </w:rPr>
            </w:pPr>
            <w:r>
              <w:rPr>
                <w:rFonts w:ascii="宋体" w:hAnsi="宋体"/>
                <w:color w:val="auto"/>
              </w:rPr>
              <w:t>结构式：</w:t>
            </w:r>
            <w:r>
              <w:rPr>
                <w:rFonts w:eastAsia="等线"/>
                <w:color w:val="auto"/>
              </w:rPr>
              <w:t xml:space="preserve">   </w:t>
            </w:r>
          </w:p>
          <w:p>
            <w:pPr>
              <w:snapToGrid w:val="0"/>
              <w:spacing w:line="264" w:lineRule="exact"/>
              <w:rPr>
                <w:rFonts w:eastAsia="等线"/>
                <w:color w:val="auto"/>
              </w:rPr>
            </w:pPr>
            <w:r>
              <w:rPr>
                <w:rFonts w:ascii="宋体" w:hAnsi="宋体"/>
                <w:color w:val="auto"/>
              </w:rPr>
              <w:t>分子式：</w:t>
            </w:r>
            <w:r>
              <w:rPr>
                <w:rFonts w:eastAsia="等线"/>
                <w:color w:val="auto"/>
              </w:rPr>
              <w:t xml:space="preserve">     </w:t>
            </w:r>
          </w:p>
          <w:p>
            <w:pPr>
              <w:snapToGrid w:val="0"/>
              <w:spacing w:line="264" w:lineRule="exact"/>
              <w:rPr>
                <w:rFonts w:eastAsia="等线"/>
                <w:color w:val="auto"/>
              </w:rPr>
            </w:pPr>
            <w:r>
              <w:rPr>
                <w:rFonts w:ascii="宋体" w:hAnsi="宋体"/>
                <w:color w:val="auto"/>
              </w:rPr>
              <w:t>相对分子质量：</w:t>
            </w:r>
          </w:p>
          <w:p>
            <w:pPr>
              <w:snapToGrid w:val="0"/>
              <w:spacing w:line="264" w:lineRule="exact"/>
              <w:rPr>
                <w:rFonts w:eastAsia="等线"/>
                <w:color w:val="auto"/>
              </w:rPr>
            </w:pPr>
            <w:r>
              <w:rPr>
                <w:rFonts w:ascii="宋体" w:hAnsi="宋体"/>
                <w:color w:val="auto"/>
              </w:rPr>
              <w:t>主要理化性质：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color w:val="auto"/>
              </w:rPr>
            </w:pPr>
            <w:r>
              <w:rPr>
                <w:rFonts w:eastAsia="等线"/>
                <w:b/>
                <w:color w:val="auto"/>
              </w:rPr>
              <w:t>3</w:t>
            </w:r>
            <w:r>
              <w:rPr>
                <w:rFonts w:ascii="宋体" w:hAnsi="宋体"/>
                <w:b/>
                <w:color w:val="auto"/>
              </w:rPr>
              <w:t xml:space="preserve">危险性概述 </w:t>
            </w:r>
            <w:r>
              <w:rPr>
                <w:rFonts w:ascii="宋体" w:hAnsi="宋体"/>
                <w:color w:val="auto"/>
              </w:rPr>
              <w:t>（主要包括对人和环境有危害的资料）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pacing w:line="264" w:lineRule="exact"/>
              <w:jc w:val="left"/>
              <w:rPr>
                <w:rFonts w:eastAsia="等线"/>
                <w:color w:val="auto"/>
              </w:rPr>
            </w:pPr>
            <w:r>
              <w:rPr>
                <w:rFonts w:ascii="宋体" w:hAnsi="宋体"/>
                <w:color w:val="auto"/>
              </w:rPr>
              <w:t>危险性类别：根据中国的法规，本品属于有刺激性化学品。</w:t>
            </w:r>
          </w:p>
          <w:p>
            <w:pPr>
              <w:snapToGrid w:val="0"/>
              <w:spacing w:line="264" w:lineRule="exact"/>
              <w:jc w:val="left"/>
              <w:rPr>
                <w:rFonts w:eastAsia="等线"/>
                <w:color w:val="auto"/>
              </w:rPr>
            </w:pPr>
            <w:r>
              <w:rPr>
                <w:rFonts w:ascii="宋体" w:hAnsi="宋体"/>
                <w:color w:val="auto"/>
              </w:rPr>
              <w:t>侵入途径：</w:t>
            </w:r>
            <w:r>
              <w:rPr>
                <w:rFonts w:eastAsia="等线"/>
                <w:color w:val="auto"/>
              </w:rPr>
              <w:t xml:space="preserve">  </w:t>
            </w:r>
            <w:r>
              <w:rPr>
                <w:rFonts w:ascii="宋体" w:hAnsi="宋体"/>
                <w:color w:val="auto"/>
              </w:rPr>
              <w:t>接触</w:t>
            </w:r>
          </w:p>
          <w:p>
            <w:pPr>
              <w:snapToGrid w:val="0"/>
              <w:spacing w:line="264" w:lineRule="exact"/>
              <w:jc w:val="left"/>
              <w:rPr>
                <w:rFonts w:eastAsia="等线"/>
                <w:color w:val="auto"/>
              </w:rPr>
            </w:pPr>
            <w:r>
              <w:rPr>
                <w:rFonts w:ascii="宋体" w:hAnsi="宋体"/>
                <w:color w:val="auto"/>
              </w:rPr>
              <w:t>健康危害：</w:t>
            </w:r>
            <w:r>
              <w:rPr>
                <w:rFonts w:eastAsia="等线"/>
                <w:color w:val="auto"/>
              </w:rPr>
              <w:t xml:space="preserve">  </w:t>
            </w:r>
            <w:r>
              <w:rPr>
                <w:rFonts w:ascii="宋体" w:hAnsi="宋体"/>
                <w:color w:val="auto"/>
              </w:rPr>
              <w:t>于眼睛皮肤有刺激性环境危害：</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燃爆危险：</w:t>
            </w:r>
            <w:r>
              <w:rPr>
                <w:rFonts w:eastAsia="等线"/>
                <w:color w:val="auto"/>
              </w:rPr>
              <w:t xml:space="preserve">  </w:t>
            </w:r>
            <w:r>
              <w:rPr>
                <w:rFonts w:ascii="宋体" w:hAnsi="宋体"/>
                <w:color w:val="auto"/>
              </w:rPr>
              <w:t>不可燃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4</w:t>
            </w:r>
            <w:r>
              <w:rPr>
                <w:rFonts w:ascii="宋体" w:hAnsi="宋体"/>
                <w:b/>
                <w:color w:val="auto"/>
              </w:rPr>
              <w:t>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皮肤接触：</w:t>
            </w:r>
            <w:r>
              <w:rPr>
                <w:rFonts w:eastAsia="等线"/>
                <w:color w:val="auto"/>
              </w:rPr>
              <w:t xml:space="preserve"> </w:t>
            </w:r>
            <w:r>
              <w:rPr>
                <w:rFonts w:ascii="宋体" w:hAnsi="宋体"/>
                <w:color w:val="auto"/>
              </w:rPr>
              <w:t>立即用大量水冲洗。</w:t>
            </w:r>
          </w:p>
          <w:p>
            <w:pPr>
              <w:snapToGrid w:val="0"/>
              <w:spacing w:line="264" w:lineRule="exact"/>
              <w:jc w:val="left"/>
              <w:rPr>
                <w:rFonts w:eastAsia="等线"/>
                <w:color w:val="auto"/>
              </w:rPr>
            </w:pPr>
            <w:r>
              <w:rPr>
                <w:rFonts w:ascii="宋体" w:hAnsi="宋体"/>
                <w:color w:val="auto"/>
              </w:rPr>
              <w:t>眼睛接触：提起眼睑，用大量水冲洗。</w:t>
            </w:r>
          </w:p>
          <w:p>
            <w:pPr>
              <w:snapToGrid w:val="0"/>
              <w:spacing w:line="264" w:lineRule="exact"/>
              <w:jc w:val="left"/>
              <w:rPr>
                <w:rFonts w:eastAsia="等线"/>
                <w:color w:val="auto"/>
              </w:rPr>
            </w:pPr>
            <w:r>
              <w:rPr>
                <w:rFonts w:ascii="宋体" w:hAnsi="宋体"/>
                <w:color w:val="auto"/>
              </w:rPr>
              <w:t>吸</w:t>
            </w:r>
            <w:r>
              <w:rPr>
                <w:rFonts w:eastAsia="等线"/>
                <w:color w:val="auto"/>
              </w:rPr>
              <w:t xml:space="preserve"> </w:t>
            </w:r>
            <w:r>
              <w:rPr>
                <w:rFonts w:ascii="宋体" w:hAnsi="宋体"/>
                <w:color w:val="auto"/>
              </w:rPr>
              <w:t>入：</w:t>
            </w:r>
            <w:r>
              <w:rPr>
                <w:rFonts w:eastAsia="等线"/>
                <w:color w:val="auto"/>
              </w:rPr>
              <w:t xml:space="preserve">  </w:t>
            </w:r>
            <w:r>
              <w:rPr>
                <w:rFonts w:ascii="宋体" w:hAnsi="宋体"/>
                <w:color w:val="auto"/>
              </w:rPr>
              <w:t>移至新鲜空气中，让受害者保持休息。</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食</w:t>
            </w:r>
            <w:r>
              <w:rPr>
                <w:rFonts w:eastAsia="等线"/>
                <w:color w:val="auto"/>
              </w:rPr>
              <w:t xml:space="preserve"> </w:t>
            </w:r>
            <w:r>
              <w:rPr>
                <w:rFonts w:ascii="宋体" w:hAnsi="宋体"/>
                <w:color w:val="auto"/>
              </w:rPr>
              <w:t>入：要饮用大量的水，立即送医院，让医生决定作进一步治疗。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5</w:t>
            </w:r>
            <w:r>
              <w:rPr>
                <w:rFonts w:ascii="宋体" w:hAnsi="宋体"/>
                <w:b/>
                <w:color w:val="auto"/>
              </w:rPr>
              <w:t>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危险特性：在高温过程中，可能产生有毒有害的气体。</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有害燃烧产物：</w:t>
            </w:r>
          </w:p>
          <w:p>
            <w:pPr>
              <w:snapToGrid w:val="0"/>
              <w:spacing w:line="264" w:lineRule="exact"/>
              <w:jc w:val="left"/>
              <w:rPr>
                <w:rFonts w:eastAsia="等线"/>
                <w:color w:val="auto"/>
              </w:rPr>
            </w:pPr>
            <w:r>
              <w:rPr>
                <w:rFonts w:ascii="宋体" w:hAnsi="宋体"/>
                <w:color w:val="auto"/>
              </w:rPr>
              <w:t>灭火方法及灭火剂：喷洒水、泡沫、干粉、二氧化碳灭火器。</w:t>
            </w:r>
          </w:p>
          <w:p>
            <w:pPr>
              <w:snapToGrid w:val="0"/>
              <w:spacing w:line="264" w:lineRule="exact"/>
              <w:jc w:val="left"/>
              <w:rPr>
                <w:rFonts w:eastAsia="等线"/>
                <w:color w:val="auto"/>
              </w:rPr>
            </w:pPr>
            <w:r>
              <w:rPr>
                <w:rFonts w:ascii="宋体" w:hAnsi="宋体"/>
                <w:color w:val="auto"/>
              </w:rPr>
              <w:t>灭火剂：水、泡沫、干粉、二氧化碳。</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灭火注意事项：要穿戴自给式呼吸设备和防护服装。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6</w:t>
            </w:r>
            <w:r>
              <w:rPr>
                <w:rFonts w:ascii="宋体" w:hAnsi="宋体"/>
                <w:b/>
                <w:color w:val="auto"/>
              </w:rPr>
              <w:t>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应急处理：尽量将产品收集起来，放在适宜的容器内；</w:t>
            </w:r>
          </w:p>
          <w:p>
            <w:pPr>
              <w:snapToGrid w:val="0"/>
              <w:spacing w:line="264" w:lineRule="exact"/>
              <w:jc w:val="left"/>
              <w:rPr>
                <w:rFonts w:eastAsia="等线"/>
                <w:color w:val="auto"/>
              </w:rPr>
            </w:pPr>
            <w:r>
              <w:rPr>
                <w:rFonts w:ascii="宋体" w:hAnsi="宋体"/>
                <w:color w:val="auto"/>
              </w:rPr>
              <w:t>消除方法：标识和保存收集的产品，作后续处理。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7</w:t>
            </w:r>
            <w:r>
              <w:rPr>
                <w:rFonts w:ascii="宋体" w:hAnsi="宋体"/>
                <w:b/>
                <w:color w:val="auto"/>
              </w:rPr>
              <w:t>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color w:val="auto"/>
              </w:rPr>
            </w:pPr>
            <w:r>
              <w:rPr>
                <w:rFonts w:ascii="宋体" w:hAnsi="宋体"/>
                <w:color w:val="auto"/>
              </w:rPr>
              <w:t>操作注意事项：采取一切措施，避免在搬运过程中包装物损坏，使产品流入排水沟或下水道。</w:t>
            </w:r>
          </w:p>
          <w:p>
            <w:pPr>
              <w:snapToGrid w:val="0"/>
              <w:spacing w:line="264" w:lineRule="exact"/>
              <w:rPr>
                <w:rFonts w:eastAsia="等线"/>
                <w:color w:val="auto"/>
              </w:rPr>
            </w:pPr>
            <w:r>
              <w:rPr>
                <w:rFonts w:ascii="宋体" w:hAnsi="宋体"/>
                <w:color w:val="auto"/>
              </w:rPr>
              <w:t>储存注意事项：为保证产品质量，应使包装容器密封。</w:t>
            </w:r>
          </w:p>
          <w:p>
            <w:pPr>
              <w:snapToGrid w:val="0"/>
              <w:spacing w:line="264" w:lineRule="exact"/>
              <w:rPr>
                <w:rFonts w:eastAsia="等线"/>
                <w:color w:val="auto"/>
              </w:rPr>
            </w:pPr>
            <w:r>
              <w:rPr>
                <w:rFonts w:eastAsia="等线"/>
                <w:color w:val="auto"/>
              </w:rPr>
              <w:t xml:space="preserve">              </w:t>
            </w:r>
            <w:r>
              <w:rPr>
                <w:rFonts w:ascii="宋体" w:hAnsi="宋体"/>
                <w:color w:val="auto"/>
              </w:rPr>
              <w:t>避免接触强氧化剂和强酸、强碱。</w:t>
            </w:r>
          </w:p>
          <w:p>
            <w:pPr>
              <w:snapToGrid w:val="0"/>
              <w:spacing w:line="264" w:lineRule="exact"/>
              <w:rPr>
                <w:rFonts w:eastAsia="等线"/>
                <w:color w:val="auto"/>
              </w:rPr>
            </w:pPr>
            <w:r>
              <w:rPr>
                <w:rFonts w:eastAsia="等线"/>
                <w:color w:val="auto"/>
              </w:rPr>
              <w:t xml:space="preserve">              </w:t>
            </w:r>
            <w:r>
              <w:rPr>
                <w:rFonts w:ascii="宋体" w:hAnsi="宋体"/>
                <w:color w:val="auto"/>
              </w:rPr>
              <w:t>在正常的贮存条件下，产品稳定，无其他特殊要求。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8</w:t>
            </w:r>
            <w:r>
              <w:rPr>
                <w:rFonts w:ascii="宋体" w:hAnsi="宋体"/>
                <w:b/>
                <w:color w:val="auto"/>
              </w:rPr>
              <w:t>接触控制</w:t>
            </w:r>
            <w:r>
              <w:rPr>
                <w:rFonts w:eastAsia="等线"/>
                <w:b/>
                <w:color w:val="auto"/>
              </w:rPr>
              <w:t>/</w:t>
            </w:r>
            <w:r>
              <w:rPr>
                <w:rFonts w:ascii="宋体" w:hAnsi="宋体"/>
                <w:b/>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最高容许浓度：</w:t>
            </w:r>
          </w:p>
          <w:p>
            <w:pPr>
              <w:snapToGrid w:val="0"/>
              <w:spacing w:line="264" w:lineRule="exact"/>
              <w:jc w:val="left"/>
              <w:rPr>
                <w:rFonts w:eastAsia="等线"/>
                <w:color w:val="auto"/>
              </w:rPr>
            </w:pPr>
            <w:r>
              <w:rPr>
                <w:rFonts w:ascii="宋体" w:hAnsi="宋体"/>
                <w:color w:val="auto"/>
              </w:rPr>
              <w:t>监测方法：</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工程控制：</w:t>
            </w:r>
            <w:r>
              <w:rPr>
                <w:rFonts w:eastAsia="等线"/>
                <w:color w:val="auto"/>
              </w:rPr>
              <w:t xml:space="preserve"> </w:t>
            </w:r>
            <w:r>
              <w:rPr>
                <w:rFonts w:ascii="宋体" w:hAnsi="宋体"/>
                <w:color w:val="auto"/>
              </w:rPr>
              <w:t>按一般的职业安全卫生要求，不需要特别的工程措施。</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呼吸系统防护：一般防护</w:t>
            </w:r>
          </w:p>
          <w:p>
            <w:pPr>
              <w:snapToGrid w:val="0"/>
              <w:spacing w:line="264" w:lineRule="exact"/>
              <w:jc w:val="left"/>
              <w:rPr>
                <w:rFonts w:eastAsia="等线"/>
                <w:color w:val="auto"/>
              </w:rPr>
            </w:pPr>
            <w:r>
              <w:rPr>
                <w:rFonts w:ascii="宋体" w:hAnsi="宋体"/>
                <w:color w:val="auto"/>
              </w:rPr>
              <w:t>眼睛防护：佩戴安全眼镜或护目镜。</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身体防护：工作服</w:t>
            </w:r>
          </w:p>
          <w:p>
            <w:pPr>
              <w:snapToGrid w:val="0"/>
              <w:spacing w:line="264" w:lineRule="exact"/>
              <w:jc w:val="left"/>
              <w:rPr>
                <w:rFonts w:eastAsia="等线"/>
                <w:color w:val="auto"/>
              </w:rPr>
            </w:pPr>
            <w:r>
              <w:rPr>
                <w:rFonts w:ascii="宋体" w:hAnsi="宋体"/>
                <w:color w:val="auto"/>
              </w:rPr>
              <w:t>手防护：</w:t>
            </w:r>
            <w:r>
              <w:rPr>
                <w:rFonts w:eastAsia="等线"/>
                <w:color w:val="auto"/>
              </w:rPr>
              <w:t xml:space="preserve">  </w:t>
            </w:r>
            <w:r>
              <w:rPr>
                <w:rFonts w:ascii="宋体" w:hAnsi="宋体"/>
                <w:color w:val="auto"/>
              </w:rPr>
              <w:t>佩戴</w:t>
            </w:r>
            <w:r>
              <w:rPr>
                <w:rFonts w:eastAsia="等线"/>
                <w:color w:val="auto"/>
              </w:rPr>
              <w:t>PVC</w:t>
            </w:r>
            <w:r>
              <w:rPr>
                <w:rFonts w:ascii="宋体" w:hAnsi="宋体"/>
                <w:color w:val="auto"/>
              </w:rPr>
              <w:t xml:space="preserve">手套。   </w:t>
            </w:r>
          </w:p>
          <w:p>
            <w:pPr>
              <w:snapToGrid w:val="0"/>
              <w:spacing w:line="264" w:lineRule="exact"/>
              <w:jc w:val="left"/>
              <w:rPr>
                <w:rFonts w:eastAsia="等线"/>
                <w:color w:val="auto"/>
              </w:rPr>
            </w:pPr>
            <w:r>
              <w:rPr>
                <w:rFonts w:ascii="宋体" w:hAnsi="宋体"/>
                <w:color w:val="auto"/>
              </w:rPr>
              <w:t>其他防护：</w:t>
            </w:r>
            <w:r>
              <w:rPr>
                <w:rFonts w:eastAsia="等线"/>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9</w:t>
            </w:r>
            <w:r>
              <w:rPr>
                <w:rFonts w:ascii="宋体" w:hAnsi="宋体"/>
                <w:b/>
                <w:color w:val="auto"/>
              </w:rPr>
              <w:t>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color w:val="auto"/>
              </w:rPr>
            </w:pPr>
            <w:r>
              <w:rPr>
                <w:rFonts w:ascii="宋体" w:hAnsi="宋体"/>
                <w:color w:val="auto"/>
              </w:rPr>
              <w:t>产品外观与性状：粘稠液体</w:t>
            </w:r>
          </w:p>
          <w:p>
            <w:pPr>
              <w:snapToGrid w:val="0"/>
              <w:spacing w:line="264" w:lineRule="exact"/>
              <w:rPr>
                <w:rFonts w:eastAsia="等线"/>
                <w:color w:val="auto"/>
              </w:rPr>
            </w:pPr>
            <w:r>
              <w:rPr>
                <w:rFonts w:eastAsia="等线"/>
                <w:color w:val="auto"/>
              </w:rPr>
              <w:t>pH</w:t>
            </w:r>
            <w:r>
              <w:rPr>
                <w:rFonts w:ascii="宋体" w:hAnsi="宋体"/>
                <w:color w:val="auto"/>
              </w:rPr>
              <w:t>值：</w:t>
            </w:r>
            <w:r>
              <w:rPr>
                <w:rFonts w:eastAsia="等线"/>
                <w:color w:val="auto"/>
              </w:rPr>
              <w:t>5.00-7.00</w:t>
            </w:r>
          </w:p>
          <w:p>
            <w:pPr>
              <w:snapToGrid w:val="0"/>
              <w:spacing w:line="264" w:lineRule="exact"/>
              <w:rPr>
                <w:rFonts w:eastAsia="等线"/>
                <w:color w:val="auto"/>
              </w:rPr>
            </w:pPr>
            <w:r>
              <w:rPr>
                <w:rFonts w:ascii="宋体" w:hAnsi="宋体"/>
                <w:color w:val="auto"/>
              </w:rPr>
              <w:t>熔点（</w:t>
            </w:r>
            <w:r>
              <w:rPr>
                <w:rFonts w:eastAsia="等线"/>
                <w:color w:val="auto"/>
              </w:rPr>
              <w:t>℃</w:t>
            </w:r>
            <w:r>
              <w:rPr>
                <w:rFonts w:ascii="宋体" w:hAnsi="宋体"/>
                <w:color w:val="auto"/>
              </w:rPr>
              <w:t>）：</w:t>
            </w:r>
          </w:p>
          <w:p>
            <w:pPr>
              <w:snapToGrid w:val="0"/>
              <w:spacing w:line="264" w:lineRule="exact"/>
              <w:rPr>
                <w:rFonts w:eastAsia="等线"/>
                <w:color w:val="auto"/>
              </w:rPr>
            </w:pPr>
            <w:r>
              <w:rPr>
                <w:rFonts w:ascii="宋体" w:hAnsi="宋体"/>
                <w:color w:val="auto"/>
              </w:rPr>
              <w:t>密度：</w:t>
            </w:r>
          </w:p>
          <w:p>
            <w:pPr>
              <w:snapToGrid w:val="0"/>
              <w:spacing w:line="264" w:lineRule="exact"/>
              <w:rPr>
                <w:rFonts w:eastAsia="等线"/>
                <w:color w:val="auto"/>
              </w:rPr>
            </w:pPr>
            <w:r>
              <w:rPr>
                <w:rFonts w:ascii="宋体" w:hAnsi="宋体"/>
                <w:color w:val="auto"/>
              </w:rPr>
              <w:t>沸点（</w:t>
            </w:r>
            <w:r>
              <w:rPr>
                <w:rFonts w:eastAsia="等线"/>
                <w:color w:val="auto"/>
              </w:rPr>
              <w:t>℃</w:t>
            </w:r>
            <w:r>
              <w:rPr>
                <w:rFonts w:ascii="宋体" w:hAnsi="宋体"/>
                <w:color w:val="auto"/>
              </w:rPr>
              <w:t>）：</w:t>
            </w:r>
          </w:p>
          <w:p>
            <w:pPr>
              <w:snapToGrid w:val="0"/>
              <w:spacing w:line="264" w:lineRule="exact"/>
              <w:rPr>
                <w:rFonts w:eastAsia="等线"/>
                <w:color w:val="auto"/>
              </w:rPr>
            </w:pPr>
            <w:r>
              <w:rPr>
                <w:rFonts w:ascii="宋体" w:hAnsi="宋体"/>
                <w:color w:val="auto"/>
              </w:rPr>
              <w:t>相对蒸气密度：</w:t>
            </w:r>
          </w:p>
          <w:p>
            <w:pPr>
              <w:snapToGrid w:val="0"/>
              <w:spacing w:line="264" w:lineRule="exact"/>
              <w:rPr>
                <w:rFonts w:eastAsia="等线"/>
                <w:color w:val="auto"/>
              </w:rPr>
            </w:pPr>
            <w:r>
              <w:rPr>
                <w:rFonts w:ascii="宋体" w:hAnsi="宋体"/>
                <w:color w:val="auto"/>
              </w:rPr>
              <w:t>蒸气压（</w:t>
            </w:r>
            <w:r>
              <w:rPr>
                <w:rFonts w:eastAsia="等线"/>
                <w:color w:val="auto"/>
              </w:rPr>
              <w:t>kPa)</w:t>
            </w:r>
            <w:r>
              <w:rPr>
                <w:rFonts w:ascii="宋体" w:hAnsi="宋体"/>
                <w:color w:val="auto"/>
              </w:rPr>
              <w:t>：</w:t>
            </w:r>
          </w:p>
          <w:p>
            <w:pPr>
              <w:snapToGrid w:val="0"/>
              <w:spacing w:line="264" w:lineRule="exact"/>
              <w:rPr>
                <w:rFonts w:eastAsia="等线"/>
                <w:color w:val="auto"/>
              </w:rPr>
            </w:pPr>
            <w:r>
              <w:rPr>
                <w:rFonts w:ascii="宋体" w:hAnsi="宋体"/>
                <w:color w:val="auto"/>
              </w:rPr>
              <w:t>燃烧热（</w:t>
            </w:r>
            <w:r>
              <w:rPr>
                <w:rFonts w:eastAsia="等线"/>
                <w:color w:val="auto"/>
              </w:rPr>
              <w:t>kJ/mol</w:t>
            </w:r>
            <w:r>
              <w:rPr>
                <w:rFonts w:ascii="宋体" w:hAnsi="宋体"/>
                <w:color w:val="auto"/>
              </w:rPr>
              <w:t>）：</w:t>
            </w:r>
          </w:p>
          <w:p>
            <w:pPr>
              <w:snapToGrid w:val="0"/>
              <w:spacing w:line="264" w:lineRule="exact"/>
              <w:rPr>
                <w:rFonts w:eastAsia="等线"/>
                <w:color w:val="auto"/>
              </w:rPr>
            </w:pPr>
            <w:r>
              <w:rPr>
                <w:rFonts w:ascii="宋体" w:hAnsi="宋体"/>
                <w:color w:val="auto"/>
              </w:rPr>
              <w:t>临界温度（</w:t>
            </w:r>
            <w:r>
              <w:rPr>
                <w:rFonts w:eastAsia="等线"/>
                <w:color w:val="auto"/>
              </w:rPr>
              <w:t>℃</w:t>
            </w:r>
            <w:r>
              <w:rPr>
                <w:rFonts w:ascii="宋体" w:hAnsi="宋体"/>
                <w:color w:val="auto"/>
              </w:rPr>
              <w:t>）：</w:t>
            </w:r>
          </w:p>
          <w:p>
            <w:pPr>
              <w:snapToGrid w:val="0"/>
              <w:spacing w:line="264" w:lineRule="exact"/>
              <w:rPr>
                <w:rFonts w:eastAsia="等线"/>
                <w:color w:val="auto"/>
              </w:rPr>
            </w:pPr>
            <w:r>
              <w:rPr>
                <w:rFonts w:ascii="宋体" w:hAnsi="宋体"/>
                <w:color w:val="auto"/>
              </w:rPr>
              <w:t>临界压力（</w:t>
            </w:r>
            <w:r>
              <w:rPr>
                <w:rFonts w:eastAsia="等线"/>
                <w:color w:val="auto"/>
              </w:rPr>
              <w:t>MPa)</w:t>
            </w:r>
            <w:r>
              <w:rPr>
                <w:rFonts w:ascii="宋体" w:hAnsi="宋体"/>
                <w:color w:val="auto"/>
              </w:rPr>
              <w:t>：</w:t>
            </w:r>
          </w:p>
          <w:p>
            <w:pPr>
              <w:snapToGrid w:val="0"/>
              <w:spacing w:line="264" w:lineRule="exact"/>
              <w:rPr>
                <w:rFonts w:eastAsia="等线"/>
                <w:color w:val="auto"/>
              </w:rPr>
            </w:pPr>
            <w:r>
              <w:rPr>
                <w:rFonts w:ascii="宋体" w:hAnsi="宋体"/>
                <w:color w:val="auto"/>
              </w:rPr>
              <w:t>闪点（</w:t>
            </w:r>
            <w:r>
              <w:rPr>
                <w:rFonts w:eastAsia="等线"/>
                <w:color w:val="auto"/>
              </w:rPr>
              <w:t>℃</w:t>
            </w:r>
            <w:r>
              <w:rPr>
                <w:rFonts w:ascii="宋体" w:hAnsi="宋体"/>
                <w:color w:val="auto"/>
              </w:rPr>
              <w:t xml:space="preserve">）： </w:t>
            </w:r>
          </w:p>
          <w:p>
            <w:pPr>
              <w:snapToGrid w:val="0"/>
              <w:spacing w:line="264" w:lineRule="exact"/>
              <w:rPr>
                <w:rFonts w:eastAsia="等线"/>
                <w:color w:val="auto"/>
              </w:rPr>
            </w:pPr>
            <w:r>
              <w:rPr>
                <w:rFonts w:ascii="宋体" w:hAnsi="宋体"/>
                <w:color w:val="auto"/>
              </w:rPr>
              <w:t>爆炸上限％（</w:t>
            </w:r>
            <w:r>
              <w:rPr>
                <w:rFonts w:eastAsia="等线"/>
                <w:color w:val="auto"/>
              </w:rPr>
              <w:t>V/V</w:t>
            </w:r>
            <w:r>
              <w:rPr>
                <w:rFonts w:ascii="宋体" w:hAnsi="宋体"/>
                <w:color w:val="auto"/>
              </w:rPr>
              <w:t>）</w:t>
            </w:r>
          </w:p>
          <w:p>
            <w:pPr>
              <w:snapToGrid w:val="0"/>
              <w:spacing w:line="264" w:lineRule="exact"/>
              <w:rPr>
                <w:rFonts w:eastAsia="等线"/>
                <w:color w:val="auto"/>
              </w:rPr>
            </w:pPr>
            <w:r>
              <w:rPr>
                <w:rFonts w:ascii="宋体" w:hAnsi="宋体"/>
                <w:color w:val="auto"/>
              </w:rPr>
              <w:t>自燃温度（</w:t>
            </w:r>
            <w:r>
              <w:rPr>
                <w:rFonts w:eastAsia="等线"/>
                <w:color w:val="auto"/>
              </w:rPr>
              <w:t>℃</w:t>
            </w:r>
            <w:r>
              <w:rPr>
                <w:rFonts w:ascii="宋体" w:hAnsi="宋体"/>
                <w:color w:val="auto"/>
              </w:rPr>
              <w:t>）：</w:t>
            </w:r>
          </w:p>
          <w:p>
            <w:pPr>
              <w:snapToGrid w:val="0"/>
              <w:spacing w:line="264" w:lineRule="exact"/>
              <w:rPr>
                <w:rFonts w:eastAsia="等线"/>
                <w:color w:val="auto"/>
              </w:rPr>
            </w:pPr>
            <w:r>
              <w:rPr>
                <w:rFonts w:ascii="宋体" w:hAnsi="宋体"/>
                <w:color w:val="auto"/>
              </w:rPr>
              <w:t>爆炸下限％（</w:t>
            </w:r>
            <w:r>
              <w:rPr>
                <w:rFonts w:eastAsia="等线"/>
                <w:color w:val="auto"/>
              </w:rPr>
              <w:t>V/V</w:t>
            </w:r>
            <w:r>
              <w:rPr>
                <w:rFonts w:ascii="宋体" w:hAnsi="宋体"/>
                <w:color w:val="auto"/>
              </w:rPr>
              <w:t>）：</w:t>
            </w:r>
          </w:p>
          <w:p>
            <w:pPr>
              <w:snapToGrid w:val="0"/>
              <w:spacing w:line="264" w:lineRule="exact"/>
              <w:rPr>
                <w:rFonts w:eastAsia="等线"/>
                <w:color w:val="auto"/>
              </w:rPr>
            </w:pPr>
            <w:r>
              <w:rPr>
                <w:rFonts w:ascii="宋体" w:hAnsi="宋体"/>
                <w:color w:val="auto"/>
              </w:rPr>
              <w:t>溶解性：</w:t>
            </w:r>
            <w:r>
              <w:rPr>
                <w:rFonts w:eastAsia="等线"/>
                <w:color w:val="auto"/>
              </w:rPr>
              <w:t xml:space="preserve">  </w:t>
            </w:r>
          </w:p>
          <w:p>
            <w:pPr>
              <w:snapToGrid w:val="0"/>
              <w:spacing w:line="264" w:lineRule="exact"/>
              <w:rPr>
                <w:rFonts w:eastAsia="等线"/>
                <w:color w:val="auto"/>
              </w:rPr>
            </w:pPr>
            <w:r>
              <w:rPr>
                <w:rFonts w:ascii="宋体" w:hAnsi="宋体"/>
                <w:color w:val="auto"/>
              </w:rPr>
              <w:t>主要用途：</w:t>
            </w:r>
          </w:p>
          <w:p>
            <w:pPr>
              <w:snapToGrid w:val="0"/>
              <w:spacing w:line="264" w:lineRule="exact"/>
              <w:rPr>
                <w:rFonts w:eastAsia="等线"/>
                <w:b/>
                <w:color w:val="auto"/>
              </w:rPr>
            </w:pPr>
            <w:r>
              <w:rPr>
                <w:rFonts w:ascii="宋体" w:hAnsi="宋体"/>
                <w:color w:val="auto"/>
              </w:rPr>
              <w:t>其他理化性质：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10</w:t>
            </w:r>
            <w:r>
              <w:rPr>
                <w:rFonts w:ascii="宋体" w:hAnsi="宋体"/>
                <w:b/>
                <w:color w:val="auto"/>
              </w:rPr>
              <w:t>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稳定性：在正常使用情况下，产品稳定，不分解。</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禁配物：强氧化剂、强酸、强碱。</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避免接触条件：未佩戴个人防护用品。</w:t>
            </w:r>
          </w:p>
          <w:p>
            <w:pPr>
              <w:snapToGrid w:val="0"/>
              <w:spacing w:line="264" w:lineRule="exact"/>
              <w:jc w:val="left"/>
              <w:rPr>
                <w:rFonts w:eastAsia="等线"/>
                <w:color w:val="auto"/>
              </w:rPr>
            </w:pPr>
            <w:r>
              <w:rPr>
                <w:rFonts w:ascii="宋体" w:hAnsi="宋体"/>
                <w:color w:val="auto"/>
              </w:rPr>
              <w:t>聚合危害：无</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分解产物：无</w:t>
            </w:r>
            <w:r>
              <w:rPr>
                <w:rFonts w:eastAsia="等线"/>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11</w:t>
            </w:r>
            <w:r>
              <w:rPr>
                <w:rFonts w:ascii="宋体" w:hAnsi="宋体"/>
                <w:b/>
                <w:color w:val="auto"/>
              </w:rPr>
              <w:t>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急性毒性：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亚急性毒性：</w:t>
            </w:r>
          </w:p>
          <w:p>
            <w:pPr>
              <w:snapToGrid w:val="0"/>
              <w:spacing w:line="264" w:lineRule="exact"/>
              <w:jc w:val="left"/>
              <w:rPr>
                <w:rFonts w:eastAsia="等线"/>
                <w:color w:val="auto"/>
              </w:rPr>
            </w:pPr>
            <w:r>
              <w:rPr>
                <w:rFonts w:ascii="宋体" w:hAnsi="宋体"/>
                <w:color w:val="auto"/>
              </w:rPr>
              <w:t>慢性毒性：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刺激性：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致敏性：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致突变性：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致畸性：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致癌性：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其</w:t>
            </w:r>
            <w:r>
              <w:rPr>
                <w:rFonts w:eastAsia="等线"/>
                <w:color w:val="auto"/>
              </w:rPr>
              <w:t xml:space="preserve"> </w:t>
            </w:r>
            <w:r>
              <w:rPr>
                <w:rFonts w:ascii="宋体" w:hAnsi="宋体"/>
                <w:color w:val="auto"/>
              </w:rPr>
              <w:t>他：</w:t>
            </w:r>
            <w:r>
              <w:rPr>
                <w:rFonts w:eastAsia="等线"/>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11</w:t>
            </w:r>
            <w:r>
              <w:rPr>
                <w:rFonts w:ascii="宋体" w:hAnsi="宋体"/>
                <w:b/>
                <w:color w:val="auto"/>
              </w:rPr>
              <w:t>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生态毒性：</w:t>
            </w:r>
          </w:p>
          <w:p>
            <w:pPr>
              <w:snapToGrid w:val="0"/>
              <w:spacing w:line="264" w:lineRule="exact"/>
              <w:jc w:val="left"/>
              <w:rPr>
                <w:rFonts w:eastAsia="等线"/>
                <w:color w:val="auto"/>
              </w:rPr>
            </w:pPr>
            <w:r>
              <w:rPr>
                <w:rFonts w:ascii="宋体" w:hAnsi="宋体"/>
                <w:color w:val="auto"/>
              </w:rPr>
              <w:t>生物降解性：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非生物降解性：</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生物富集或生物积累性：</w:t>
            </w:r>
          </w:p>
          <w:p>
            <w:pPr>
              <w:snapToGrid w:val="0"/>
              <w:spacing w:line="264" w:lineRule="exact"/>
              <w:jc w:val="left"/>
              <w:rPr>
                <w:rFonts w:eastAsia="等线"/>
                <w:b/>
                <w:color w:val="auto"/>
              </w:rPr>
            </w:pPr>
            <w:r>
              <w:rPr>
                <w:rFonts w:ascii="宋体" w:hAnsi="宋体"/>
                <w:color w:val="auto"/>
              </w:rPr>
              <w:t>其他有害作用：</w:t>
            </w:r>
            <w:r>
              <w:rPr>
                <w:rFonts w:eastAsia="等线"/>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13</w:t>
            </w:r>
            <w:r>
              <w:rPr>
                <w:rFonts w:ascii="宋体" w:hAnsi="宋体"/>
                <w:b/>
                <w:color w:val="auto"/>
              </w:rPr>
              <w:t>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废弃物性质：</w:t>
            </w:r>
            <w:r>
              <w:rPr>
                <w:rFonts w:eastAsia="等线"/>
                <w:color w:val="auto"/>
              </w:rPr>
              <w:t xml:space="preserve">   □</w:t>
            </w:r>
            <w:r>
              <w:rPr>
                <w:rFonts w:ascii="宋体" w:hAnsi="宋体"/>
                <w:color w:val="auto"/>
              </w:rPr>
              <w:t xml:space="preserve">危险废物     </w:t>
            </w:r>
            <w:r>
              <w:rPr>
                <w:rFonts w:eastAsia="等线"/>
                <w:color w:val="auto"/>
              </w:rPr>
              <w:t>□</w:t>
            </w:r>
            <w:r>
              <w:rPr>
                <w:rFonts w:ascii="宋体" w:hAnsi="宋体"/>
                <w:color w:val="auto"/>
              </w:rPr>
              <w:t>固体废物</w:t>
            </w:r>
          </w:p>
          <w:p>
            <w:pPr>
              <w:snapToGrid w:val="0"/>
              <w:spacing w:line="264" w:lineRule="exact"/>
              <w:jc w:val="left"/>
              <w:rPr>
                <w:rFonts w:eastAsia="等线"/>
                <w:color w:val="auto"/>
              </w:rPr>
            </w:pPr>
            <w:r>
              <w:rPr>
                <w:rFonts w:ascii="宋体" w:hAnsi="宋体"/>
                <w:color w:val="auto"/>
              </w:rPr>
              <w:t>废弃处置方法：在有资质的废弃物处理单位处置。</w:t>
            </w:r>
          </w:p>
          <w:p>
            <w:pPr>
              <w:snapToGrid w:val="0"/>
              <w:spacing w:line="264" w:lineRule="exact"/>
              <w:jc w:val="left"/>
              <w:rPr>
                <w:rFonts w:eastAsia="等线"/>
                <w:color w:val="auto"/>
              </w:rPr>
            </w:pPr>
            <w:r>
              <w:rPr>
                <w:rFonts w:ascii="宋体" w:hAnsi="宋体"/>
                <w:color w:val="auto"/>
              </w:rPr>
              <w:t>废弃注意事项：禁止排入下水道和水源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14</w:t>
            </w:r>
            <w:r>
              <w:rPr>
                <w:rFonts w:ascii="宋体" w:hAnsi="宋体"/>
                <w:b/>
                <w:color w:val="auto"/>
              </w:rPr>
              <w:t>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jc w:val="left"/>
              <w:rPr>
                <w:rFonts w:eastAsia="等线"/>
                <w:color w:val="auto"/>
              </w:rPr>
            </w:pPr>
            <w:r>
              <w:rPr>
                <w:rFonts w:ascii="宋体" w:hAnsi="宋体"/>
                <w:color w:val="auto"/>
              </w:rPr>
              <w:t>危险货物编号：</w:t>
            </w:r>
          </w:p>
          <w:p>
            <w:pPr>
              <w:snapToGrid w:val="0"/>
              <w:spacing w:line="264" w:lineRule="exact"/>
              <w:jc w:val="left"/>
              <w:rPr>
                <w:rFonts w:eastAsia="等线"/>
                <w:color w:val="auto"/>
              </w:rPr>
            </w:pPr>
            <w:r>
              <w:rPr>
                <w:rFonts w:eastAsia="等线"/>
                <w:color w:val="auto"/>
              </w:rPr>
              <w:t>UN</w:t>
            </w:r>
            <w:r>
              <w:rPr>
                <w:rFonts w:ascii="宋体" w:hAnsi="宋体"/>
                <w:color w:val="auto"/>
              </w:rPr>
              <w:t xml:space="preserve">编号：      </w:t>
            </w:r>
          </w:p>
          <w:p>
            <w:pPr>
              <w:snapToGrid w:val="0"/>
              <w:spacing w:line="264" w:lineRule="exact"/>
              <w:jc w:val="left"/>
              <w:rPr>
                <w:rFonts w:eastAsia="等线"/>
                <w:color w:val="auto"/>
              </w:rPr>
            </w:pPr>
            <w:r>
              <w:rPr>
                <w:rFonts w:ascii="宋体" w:hAnsi="宋体"/>
                <w:color w:val="auto"/>
              </w:rPr>
              <w:t>包装标志：</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包装类别</w:t>
            </w:r>
            <w:r>
              <w:rPr>
                <w:rFonts w:eastAsia="等线"/>
                <w:color w:val="auto"/>
              </w:rPr>
              <w:t xml:space="preserve">: </w:t>
            </w:r>
            <w:r>
              <w:rPr>
                <w:rFonts w:ascii="宋体" w:hAnsi="宋体"/>
                <w:color w:val="auto"/>
              </w:rPr>
              <w:t xml:space="preserve">包装容器密封。    </w:t>
            </w:r>
          </w:p>
          <w:p>
            <w:pPr>
              <w:snapToGrid w:val="0"/>
              <w:spacing w:line="264" w:lineRule="exact"/>
              <w:jc w:val="left"/>
              <w:rPr>
                <w:rFonts w:eastAsia="等线"/>
                <w:color w:val="auto"/>
              </w:rPr>
            </w:pPr>
            <w:r>
              <w:rPr>
                <w:rFonts w:ascii="宋体" w:hAnsi="宋体"/>
                <w:color w:val="auto"/>
              </w:rPr>
              <w:t>包装方法：镀锌铁皮、聚乙烯桶包装。</w:t>
            </w:r>
            <w:r>
              <w:rPr>
                <w:rFonts w:eastAsia="等线"/>
                <w:color w:val="auto"/>
              </w:rPr>
              <w:t xml:space="preserve">    </w:t>
            </w:r>
          </w:p>
          <w:p>
            <w:pPr>
              <w:snapToGrid w:val="0"/>
              <w:spacing w:line="264" w:lineRule="exact"/>
              <w:jc w:val="left"/>
              <w:rPr>
                <w:rFonts w:eastAsia="等线"/>
                <w:color w:val="auto"/>
              </w:rPr>
            </w:pPr>
            <w:r>
              <w:rPr>
                <w:rFonts w:ascii="宋体" w:hAnsi="宋体"/>
                <w:color w:val="auto"/>
              </w:rPr>
              <w:t>运输注意事项：避免容器损坏。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15</w:t>
            </w:r>
            <w:r>
              <w:rPr>
                <w:rFonts w:ascii="宋体" w:hAnsi="宋体"/>
                <w:b/>
                <w:color w:val="auto"/>
              </w:rPr>
              <w:t>法规信息：化学危险物品安全管理条例（</w:t>
            </w:r>
            <w:r>
              <w:rPr>
                <w:rFonts w:eastAsia="等线"/>
                <w:b/>
                <w:color w:val="auto"/>
              </w:rPr>
              <w:t>2002</w:t>
            </w:r>
            <w:r>
              <w:rPr>
                <w:rFonts w:ascii="宋体" w:hAnsi="宋体"/>
                <w:b/>
                <w:color w:val="auto"/>
              </w:rPr>
              <w:t>年</w:t>
            </w:r>
            <w:r>
              <w:rPr>
                <w:rFonts w:eastAsia="等线"/>
                <w:b/>
                <w:color w:val="auto"/>
              </w:rPr>
              <w:t>3</w:t>
            </w:r>
            <w:r>
              <w:rPr>
                <w:rFonts w:ascii="宋体" w:hAnsi="宋体"/>
                <w:b/>
                <w:color w:val="auto"/>
              </w:rPr>
              <w:t>月</w:t>
            </w:r>
            <w:r>
              <w:rPr>
                <w:rFonts w:eastAsia="等线"/>
                <w:b/>
                <w:color w:val="auto"/>
              </w:rPr>
              <w:t>15</w:t>
            </w:r>
            <w:r>
              <w:rPr>
                <w:rFonts w:ascii="宋体" w:hAnsi="宋体"/>
                <w:b/>
                <w:color w:val="auto"/>
              </w:rPr>
              <w:t>日国务院发布）工作场所安全使用化学品规定（</w:t>
            </w:r>
            <w:r>
              <w:rPr>
                <w:rFonts w:eastAsia="等线"/>
                <w:b/>
                <w:color w:val="auto"/>
              </w:rPr>
              <w:t>2002</w:t>
            </w:r>
            <w:r>
              <w:rPr>
                <w:rFonts w:ascii="宋体" w:hAnsi="宋体"/>
                <w:b/>
                <w:color w:val="auto"/>
              </w:rPr>
              <w:t>年</w:t>
            </w:r>
            <w:r>
              <w:rPr>
                <w:rFonts w:eastAsia="等线"/>
                <w:b/>
                <w:color w:val="auto"/>
              </w:rPr>
              <w:t>5</w:t>
            </w:r>
            <w:r>
              <w:rPr>
                <w:rFonts w:ascii="宋体" w:hAnsi="宋体"/>
                <w:b/>
                <w:color w:val="auto"/>
              </w:rPr>
              <w:t>月卫生部发布）针对化学品的安全使用、生产、储存、运输、装卸等方面均作了相应规定。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eastAsia="等线"/>
                <w:b/>
                <w:color w:val="auto"/>
              </w:rPr>
              <w:t>16</w:t>
            </w:r>
            <w:r>
              <w:rPr>
                <w:rFonts w:ascii="宋体" w:hAnsi="宋体"/>
                <w:b/>
                <w:color w:val="auto"/>
              </w:rPr>
              <w:t>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8756" w:type="dxa"/>
            <w:tcBorders>
              <w:top w:val="single" w:color="auto" w:sz="4" w:space="0"/>
              <w:left w:val="single" w:color="auto" w:sz="4" w:space="0"/>
              <w:bottom w:val="single" w:color="auto" w:sz="4" w:space="0"/>
              <w:right w:val="single" w:color="auto" w:sz="4" w:space="0"/>
            </w:tcBorders>
          </w:tcPr>
          <w:p>
            <w:pPr>
              <w:snapToGrid w:val="0"/>
              <w:spacing w:line="264" w:lineRule="exact"/>
              <w:rPr>
                <w:rFonts w:eastAsia="等线"/>
                <w:b/>
                <w:color w:val="auto"/>
              </w:rPr>
            </w:pPr>
            <w:r>
              <w:rPr>
                <w:rFonts w:ascii="宋体" w:hAnsi="宋体"/>
                <w:b/>
                <w:color w:val="auto"/>
              </w:rPr>
              <w:t>参考文献：</w:t>
            </w:r>
          </w:p>
          <w:p>
            <w:pPr>
              <w:snapToGrid w:val="0"/>
              <w:spacing w:line="264" w:lineRule="exact"/>
              <w:rPr>
                <w:rFonts w:eastAsia="等线"/>
                <w:color w:val="auto"/>
              </w:rPr>
            </w:pPr>
            <w:r>
              <w:rPr>
                <w:rFonts w:ascii="宋体" w:hAnsi="宋体"/>
                <w:b/>
                <w:color w:val="auto"/>
              </w:rPr>
              <w:t>填表时间：</w:t>
            </w:r>
            <w:r>
              <w:rPr>
                <w:rFonts w:eastAsia="等线"/>
                <w:b/>
                <w:color w:val="auto"/>
              </w:rPr>
              <w:t>2014</w:t>
            </w:r>
            <w:r>
              <w:rPr>
                <w:rFonts w:ascii="宋体" w:hAnsi="宋体"/>
                <w:b/>
                <w:color w:val="auto"/>
              </w:rPr>
              <w:t>年</w:t>
            </w:r>
            <w:r>
              <w:rPr>
                <w:rFonts w:eastAsia="等线"/>
                <w:b/>
                <w:color w:val="auto"/>
              </w:rPr>
              <w:t>10</w:t>
            </w:r>
            <w:r>
              <w:rPr>
                <w:rFonts w:ascii="宋体" w:hAnsi="宋体"/>
                <w:b/>
                <w:color w:val="auto"/>
              </w:rPr>
              <w:t>月</w:t>
            </w:r>
            <w:r>
              <w:rPr>
                <w:rFonts w:eastAsia="等线"/>
                <w:b/>
                <w:color w:val="auto"/>
              </w:rPr>
              <w:t>14</w:t>
            </w:r>
            <w:r>
              <w:rPr>
                <w:rFonts w:ascii="宋体" w:hAnsi="宋体"/>
                <w:b/>
                <w:color w:val="auto"/>
              </w:rPr>
              <w:t>日</w:t>
            </w:r>
          </w:p>
          <w:p>
            <w:pPr>
              <w:snapToGrid w:val="0"/>
              <w:spacing w:line="264" w:lineRule="exact"/>
              <w:rPr>
                <w:rFonts w:eastAsia="等线"/>
                <w:b/>
                <w:color w:val="auto"/>
              </w:rPr>
            </w:pPr>
            <w:r>
              <w:rPr>
                <w:rFonts w:ascii="宋体" w:hAnsi="宋体"/>
                <w:b/>
                <w:color w:val="auto"/>
              </w:rPr>
              <w:t>填表部门：技术部</w:t>
            </w:r>
          </w:p>
        </w:tc>
      </w:tr>
    </w:tbl>
    <w:p>
      <w:pPr>
        <w:widowControl/>
        <w:spacing w:before="100" w:beforeAutospacing="1" w:after="100" w:afterAutospacing="1"/>
        <w:ind w:firstLine="560" w:firstLineChars="200"/>
        <w:jc w:val="left"/>
        <w:rPr>
          <w:color w:val="auto"/>
          <w:kern w:val="0"/>
          <w:sz w:val="28"/>
          <w:szCs w:val="28"/>
        </w:rPr>
      </w:pPr>
      <w:r>
        <w:rPr>
          <w:rFonts w:hint="eastAsia"/>
          <w:color w:val="auto"/>
          <w:kern w:val="0"/>
          <w:sz w:val="28"/>
          <w:szCs w:val="28"/>
        </w:rPr>
        <w:t>2</w:t>
      </w:r>
      <w:r>
        <w:rPr>
          <w:color w:val="auto"/>
          <w:kern w:val="0"/>
          <w:sz w:val="28"/>
          <w:szCs w:val="28"/>
        </w:rPr>
        <w:t>8</w:t>
      </w:r>
      <w:r>
        <w:rPr>
          <w:rFonts w:hint="eastAsia"/>
          <w:color w:val="auto"/>
          <w:kern w:val="0"/>
          <w:sz w:val="28"/>
          <w:szCs w:val="28"/>
        </w:rPr>
        <w:t>）氢氧化锂</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1310-66-3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氢氧化锂</w:t>
            </w:r>
          </w:p>
          <w:p>
            <w:pPr>
              <w:widowControl/>
              <w:spacing w:line="236" w:lineRule="exact"/>
              <w:jc w:val="left"/>
              <w:rPr>
                <w:rFonts w:ascii="宋体" w:hAnsi="宋体" w:cs="宋体"/>
                <w:color w:val="auto"/>
                <w:kern w:val="0"/>
              </w:rPr>
            </w:pPr>
            <w:r>
              <w:rPr>
                <w:rFonts w:hint="eastAsia" w:ascii="宋体" w:hAnsi="宋体" w:cs="宋体"/>
                <w:color w:val="auto"/>
                <w:kern w:val="0"/>
              </w:rPr>
              <w:t>lithium hydrate</w:t>
            </w:r>
          </w:p>
          <w:p>
            <w:pPr>
              <w:widowControl/>
              <w:spacing w:line="236" w:lineRule="exact"/>
              <w:jc w:val="left"/>
              <w:rPr>
                <w:rFonts w:ascii="宋体" w:hAnsi="宋体" w:cs="宋体"/>
                <w:color w:val="auto"/>
                <w:kern w:val="0"/>
              </w:rPr>
            </w:pPr>
            <w:r>
              <w:rPr>
                <w:rFonts w:hint="eastAsia" w:ascii="宋体" w:hAnsi="宋体" w:cs="宋体"/>
                <w:color w:val="auto"/>
                <w:kern w:val="0"/>
              </w:rPr>
              <w:t>lithium hydroxide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LiOH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23.94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氢氧化锂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本品腐蚀性极强，能灼伤眼睛、皮肤和上呼吸道，口服腐蚀消化道，可引起死亡。吸入，可引起喉、支气管炎症、痉挛，化学性肺炎、肺水肿等。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对环境可能有危害，对水体可造成污染。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本品不燃，具强腐蚀性，可致人体灼伤。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腐蚀性极强。与酸发生中和反应并放热。在水中形成腐蚀性溶液。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可能产生有害的毒性烟雾。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消防人员必须穿全身耐酸碱消防服。灭火时尽可能将容器从火场移至空旷处。然后根据着火原因选择适当灭火剂灭火。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隔离泄漏污染区，限制出入。建议应急处理人员戴防尘口罩，穿防腐防毒服。不要直接接触泄漏物。小量泄漏：小心扫起，转移至安全场所。大量泄漏：收集回收或运至废物处理场所处置。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密闭操作，提供充分的局部排风。防止粉尘释放到车间空气中。操作人员必须经过专门培训，严格遵守操作规程。建议操作人员佩戴防尘面具（全面罩），穿橡胶耐酸碱服，戴橡胶耐酸碱手套。避免产生粉尘。避免与氧化剂、酸类、二氧化碳接触。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储存于干燥清洁的仓间内。远离火种、热源。防止阳光直射。包装密封。应与氧化剂、酸类、二氧化碳、食用化学品分开存放，切忌混储。储区应备有合适的材料收容泄漏物。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严加密闭，提供充分的局部排风。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可能接触其粉尘时，必须佩戴防尘面具（全面罩）。紧急事态抢救或撤离时，应该佩戴空气呼吸器。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含量:57.2%;55%;54%;53%。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白色粉末。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471.2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1626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溶于水，微溶于醇。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用于制造锂肥皂、润滑脂、锂盐、碱性蓄电池、显影液等。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强氧化剂、强酸、二氧化碳。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该物质对环境可能有危害，应特别注意对水体的污染。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在污水处理厂处理和中和。若可能，重复使用容器或在规定场所掩埋。量小时，中和本品的水溶液，滤出固体做掩埋处置，溶液冲入下水道。反应产生热和烟雾，通过控制加入速度予以控制。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82003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2680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螺纹口玻璃瓶、铁盖压口玻璃瓶、塑料瓶或金属桶（罐）外普通木箱；螺纹口玻璃瓶、塑料瓶或镀锡薄钢板桶（罐）外满底板花格箱、纤维板箱或胶合板箱；镀锡薄钢板桶（罐）、金属桶（罐）、塑料瓶或金属软管外瓦楞纸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36"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36"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起运时包装要完整，装载应稳妥。运输过程中要确保容器不泄漏、不倒塌、不坠落、不损坏。严禁与氧化剂、酸类、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560" w:firstLineChars="200"/>
        <w:jc w:val="left"/>
        <w:rPr>
          <w:color w:val="auto"/>
          <w:kern w:val="0"/>
          <w:sz w:val="28"/>
          <w:szCs w:val="28"/>
        </w:rPr>
      </w:pPr>
      <w:r>
        <w:rPr>
          <w:rFonts w:hint="eastAsia"/>
          <w:color w:val="auto"/>
          <w:kern w:val="0"/>
          <w:sz w:val="28"/>
          <w:szCs w:val="28"/>
        </w:rPr>
        <w:t>2</w:t>
      </w:r>
      <w:r>
        <w:rPr>
          <w:color w:val="auto"/>
          <w:kern w:val="0"/>
          <w:sz w:val="28"/>
          <w:szCs w:val="28"/>
        </w:rPr>
        <w:t>9</w:t>
      </w:r>
      <w:r>
        <w:rPr>
          <w:rFonts w:hint="eastAsia"/>
          <w:color w:val="auto"/>
          <w:kern w:val="0"/>
          <w:sz w:val="28"/>
          <w:szCs w:val="28"/>
        </w:rPr>
        <w:t>）三氟乙酸</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76-05-1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三氟醋酸</w:t>
            </w:r>
          </w:p>
          <w:p>
            <w:pPr>
              <w:widowControl/>
              <w:spacing w:line="230" w:lineRule="exact"/>
              <w:jc w:val="left"/>
              <w:rPr>
                <w:rFonts w:ascii="宋体" w:hAnsi="宋体" w:cs="宋体"/>
                <w:color w:val="auto"/>
                <w:kern w:val="0"/>
              </w:rPr>
            </w:pPr>
            <w:r>
              <w:rPr>
                <w:rFonts w:hint="eastAsia" w:ascii="宋体" w:hAnsi="宋体" w:cs="宋体"/>
                <w:color w:val="auto"/>
                <w:kern w:val="0"/>
              </w:rPr>
              <w:t>三氟乙酸</w:t>
            </w:r>
          </w:p>
          <w:p>
            <w:pPr>
              <w:widowControl/>
              <w:spacing w:line="230" w:lineRule="exact"/>
              <w:jc w:val="left"/>
              <w:rPr>
                <w:rFonts w:ascii="宋体" w:hAnsi="宋体" w:cs="宋体"/>
                <w:color w:val="auto"/>
                <w:kern w:val="0"/>
              </w:rPr>
            </w:pPr>
            <w:r>
              <w:rPr>
                <w:rFonts w:hint="eastAsia" w:ascii="宋体" w:hAnsi="宋体" w:cs="宋体"/>
                <w:color w:val="auto"/>
                <w:kern w:val="0"/>
              </w:rPr>
              <w:t>trifluoroacetic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C2HF3O2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114.03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三氟乙酸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吸入、口服或经皮服吸收对身体有害。对眼睛、粘膜、呼吸道和皮肤有强烈刺激作用。吸入后可能因喉、支气管的痉挛、炎症、水肿，化学性肺炎、肺水肿而死亡。症状有烧灼感、咳嗽、喘息、气短、喉炎、头痛、恶心和呕吐。可致皮肤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本品不燃，具强腐蚀性、强刺激性，可致人体灼伤。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不燃。受热分解或与酸类接触放出有毒气体。具有强腐蚀性。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一氧化碳、二氧化碳、氟化氢。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灭火剂：干粉、砂土。禁止用水和泡沫灭火。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迅速撤离泄漏污染区人员至安全区，并进行隔离，严格限制出入。建议应急处理人员戴自给正压式呼吸器，穿防酸碱工作服。不要直接接触泄漏物。尽可能切断泄漏源。小量泄漏：用砂土或其它不燃材料吸附或吸收。也可以将地面洒上苏打灰，用大量水冲洗，洗水稀释后放入废水系统。大量泄漏：构筑围堤或挖坑收容。用泡沫覆盖，降低蒸气灾害。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密闭操作，注意通风。操作人员必须经过专门培训，严格遵守操作规程。建议操作人员佩戴导管式防毒面具，穿橡胶耐酸碱服，戴橡胶耐酸碱手套。防止蒸气泄漏到工作场所空气中。避免与氧化剂、还原剂、碱类接触。搬运时要轻装轻卸，防止包装及容器损坏。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储存于阴凉、通风的库房。远离火种、热源。保持容器密封。应与氧化剂、还原剂、碱类、食用化学品分开存放，切忌混储。储区应备有泄漏应急处理设备和合适的收容材料。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密闭操作，注意通风。提供安全淋浴和洗眼设备。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可能接触其蒸气时，必须佩戴导管式防毒面具或自吸式长管面具。紧急事态抢救或撤离时，建议佩戴空气呼吸器。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无色有强烈刺激气味的发烟液体。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13.73(25℃)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易溶于水、乙醇、乙醚、丙酮、苯。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用作实验试剂、溶剂、催化剂及用于有机合成。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碱类、强氧化剂、强还原剂。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LD50：200 mg/kg(大鼠经口) LC50：1000 mg/m3(大鼠吸入)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处置前应参阅国家和地方有关法规。建议用焚烧法处置。焚烧炉排出的卤化氢通过酸洗涤器除去。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81102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2699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O51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小开口钢桶；耐酸坛或陶瓷瓶外普通木箱或半花格木箱；玻璃瓶或塑料桶（罐）外普通木箱或半花格木箱；磨砂口玻璃瓶或螺纹口玻璃瓶外普通木箱；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rHeight w:val="23" w:hRule="atLeast"/>
          <w:tblCellSpacing w:w="7" w:type="dxa"/>
        </w:trPr>
        <w:tc>
          <w:tcPr>
            <w:tcW w:w="2400" w:type="dxa"/>
            <w:shd w:val="clear" w:color="auto" w:fill="FFFFFF"/>
            <w:tcMar>
              <w:top w:w="75" w:type="dxa"/>
              <w:left w:w="0" w:type="dxa"/>
              <w:bottom w:w="75" w:type="dxa"/>
              <w:right w:w="0" w:type="dxa"/>
            </w:tcMar>
          </w:tcPr>
          <w:p>
            <w:pPr>
              <w:widowControl/>
              <w:spacing w:line="23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30" w:lineRule="exact"/>
              <w:jc w:val="left"/>
              <w:rPr>
                <w:rFonts w:ascii="宋体" w:hAnsi="宋体" w:cs="宋体"/>
                <w:color w:val="auto"/>
                <w:kern w:val="0"/>
              </w:rPr>
            </w:pPr>
            <w:r>
              <w:rPr>
                <w:rFonts w:hint="eastAsia" w:ascii="宋体" w:hAnsi="宋体" w:cs="宋体"/>
                <w:color w:val="auto"/>
                <w:kern w:val="0"/>
              </w:rPr>
              <w:t>铁路运输时应严格按照铁道部《危险货物运输规则》中的危险货物配装表进行配装。起运时包装要完整，装载应稳妥。运输过程中要确保容器不泄漏、不倒塌、不坠落、不损坏。严禁与氧化剂、还原剂、碱类、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560" w:firstLineChars="200"/>
        <w:jc w:val="left"/>
        <w:rPr>
          <w:b/>
          <w:bCs/>
          <w:color w:val="auto"/>
          <w:kern w:val="0"/>
          <w:sz w:val="28"/>
          <w:szCs w:val="28"/>
        </w:rPr>
      </w:pPr>
      <w:r>
        <w:rPr>
          <w:color w:val="auto"/>
          <w:kern w:val="0"/>
          <w:sz w:val="28"/>
          <w:szCs w:val="28"/>
        </w:rPr>
        <w:t>30</w:t>
      </w:r>
      <w:r>
        <w:rPr>
          <w:rFonts w:hint="eastAsia"/>
          <w:color w:val="auto"/>
          <w:kern w:val="0"/>
          <w:sz w:val="28"/>
          <w:szCs w:val="28"/>
        </w:rPr>
        <w:t>）氯化氢</w:t>
      </w:r>
      <w:r>
        <w:rPr>
          <w:color w:val="auto"/>
        </w:rPr>
        <w:drawing>
          <wp:inline distT="0" distB="0" distL="0" distR="0">
            <wp:extent cx="5694680" cy="8056880"/>
            <wp:effectExtent l="0" t="0" r="127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4"/>
                    <a:stretch>
                      <a:fillRect/>
                    </a:stretch>
                  </pic:blipFill>
                  <pic:spPr>
                    <a:xfrm>
                      <a:off x="0" y="0"/>
                      <a:ext cx="5695238" cy="8057143"/>
                    </a:xfrm>
                    <a:prstGeom prst="rect">
                      <a:avLst/>
                    </a:prstGeom>
                  </pic:spPr>
                </pic:pic>
              </a:graphicData>
            </a:graphic>
          </wp:inline>
        </w:drawing>
      </w:r>
    </w:p>
    <w:p>
      <w:pPr>
        <w:widowControl/>
        <w:spacing w:before="100" w:beforeAutospacing="1" w:after="100" w:afterAutospacing="1"/>
        <w:ind w:firstLine="560" w:firstLineChars="200"/>
        <w:jc w:val="left"/>
        <w:rPr>
          <w:color w:val="auto"/>
          <w:kern w:val="0"/>
          <w:sz w:val="28"/>
          <w:szCs w:val="28"/>
        </w:rPr>
      </w:pPr>
      <w:r>
        <w:rPr>
          <w:rFonts w:hint="eastAsia"/>
          <w:color w:val="auto"/>
          <w:kern w:val="0"/>
          <w:sz w:val="28"/>
          <w:szCs w:val="28"/>
        </w:rPr>
        <w:t>3</w:t>
      </w:r>
      <w:r>
        <w:rPr>
          <w:color w:val="auto"/>
          <w:kern w:val="0"/>
          <w:sz w:val="28"/>
          <w:szCs w:val="28"/>
        </w:rPr>
        <w:t>1</w:t>
      </w:r>
      <w:r>
        <w:rPr>
          <w:rFonts w:hint="eastAsia"/>
          <w:color w:val="auto"/>
          <w:kern w:val="0"/>
          <w:sz w:val="28"/>
          <w:szCs w:val="28"/>
        </w:rPr>
        <w:t>）甲基磺酸</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6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CAS：</w:t>
            </w:r>
          </w:p>
        </w:tc>
        <w:tc>
          <w:tcPr>
            <w:tcW w:w="0" w:type="auto"/>
            <w:vAlign w:val="center"/>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75-75-2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名称：</w:t>
            </w:r>
          </w:p>
        </w:tc>
        <w:tc>
          <w:tcPr>
            <w:tcW w:w="0" w:type="auto"/>
            <w:vAlign w:val="center"/>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甲基磺酸</w:t>
            </w:r>
          </w:p>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甲烷磺酸</w:t>
            </w:r>
          </w:p>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methanesulfonic acid</w:t>
            </w:r>
          </w:p>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methyl sulfonic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分子式：</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CH4O3S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分子量：</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96.10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有害物成分：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甲烷磺酸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健康危害：</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本品对粘膜、上呼吸道、眼和皮肤有强烈的刺激性。吸入后，可因喉及支气管的痉挛、炎症、水肿，化学性肺炎或肺水肿而致死。接触后出现烧灼感、咳嗽、喘息、喉炎、气短、头痛、恶心和呕吐。可致灼伤。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环境危害：</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对环境有危害，对水体和大气可造成污染。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燃爆危险：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本品可燃，具腐蚀性、强刺激性，可致人体灼伤。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皮肤接触：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眼睛接触：</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吸入：</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食入：</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危险特性：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遇明火、高热可燃。受热分解为有毒的甲醛和二氧化硫。与氧化剂接触猛烈反应。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有害燃烧产物：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灭火方法：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消防人员必须佩戴过滤式防毒面具(全面罩)或隔离式呼吸器、穿全身防火防毒服，在上风向灭火。尽可能将容器从火场移至空旷处。喷水保持火场容器冷却，直至灭火结束。处在火场中的容器若已变色或从安全泄压装置中产生声音，必须马上撤离。灭火剂：雾状水、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应急处理：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迅速撤离泄漏污染区人员至安全区，并进行隔离，严格限制出入。切断火源。建议应急处理人员戴自给正压式呼吸器，穿防酸碱工作服。尽可能切断泄漏源。若是液体，防止流入下水道、排洪沟等限制性空间。小量泄漏：用砂土、干燥石灰或苏打灰混合。也可以用大量水冲洗，洗水稀释后放入废水系统。大量泄漏：构筑围堤或挖坑收容。用泵转移至槽车或专用收集器内，回收或运至废物处理场所处置。若是固体，用砂土、干燥石灰或苏打灰混合。小心扫起，若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操作注意事项：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局部排风。操作人员必须经过专门培训，严格遵守操作规程。建议操作人员佩戴防尘面具（全面罩），穿橡胶耐酸碱服，戴橡胶耐酸碱手套。远离火种、热源，工作场所严禁吸烟。使用防爆型的通风系统和设备。避免与还原剂、碱类、胺类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储存注意事项：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储存于阴凉、通风的库房。远离火种、热源。应与还原剂、碱类、胺类分开存放，切忌混储。配备相应品种和数量的消防器材。储区应备有泄漏应急处理设备和合适的收容材料。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工程控制：</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密闭操作，局部排风。提供安全淋浴和洗眼设备。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呼吸系统防护：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可能接触其粉尘时，必须佩戴防尘面具（全面罩）；可能接触其蒸气时，应该佩戴自吸过滤式防毒面具（全面罩）。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身体防护：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手防护：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其他防护：</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主要成分：</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外观与性状：</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无色液体或固体。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熔点(℃)：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沸点(℃)：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167/1.33kPa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相对密度(水=1)：</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相对蒸气密度(空气=1)：</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饱和蒸气压(kPa)：</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0.13/20℃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闪点(℃)：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&gt;110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溶解性：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溶于水、乙醇、乙醚，微溶于苯、甲苯。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主要用途：</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用作酯化催化剂、烷化剂，以及用于氧化反应。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禁配物：</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碱类、胺类、强还原剂。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急性毒性：</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其它有害作用：</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该物质对环境有危害，对水体和大气可造成污染，有机酸易在大气化学和大气物理变化中形成酸雨。因而当PH值降到 5以下时，会给动、植物造成严重危害，鱼的繁殖和发育会受到严重影响，流域土壤和水体底泥中的金属可被溶解进入水中毒害鱼类。水体酸化还会导致水生生物的组成结构发生变化，耐酸的藻类、真菌增多，而有根植物、细菌和脊椎动物减少，有机物的分解率降低。酸化后会严重导致湖泊、河流中鱼类减少或死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废弃处置方法：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处置前应参阅国家和地方有关法规。建议用焚烧法处置。焚烧炉排出的硫氧化物通过洗涤器除去。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危险货物编号：</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81626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包装方法：</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螺纹口玻璃瓶、铁盖压口玻璃瓶、塑料瓶或金属桶（罐）外普通木箱；螺纹口玻璃瓶、塑料瓶或镀锡薄钢板桶（罐）外满底板花格箱、纤维板箱或胶合板箱。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4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运输注意事项：</w:t>
            </w:r>
          </w:p>
        </w:tc>
        <w:tc>
          <w:tcPr>
            <w:tcW w:w="0" w:type="auto"/>
          </w:tcPr>
          <w:p>
            <w:pPr>
              <w:widowControl/>
              <w:spacing w:line="24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铁路运输时应严格按照铁道部《危险货物运输规则》中的危险货物配装表进行配装。起运时包装要完整，装载应稳妥。运输过程中要确保容器不泄漏、不倒塌、不坠落、不损坏。严禁与还原剂、碱类、胺类、食用化学品等混装混运。运输时运输车辆应配备相应品种和数量的消防器材及泄漏应急处理设备。运输途中应防曝晒、雨淋，防高温。公路运输时要按规定路线行驶，勿在居民区和人口稠密区停留。</w:t>
            </w:r>
          </w:p>
        </w:tc>
      </w:tr>
    </w:tbl>
    <w:p>
      <w:pPr>
        <w:widowControl/>
        <w:spacing w:before="100" w:beforeAutospacing="1" w:after="100" w:afterAutospacing="1"/>
        <w:ind w:firstLine="560" w:firstLineChars="200"/>
        <w:jc w:val="left"/>
        <w:rPr>
          <w:color w:val="auto"/>
          <w:kern w:val="0"/>
          <w:sz w:val="28"/>
          <w:szCs w:val="28"/>
        </w:rPr>
      </w:pPr>
      <w:r>
        <w:rPr>
          <w:rFonts w:hint="eastAsia"/>
          <w:color w:val="auto"/>
          <w:kern w:val="0"/>
          <w:sz w:val="28"/>
          <w:szCs w:val="28"/>
        </w:rPr>
        <w:t>3</w:t>
      </w:r>
      <w:r>
        <w:rPr>
          <w:color w:val="auto"/>
          <w:kern w:val="0"/>
          <w:sz w:val="28"/>
          <w:szCs w:val="28"/>
        </w:rPr>
        <w:t>2</w:t>
      </w:r>
      <w:r>
        <w:rPr>
          <w:rFonts w:hint="eastAsia"/>
          <w:color w:val="auto"/>
          <w:kern w:val="0"/>
          <w:sz w:val="28"/>
          <w:szCs w:val="28"/>
        </w:rPr>
        <w:t>）二氧化硫</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7446-09-5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二氧化硫</w:t>
            </w:r>
          </w:p>
          <w:p>
            <w:pPr>
              <w:widowControl/>
              <w:spacing w:line="240" w:lineRule="exact"/>
              <w:jc w:val="left"/>
              <w:rPr>
                <w:rFonts w:ascii="宋体" w:hAnsi="宋体" w:cs="宋体"/>
                <w:color w:val="auto"/>
                <w:kern w:val="0"/>
              </w:rPr>
            </w:pPr>
            <w:r>
              <w:rPr>
                <w:rFonts w:hint="eastAsia" w:ascii="宋体" w:hAnsi="宋体" w:cs="宋体"/>
                <w:color w:val="auto"/>
                <w:kern w:val="0"/>
              </w:rPr>
              <w:t>亚硫酸酐</w:t>
            </w:r>
          </w:p>
          <w:p>
            <w:pPr>
              <w:widowControl/>
              <w:spacing w:line="240" w:lineRule="exact"/>
              <w:jc w:val="left"/>
              <w:rPr>
                <w:rFonts w:ascii="宋体" w:hAnsi="宋体" w:cs="宋体"/>
                <w:color w:val="auto"/>
                <w:kern w:val="0"/>
              </w:rPr>
            </w:pPr>
            <w:r>
              <w:rPr>
                <w:rFonts w:hint="eastAsia" w:ascii="宋体" w:hAnsi="宋体" w:cs="宋体"/>
                <w:color w:val="auto"/>
                <w:kern w:val="0"/>
              </w:rPr>
              <w:t>sulfur dioxide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SO2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64.06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二氧化硫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易被湿润的粘膜表面吸收生成亚硫酸、硫酸。对眼及呼吸道粘膜有强烈的刺激作用。大量吸入可引起肺水肿、喉水肿、声带痉挛而致窒息。急性中毒：轻度中毒时，发生流泪、畏光、咳嗽，咽、喉灼痛等；严重中毒可在数小时内发生肺水肿；极高浓度吸入可引起反射性声门痉挛而致窒息。皮肤或眼接触发生炎症或灼伤。慢性影响：长期低浓度接触，可有头痛、头昏、乏力等全身症状以及慢性鼻炎、咽喉炎、支气管炎、嗅觉及味觉减退等。少数工人有牙齿酸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环境危害：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对大气可造成严重污染。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本品不燃，有毒，具强刺激性。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立即脱去污染的衣着，用大量流动清水冲洗。就医。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不燃。若遇高热，容器内压增大，有开裂和爆炸的危险。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本品不燃。消防人员必须佩戴过滤式防毒面具(全面罩)或隔离式呼吸器、穿全身防火防毒服，在上风向灭火。切断气源。喷水冷却容器，可能的话将容器从火场移至空旷处。灭火剂：雾状水、泡沫、二氧化碳。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迅速撤离泄漏污染区人员至上风处，并立即进行隔离，小泄漏时隔离150m，大泄漏时隔离450m，严格限制出入。建议应急处理人员戴自给正压式呼吸器，穿防毒服。从上风处进入现场。尽可能切断泄漏源。用工业覆盖层或吸附/ 吸收剂盖住泄漏点附近的下水道等地方，防止气体进入。合理通风，加速扩散。喷雾状水稀释、溶解。构筑围堤或挖坑收容产生的大量废水。如有可能，用一捉捕器使气体通过次氯酸钠溶液。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严加密闭，提供充分的局部排风和全面通风。操作人员必须经过专门培训，严格遵守操作规程。建议操作人员佩戴自吸过滤式防毒面具（全面罩），穿聚乙烯防毒服，戴橡胶手套。远离易燃、可燃物。防止气体泄漏到工作场所空气中。避免与氧化剂、还原剂接触。搬运时轻装轻卸，防止钢瓶及附件破损。配备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储存于阴凉、通风的库房。远离火种、热源。库温不宜超过30℃。应与易（可）燃物、氧化剂、还原剂、食用化学品分开存放，切忌混储。储区应备有泄漏应急处理设备。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前苏联MAC(mg/m3)：</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OSHA 5ppm,13mg/m3; ACGIH 2ppm,5.2mg/m3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ACGIH 5ppm,13mg/m3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监测方法：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盐酸副玫瑰苯胺比色法；甲醛缓冲液－盐酸副玫瑰苯胺分光光度法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严加密闭，提供充分的局部排风和全面通风。提供安全淋浴和洗眼设备。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空气中浓度超标时，佩戴自吸过滤式防毒面具（全面罩）。紧急事态抢救或撤离时，建议佩戴正压自给式呼吸器。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穿聚乙烯防毒服。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工作现场禁止吸烟、进食和饮水。工作完毕，淋浴更衣。保持良好的卫生习惯。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含量: 工业级 一级≥99.9％; 二级≥99.0％。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无色气体，特臭。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338.42(21.1℃)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157.8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溶于水、乙醇。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用于制造硫酸和保险粉等。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强还原剂、强氧化剂、易燃或可燃物。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LD50：无资料 LC50：6600mg/m3，1小时(大鼠吸入)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刺激性：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家兔经眼：6ppm/4小时/32 天，轻度刺激。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该物质可严重污染大气，由其形成的酸雨对植物的危害尤为严重。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把废气通入纯碱溶液中，加次氯酸钙中和，然后用水冲入废水系统。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23013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1079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O52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钢质气瓶；安瓿瓶外普通木箱。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hint="eastAsia" w:ascii="宋体" w:hAnsi="宋体" w:cs="宋体"/>
                <w:color w:val="auto"/>
                <w:kern w:val="0"/>
              </w:rPr>
              <w:t>本品铁路运输时限使用耐压液化气企业自备罐车装运，装运前需报有关部门批准。铁路运输时应严格按照铁道部《危险货物运输规则》中的危险货物配装表进行配装。采用刚瓶运输时必须戴好钢瓶上的安全帽。钢瓶一般平放，并应将瓶口朝同一方向，不可交叉；高度不得超过车辆的防护栏板，并用三角木垫卡牢，防止滚动。严禁与易燃物或可燃物、氧化剂、还原剂、食用化学品等混装混运。夏季应早晚运输，防止日光曝晒。公路运输时要按规定路线行驶，禁止在居民区和人口稠密区停留。铁路运输时要禁止溜放。</w:t>
            </w:r>
          </w:p>
        </w:tc>
      </w:tr>
    </w:tbl>
    <w:p>
      <w:pPr>
        <w:widowControl/>
        <w:spacing w:before="100" w:beforeAutospacing="1" w:after="100" w:afterAutospacing="1"/>
        <w:ind w:firstLine="560" w:firstLineChars="200"/>
        <w:jc w:val="left"/>
        <w:rPr>
          <w:color w:val="auto"/>
          <w:kern w:val="0"/>
          <w:sz w:val="28"/>
          <w:szCs w:val="28"/>
        </w:rPr>
      </w:pPr>
      <w:r>
        <w:rPr>
          <w:rFonts w:hint="eastAsia"/>
          <w:color w:val="auto"/>
          <w:kern w:val="0"/>
          <w:sz w:val="28"/>
          <w:szCs w:val="28"/>
        </w:rPr>
        <w:t>3</w:t>
      </w:r>
      <w:r>
        <w:rPr>
          <w:color w:val="auto"/>
          <w:kern w:val="0"/>
          <w:sz w:val="28"/>
          <w:szCs w:val="28"/>
        </w:rPr>
        <w:t>3</w:t>
      </w:r>
      <w:r>
        <w:rPr>
          <w:rFonts w:hint="eastAsia"/>
          <w:color w:val="auto"/>
          <w:kern w:val="0"/>
          <w:sz w:val="28"/>
          <w:szCs w:val="28"/>
        </w:rPr>
        <w:t>）硫酸氢钠</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CAS：</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7681-38-1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名称：</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硫酸氢钠</w:t>
            </w:r>
          </w:p>
          <w:p>
            <w:pPr>
              <w:widowControl/>
              <w:spacing w:line="240" w:lineRule="exact"/>
              <w:jc w:val="left"/>
              <w:rPr>
                <w:rFonts w:ascii="宋体" w:hAnsi="宋体" w:cs="宋体"/>
                <w:color w:val="auto"/>
                <w:kern w:val="0"/>
              </w:rPr>
            </w:pPr>
            <w:r>
              <w:rPr>
                <w:rFonts w:ascii="宋体" w:hAnsi="宋体" w:cs="宋体"/>
                <w:color w:val="auto"/>
                <w:kern w:val="0"/>
              </w:rPr>
              <w:t>酸式硫酸钠</w:t>
            </w:r>
          </w:p>
          <w:p>
            <w:pPr>
              <w:widowControl/>
              <w:spacing w:line="240" w:lineRule="exact"/>
              <w:jc w:val="left"/>
              <w:rPr>
                <w:rFonts w:ascii="宋体" w:hAnsi="宋体" w:cs="宋体"/>
                <w:color w:val="auto"/>
                <w:kern w:val="0"/>
              </w:rPr>
            </w:pPr>
            <w:r>
              <w:rPr>
                <w:rFonts w:ascii="宋体" w:hAnsi="宋体" w:cs="宋体"/>
                <w:color w:val="auto"/>
                <w:kern w:val="0"/>
              </w:rPr>
              <w:t>sodium acid sulfate</w:t>
            </w:r>
          </w:p>
          <w:p>
            <w:pPr>
              <w:widowControl/>
              <w:spacing w:line="240" w:lineRule="exact"/>
              <w:jc w:val="left"/>
              <w:rPr>
                <w:rFonts w:ascii="宋体" w:hAnsi="宋体" w:cs="宋体"/>
                <w:color w:val="auto"/>
                <w:kern w:val="0"/>
              </w:rPr>
            </w:pPr>
            <w:r>
              <w:rPr>
                <w:rFonts w:ascii="宋体" w:hAnsi="宋体" w:cs="宋体"/>
                <w:color w:val="auto"/>
                <w:kern w:val="0"/>
              </w:rPr>
              <w:t>sodium bisulfate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NaHSO4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120.06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硫酸氢钠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本品对眼睛、皮肤、粘膜和上呼吸道具强烈刺激作用和腐蚀性。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本品不燃，具腐蚀性、强刺激性，可致人体灼伤。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食入：</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本身不能燃烧。受高热分解放出有毒的气体。具有腐蚀性。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有害燃烧产物：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氧化硫、氧化钠。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消防人员必须穿全身防火防毒服，在上风向灭火。灭火时尽可能将容器从火场移至空旷处。然后根据着火原因选择适当灭火剂灭火。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隔离泄漏污染区，限制出入。建议应急处理人员戴防尘口罩，穿防酸服。不要直接接触泄漏物。小量泄漏：避免扬尘，用洁净的铲子收集于密闭容器中。大量泄漏：收集回收或运至废物处理场所处置。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密闭操作，提供充分的局部排风。防止粉尘释放到车间空气中。操作人员必须经过专门培训，严格遵守操作规程。建议操作人员佩戴防尘面具（全面罩），穿橡胶耐酸碱服，戴橡胶耐酸碱手套。避免产生粉尘。避免与次氯酸钠接触。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储存于阴凉、干燥、通风良好的库房。远离火种、热源。防止阳光直射。包装密封。应与次氯酸钠等分开存放，切忌混储。储区应备有合适的材料收容泄漏物。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严加密闭，提供充分的局部排风。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可能接触其粉尘时，必须佩戴防尘面具（全面罩）。紧急事态抢救或撤离时，应该佩戴空气呼吸器。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呼吸系统防护中已作防护。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穿橡胶耐酸碱服。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戴橡胶耐酸碱手套。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工作现场禁止吸烟、进食和饮水。工作完毕，淋浴更衣。保持良好的卫生习惯。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含量:试剂级98.5%-100%；工业一级≥95%;工业二级≥90%。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白色结晶或颗粒，无气味。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&gt;315(分解)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2.435(13℃)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溶于水，不溶于液氨。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用作助熔剂、印染助剂、分析试剂、土地改良剂和消毒剂，并用于制硫酸盐和钠矾等。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禁配物：</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水、次氯酸盐。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用苏打灰中和。重复使用容器或在规定场所掩埋。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81509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1842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小开口铝桶；安瓿瓶外普通木箱；螺纹口玻璃瓶、铁盖压口玻璃瓶、塑料瓶或金属桶（罐）外普通木箱。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exact"/>
              <w:jc w:val="right"/>
              <w:rPr>
                <w:rFonts w:ascii="宋体" w:hAnsi="宋体" w:cs="宋体"/>
                <w:color w:val="auto"/>
                <w:kern w:val="0"/>
              </w:rPr>
            </w:pPr>
            <w:r>
              <w:rPr>
                <w:rFonts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exact"/>
              <w:jc w:val="left"/>
              <w:rPr>
                <w:rFonts w:ascii="宋体" w:hAnsi="宋体" w:cs="宋体"/>
                <w:color w:val="auto"/>
                <w:kern w:val="0"/>
              </w:rPr>
            </w:pPr>
            <w:r>
              <w:rPr>
                <w:rFonts w:ascii="宋体" w:hAnsi="宋体" w:cs="宋体"/>
                <w:color w:val="auto"/>
                <w:kern w:val="0"/>
              </w:rPr>
              <w:t>国内铁路运输时，可按普通货物条件运输。铁路运输时应严格按照铁道部《危险货物运输规则》中的危险货物配装表进行配装。起运时包装要完整，装载应稳妥。运输过程中要确保容器不泄漏、不倒塌、不坠落、不损坏。严禁与氧化剂、食用化学品等混装混运。运输时运输车辆应配备泄漏应急处理设备。运输途中应防曝晒、雨淋，防高温。公路运输时要按规定路线行驶，勿在居民区和人口稠密区停留。</w:t>
            </w:r>
          </w:p>
        </w:tc>
      </w:tr>
    </w:tbl>
    <w:p>
      <w:pPr>
        <w:widowControl/>
        <w:spacing w:before="100" w:beforeAutospacing="1" w:after="100" w:afterAutospacing="1"/>
        <w:ind w:firstLine="562" w:firstLineChars="200"/>
        <w:jc w:val="left"/>
        <w:rPr>
          <w:b/>
          <w:bCs/>
          <w:color w:val="auto"/>
          <w:kern w:val="0"/>
          <w:sz w:val="28"/>
          <w:szCs w:val="28"/>
        </w:rPr>
      </w:pPr>
      <w:r>
        <w:rPr>
          <w:rFonts w:hint="eastAsia"/>
          <w:b/>
          <w:bCs/>
          <w:color w:val="auto"/>
          <w:kern w:val="0"/>
          <w:sz w:val="28"/>
          <w:szCs w:val="28"/>
        </w:rPr>
        <w:t>2、非危险化学品</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1）麦角淄醇</w:t>
      </w:r>
    </w:p>
    <w:p>
      <w:pPr>
        <w:spacing w:line="600" w:lineRule="exact"/>
        <w:ind w:firstLine="560" w:firstLineChars="200"/>
        <w:rPr>
          <w:rFonts w:ascii="宋体" w:cs="宋体"/>
          <w:color w:val="auto"/>
          <w:kern w:val="0"/>
          <w:sz w:val="28"/>
          <w:szCs w:val="28"/>
        </w:rPr>
      </w:pPr>
      <w:r>
        <w:rPr>
          <w:rFonts w:ascii="宋体" w:cs="宋体"/>
          <w:color w:val="auto"/>
          <w:kern w:val="0"/>
          <w:sz w:val="28"/>
          <w:szCs w:val="28"/>
        </w:rPr>
        <w:t>"麦角甾醇"又称"</w:t>
      </w:r>
      <w:r>
        <w:rPr>
          <w:color w:val="auto"/>
        </w:rPr>
        <w:fldChar w:fldCharType="begin"/>
      </w:r>
      <w:r>
        <w:rPr>
          <w:color w:val="auto"/>
        </w:rPr>
        <w:instrText xml:space="preserve"> HYPERLINK "https://baike.so.com/%22/doc/4149510-4349350.html/%22" </w:instrText>
      </w:r>
      <w:r>
        <w:rPr>
          <w:color w:val="auto"/>
        </w:rPr>
        <w:fldChar w:fldCharType="separate"/>
      </w:r>
      <w:r>
        <w:rPr>
          <w:rFonts w:ascii="宋体" w:cs="宋体"/>
          <w:color w:val="auto"/>
          <w:kern w:val="0"/>
          <w:sz w:val="28"/>
          <w:szCs w:val="28"/>
        </w:rPr>
        <w:t>麦角固醇</w:t>
      </w:r>
      <w:r>
        <w:rPr>
          <w:rFonts w:ascii="宋体" w:cs="宋体"/>
          <w:color w:val="auto"/>
          <w:kern w:val="0"/>
          <w:sz w:val="28"/>
          <w:szCs w:val="28"/>
        </w:rPr>
        <w:fldChar w:fldCharType="end"/>
      </w:r>
      <w:r>
        <w:rPr>
          <w:rFonts w:ascii="宋体" w:cs="宋体"/>
          <w:color w:val="auto"/>
          <w:kern w:val="0"/>
          <w:sz w:val="28"/>
          <w:szCs w:val="28"/>
        </w:rPr>
        <w:t>"</w:t>
      </w:r>
      <w:r>
        <w:rPr>
          <w:rFonts w:hint="eastAsia" w:ascii="宋体" w:cs="宋体"/>
          <w:color w:val="auto"/>
          <w:kern w:val="0"/>
          <w:sz w:val="28"/>
          <w:szCs w:val="28"/>
        </w:rPr>
        <w:t>。</w:t>
      </w:r>
      <w:r>
        <w:rPr>
          <w:rFonts w:ascii="宋体" w:cs="宋体"/>
          <w:color w:val="auto"/>
          <w:kern w:val="0"/>
          <w:sz w:val="28"/>
          <w:szCs w:val="28"/>
        </w:rPr>
        <w:t>白色片状或针状晶体</w:t>
      </w:r>
      <w:r>
        <w:rPr>
          <w:rFonts w:hint="eastAsia" w:ascii="宋体" w:cs="宋体"/>
          <w:color w:val="auto"/>
          <w:kern w:val="0"/>
          <w:sz w:val="28"/>
          <w:szCs w:val="28"/>
        </w:rPr>
        <w:t>，</w:t>
      </w:r>
      <w:r>
        <w:rPr>
          <w:rFonts w:ascii="宋体" w:cs="宋体"/>
          <w:color w:val="auto"/>
          <w:kern w:val="0"/>
          <w:sz w:val="28"/>
          <w:szCs w:val="28"/>
        </w:rPr>
        <w:t>遇日光和空气易氧化成黄色。是</w:t>
      </w:r>
      <w:r>
        <w:rPr>
          <w:color w:val="auto"/>
        </w:rPr>
        <w:fldChar w:fldCharType="begin"/>
      </w:r>
      <w:r>
        <w:rPr>
          <w:color w:val="auto"/>
        </w:rPr>
        <w:instrText xml:space="preserve"> HYPERLINK "https://baike.so.com/%22/doc/766612-811167.html/%22" </w:instrText>
      </w:r>
      <w:r>
        <w:rPr>
          <w:color w:val="auto"/>
        </w:rPr>
        <w:fldChar w:fldCharType="separate"/>
      </w:r>
      <w:r>
        <w:rPr>
          <w:rFonts w:ascii="宋体" w:cs="宋体"/>
          <w:color w:val="auto"/>
          <w:kern w:val="0"/>
          <w:sz w:val="28"/>
          <w:szCs w:val="28"/>
        </w:rPr>
        <w:t>甾类化合物</w:t>
      </w:r>
      <w:r>
        <w:rPr>
          <w:rFonts w:ascii="宋体" w:cs="宋体"/>
          <w:color w:val="auto"/>
          <w:kern w:val="0"/>
          <w:sz w:val="28"/>
          <w:szCs w:val="28"/>
        </w:rPr>
        <w:fldChar w:fldCharType="end"/>
      </w:r>
      <w:r>
        <w:rPr>
          <w:rFonts w:ascii="宋体" w:cs="宋体"/>
          <w:color w:val="auto"/>
          <w:kern w:val="0"/>
          <w:sz w:val="28"/>
          <w:szCs w:val="28"/>
        </w:rPr>
        <w:t>之一，该化合物可用于生化研究，部分作用同</w:t>
      </w:r>
      <w:r>
        <w:rPr>
          <w:color w:val="auto"/>
        </w:rPr>
        <w:fldChar w:fldCharType="begin"/>
      </w:r>
      <w:r>
        <w:rPr>
          <w:color w:val="auto"/>
        </w:rPr>
        <w:instrText xml:space="preserve"> HYPERLINK "https://baike.so.com/%22/doc/6092243-6305350.html/%22" </w:instrText>
      </w:r>
      <w:r>
        <w:rPr>
          <w:color w:val="auto"/>
        </w:rPr>
        <w:fldChar w:fldCharType="separate"/>
      </w:r>
      <w:r>
        <w:rPr>
          <w:rFonts w:ascii="宋体" w:cs="宋体"/>
          <w:color w:val="auto"/>
          <w:kern w:val="0"/>
          <w:sz w:val="28"/>
          <w:szCs w:val="28"/>
        </w:rPr>
        <w:t>维生素D2</w:t>
      </w:r>
      <w:r>
        <w:rPr>
          <w:rFonts w:ascii="宋体" w:cs="宋体"/>
          <w:color w:val="auto"/>
          <w:kern w:val="0"/>
          <w:sz w:val="28"/>
          <w:szCs w:val="28"/>
        </w:rPr>
        <w:fldChar w:fldCharType="end"/>
      </w:r>
      <w:r>
        <w:rPr>
          <w:rFonts w:ascii="宋体" w:cs="宋体"/>
          <w:color w:val="auto"/>
          <w:kern w:val="0"/>
          <w:sz w:val="28"/>
          <w:szCs w:val="28"/>
        </w:rPr>
        <w:t>。麦角固醇是微生物</w:t>
      </w:r>
      <w:r>
        <w:rPr>
          <w:color w:val="auto"/>
        </w:rPr>
        <w:fldChar w:fldCharType="begin"/>
      </w:r>
      <w:r>
        <w:rPr>
          <w:color w:val="auto"/>
        </w:rPr>
        <w:instrText xml:space="preserve"> HYPERLINK "https://baike.so.com/%22/doc/3311652-3488103.html/%22" \t "" " </w:instrText>
      </w:r>
      <w:r>
        <w:rPr>
          <w:color w:val="auto"/>
        </w:rPr>
        <w:fldChar w:fldCharType="separate"/>
      </w:r>
      <w:r>
        <w:rPr>
          <w:rFonts w:ascii="宋体" w:cs="宋体"/>
          <w:color w:val="auto"/>
          <w:kern w:val="0"/>
          <w:sz w:val="28"/>
          <w:szCs w:val="28"/>
        </w:rPr>
        <w:t>细胞膜</w:t>
      </w:r>
      <w:r>
        <w:rPr>
          <w:rFonts w:ascii="宋体" w:cs="宋体"/>
          <w:color w:val="auto"/>
          <w:kern w:val="0"/>
          <w:sz w:val="28"/>
          <w:szCs w:val="28"/>
        </w:rPr>
        <w:fldChar w:fldCharType="end"/>
      </w:r>
      <w:r>
        <w:rPr>
          <w:rFonts w:ascii="宋体" w:cs="宋体"/>
          <w:color w:val="auto"/>
          <w:kern w:val="0"/>
          <w:sz w:val="28"/>
          <w:szCs w:val="28"/>
        </w:rPr>
        <w:t>的重要组成部分，对确保细胞膜的完整性，膜</w:t>
      </w:r>
      <w:r>
        <w:rPr>
          <w:color w:val="auto"/>
        </w:rPr>
        <w:fldChar w:fldCharType="begin"/>
      </w:r>
      <w:r>
        <w:rPr>
          <w:color w:val="auto"/>
        </w:rPr>
        <w:instrText xml:space="preserve"> HYPERLINK "https://baike.so.com/%22/doc/7539313-7813406.html/%22" </w:instrText>
      </w:r>
      <w:r>
        <w:rPr>
          <w:color w:val="auto"/>
        </w:rPr>
        <w:fldChar w:fldCharType="separate"/>
      </w:r>
      <w:r>
        <w:rPr>
          <w:rFonts w:ascii="宋体" w:cs="宋体"/>
          <w:color w:val="auto"/>
          <w:kern w:val="0"/>
          <w:sz w:val="28"/>
          <w:szCs w:val="28"/>
        </w:rPr>
        <w:t>结合酶</w:t>
      </w:r>
      <w:r>
        <w:rPr>
          <w:rFonts w:ascii="宋体" w:cs="宋体"/>
          <w:color w:val="auto"/>
          <w:kern w:val="0"/>
          <w:sz w:val="28"/>
          <w:szCs w:val="28"/>
        </w:rPr>
        <w:fldChar w:fldCharType="end"/>
      </w:r>
      <w:r>
        <w:rPr>
          <w:rFonts w:ascii="宋体" w:cs="宋体"/>
          <w:color w:val="auto"/>
          <w:kern w:val="0"/>
          <w:sz w:val="28"/>
          <w:szCs w:val="28"/>
        </w:rPr>
        <w:t>的活性，膜的流动性，</w:t>
      </w:r>
      <w:r>
        <w:rPr>
          <w:color w:val="auto"/>
        </w:rPr>
        <w:fldChar w:fldCharType="begin"/>
      </w:r>
      <w:r>
        <w:rPr>
          <w:color w:val="auto"/>
        </w:rPr>
        <w:instrText xml:space="preserve"> HYPERLINK "https://baike.so.com/%22/doc/6003996-6216977.html/%22" </w:instrText>
      </w:r>
      <w:r>
        <w:rPr>
          <w:color w:val="auto"/>
        </w:rPr>
        <w:fldChar w:fldCharType="separate"/>
      </w:r>
      <w:r>
        <w:rPr>
          <w:rFonts w:ascii="宋体" w:cs="宋体"/>
          <w:color w:val="auto"/>
          <w:kern w:val="0"/>
          <w:sz w:val="28"/>
          <w:szCs w:val="28"/>
        </w:rPr>
        <w:t>细胞活力</w:t>
      </w:r>
      <w:r>
        <w:rPr>
          <w:rFonts w:ascii="宋体" w:cs="宋体"/>
          <w:color w:val="auto"/>
          <w:kern w:val="0"/>
          <w:sz w:val="28"/>
          <w:szCs w:val="28"/>
        </w:rPr>
        <w:fldChar w:fldCharType="end"/>
      </w:r>
      <w:r>
        <w:rPr>
          <w:rFonts w:ascii="宋体" w:cs="宋体"/>
          <w:color w:val="auto"/>
          <w:kern w:val="0"/>
          <w:sz w:val="28"/>
          <w:szCs w:val="28"/>
        </w:rPr>
        <w:t>以及细胞物质运输等起着重要作用。生产</w:t>
      </w:r>
      <w:r>
        <w:rPr>
          <w:color w:val="auto"/>
        </w:rPr>
        <w:fldChar w:fldCharType="begin"/>
      </w:r>
      <w:r>
        <w:rPr>
          <w:color w:val="auto"/>
        </w:rPr>
        <w:instrText xml:space="preserve"> HYPERLINK "https://baike.so.com/%22/doc/5410871-5648966.html/%22" </w:instrText>
      </w:r>
      <w:r>
        <w:rPr>
          <w:color w:val="auto"/>
        </w:rPr>
        <w:fldChar w:fldCharType="separate"/>
      </w:r>
      <w:r>
        <w:rPr>
          <w:rFonts w:ascii="宋体" w:cs="宋体"/>
          <w:color w:val="auto"/>
          <w:kern w:val="0"/>
          <w:sz w:val="28"/>
          <w:szCs w:val="28"/>
        </w:rPr>
        <w:t>激素类药物</w:t>
      </w:r>
      <w:r>
        <w:rPr>
          <w:rFonts w:ascii="宋体" w:cs="宋体"/>
          <w:color w:val="auto"/>
          <w:kern w:val="0"/>
          <w:sz w:val="28"/>
          <w:szCs w:val="28"/>
        </w:rPr>
        <w:fldChar w:fldCharType="end"/>
      </w:r>
      <w:r>
        <w:rPr>
          <w:rFonts w:ascii="宋体" w:cs="宋体"/>
          <w:color w:val="auto"/>
          <w:kern w:val="0"/>
          <w:sz w:val="28"/>
          <w:szCs w:val="28"/>
        </w:rPr>
        <w:t>的中间体，可用来生产</w:t>
      </w:r>
      <w:r>
        <w:rPr>
          <w:color w:val="auto"/>
        </w:rPr>
        <w:fldChar w:fldCharType="begin"/>
      </w:r>
      <w:r>
        <w:rPr>
          <w:color w:val="auto"/>
        </w:rPr>
        <w:instrText xml:space="preserve"> HYPERLINK "https://baike.so.com/%22/doc/5633161-5845785.html/%22" </w:instrText>
      </w:r>
      <w:r>
        <w:rPr>
          <w:color w:val="auto"/>
        </w:rPr>
        <w:fldChar w:fldCharType="separate"/>
      </w:r>
      <w:r>
        <w:rPr>
          <w:rFonts w:ascii="宋体" w:cs="宋体"/>
          <w:color w:val="auto"/>
          <w:kern w:val="0"/>
          <w:sz w:val="28"/>
          <w:szCs w:val="28"/>
        </w:rPr>
        <w:t>可的松</w:t>
      </w:r>
      <w:r>
        <w:rPr>
          <w:rFonts w:ascii="宋体" w:cs="宋体"/>
          <w:color w:val="auto"/>
          <w:kern w:val="0"/>
          <w:sz w:val="28"/>
          <w:szCs w:val="28"/>
        </w:rPr>
        <w:fldChar w:fldCharType="end"/>
      </w:r>
      <w:r>
        <w:rPr>
          <w:rFonts w:ascii="宋体" w:cs="宋体"/>
          <w:color w:val="auto"/>
          <w:kern w:val="0"/>
          <w:sz w:val="28"/>
          <w:szCs w:val="28"/>
        </w:rPr>
        <w:t>。有维生素D2的作用。</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2）四甲基哌啶氧化物</w:t>
      </w:r>
    </w:p>
    <w:p>
      <w:pPr>
        <w:spacing w:line="600" w:lineRule="exact"/>
        <w:ind w:firstLine="560" w:firstLineChars="200"/>
        <w:rPr>
          <w:rFonts w:ascii="宋体" w:cs="宋体"/>
          <w:color w:val="auto"/>
          <w:kern w:val="0"/>
          <w:sz w:val="28"/>
          <w:szCs w:val="28"/>
        </w:rPr>
      </w:pPr>
      <w:r>
        <w:rPr>
          <w:rFonts w:ascii="宋体" w:cs="宋体"/>
          <w:color w:val="auto"/>
          <w:kern w:val="0"/>
          <w:sz w:val="28"/>
          <w:szCs w:val="28"/>
        </w:rPr>
        <w:t>四甲基哌啶氧化物，</w:t>
      </w:r>
      <w:r>
        <w:rPr>
          <w:rFonts w:hint="eastAsia" w:ascii="宋体" w:cs="宋体"/>
          <w:color w:val="auto"/>
          <w:kern w:val="0"/>
          <w:sz w:val="28"/>
          <w:szCs w:val="28"/>
        </w:rPr>
        <w:t>分子式C</w:t>
      </w:r>
      <w:r>
        <w:rPr>
          <w:rFonts w:ascii="宋体" w:cs="宋体"/>
          <w:color w:val="auto"/>
          <w:kern w:val="0"/>
          <w:sz w:val="28"/>
          <w:szCs w:val="28"/>
        </w:rPr>
        <w:t>9</w:t>
      </w:r>
      <w:r>
        <w:rPr>
          <w:rFonts w:hint="eastAsia" w:ascii="宋体" w:cs="宋体"/>
          <w:color w:val="auto"/>
          <w:kern w:val="0"/>
          <w:sz w:val="28"/>
          <w:szCs w:val="28"/>
        </w:rPr>
        <w:t>H</w:t>
      </w:r>
      <w:r>
        <w:rPr>
          <w:rFonts w:ascii="宋体" w:cs="宋体"/>
          <w:color w:val="auto"/>
          <w:kern w:val="0"/>
          <w:sz w:val="28"/>
          <w:szCs w:val="28"/>
        </w:rPr>
        <w:t>18</w:t>
      </w:r>
      <w:r>
        <w:rPr>
          <w:rFonts w:hint="eastAsia" w:ascii="宋体" w:cs="宋体"/>
          <w:color w:val="auto"/>
          <w:kern w:val="0"/>
          <w:sz w:val="28"/>
          <w:szCs w:val="28"/>
        </w:rPr>
        <w:t>NO，分子量1</w:t>
      </w:r>
      <w:r>
        <w:rPr>
          <w:rFonts w:ascii="宋体" w:cs="宋体"/>
          <w:color w:val="auto"/>
          <w:kern w:val="0"/>
          <w:sz w:val="28"/>
          <w:szCs w:val="28"/>
        </w:rPr>
        <w:t>56.25</w:t>
      </w:r>
      <w:r>
        <w:rPr>
          <w:rFonts w:hint="eastAsia" w:ascii="宋体" w:cs="宋体"/>
          <w:color w:val="auto"/>
          <w:kern w:val="0"/>
          <w:sz w:val="28"/>
          <w:szCs w:val="28"/>
        </w:rPr>
        <w:t>，橘红色易升华结晶或液体，易溶于水，以及乙醇、苯等有机溶剂。有毒、具有腐蚀性，可经皮肤吸收，有强烈刺激性。</w:t>
      </w:r>
      <w:r>
        <w:rPr>
          <w:rFonts w:ascii="宋体" w:cs="宋体"/>
          <w:color w:val="auto"/>
          <w:kern w:val="0"/>
          <w:sz w:val="28"/>
          <w:szCs w:val="28"/>
        </w:rPr>
        <w:t>缩写为TEMPO，是一种哌啶类的氮氧自由基。为橘红色易升华结晶或液体，易溶于水、乙醇和苯等溶剂，有毒，具腐蚀性，可经皮肤吸收，有强烈刺激性。其具有捕获自由基和猝灭单线态氧的功能，且是一种非常有效的氧化催化剂，能将伯醇氧化为醛、仲醇氧化为酮。具有产率高、选择性好、稳定性良好、可循环使用等优点。</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3）次氯酸钠</w:t>
      </w:r>
    </w:p>
    <w:p>
      <w:pPr>
        <w:spacing w:line="600" w:lineRule="exact"/>
        <w:ind w:firstLine="420" w:firstLineChars="200"/>
        <w:rPr>
          <w:rFonts w:ascii="宋体" w:cs="宋体"/>
          <w:color w:val="auto"/>
          <w:kern w:val="0"/>
          <w:sz w:val="28"/>
          <w:szCs w:val="28"/>
        </w:rPr>
      </w:pPr>
      <w:r>
        <w:rPr>
          <w:color w:val="auto"/>
        </w:rPr>
        <w:fldChar w:fldCharType="begin"/>
      </w:r>
      <w:r>
        <w:rPr>
          <w:color w:val="auto"/>
        </w:rPr>
        <w:instrText xml:space="preserve"> HYPERLINK "https://baike.so.com/doc/5051997-5279107.html" \t "_blank" </w:instrText>
      </w:r>
      <w:r>
        <w:rPr>
          <w:color w:val="auto"/>
        </w:rPr>
        <w:fldChar w:fldCharType="separate"/>
      </w:r>
      <w:r>
        <w:rPr>
          <w:rFonts w:ascii="宋体" w:cs="宋体"/>
          <w:color w:val="auto"/>
          <w:kern w:val="0"/>
          <w:sz w:val="28"/>
          <w:szCs w:val="28"/>
        </w:rPr>
        <w:t>次氯酸</w:t>
      </w:r>
      <w:r>
        <w:rPr>
          <w:rFonts w:ascii="宋体" w:cs="宋体"/>
          <w:color w:val="auto"/>
          <w:kern w:val="0"/>
          <w:sz w:val="28"/>
          <w:szCs w:val="28"/>
        </w:rPr>
        <w:fldChar w:fldCharType="end"/>
      </w:r>
      <w:r>
        <w:rPr>
          <w:rFonts w:ascii="宋体" w:cs="宋体"/>
          <w:color w:val="auto"/>
          <w:kern w:val="0"/>
          <w:sz w:val="28"/>
          <w:szCs w:val="28"/>
        </w:rPr>
        <w:t>钠，是钠的</w:t>
      </w:r>
      <w:r>
        <w:rPr>
          <w:color w:val="auto"/>
        </w:rPr>
        <w:fldChar w:fldCharType="begin"/>
      </w:r>
      <w:r>
        <w:rPr>
          <w:color w:val="auto"/>
        </w:rPr>
        <w:instrText xml:space="preserve"> HYPERLINK "https://baike.so.com/doc/5867141-25177845.html" \t "_blank" </w:instrText>
      </w:r>
      <w:r>
        <w:rPr>
          <w:color w:val="auto"/>
        </w:rPr>
        <w:fldChar w:fldCharType="separate"/>
      </w:r>
      <w:r>
        <w:rPr>
          <w:rFonts w:ascii="宋体" w:cs="宋体"/>
          <w:color w:val="auto"/>
          <w:kern w:val="0"/>
          <w:sz w:val="28"/>
          <w:szCs w:val="28"/>
        </w:rPr>
        <w:t>次氯酸盐</w:t>
      </w:r>
      <w:r>
        <w:rPr>
          <w:rFonts w:ascii="宋体" w:cs="宋体"/>
          <w:color w:val="auto"/>
          <w:kern w:val="0"/>
          <w:sz w:val="28"/>
          <w:szCs w:val="28"/>
        </w:rPr>
        <w:fldChar w:fldCharType="end"/>
      </w:r>
      <w:r>
        <w:rPr>
          <w:rFonts w:ascii="宋体" w:cs="宋体"/>
          <w:color w:val="auto"/>
          <w:kern w:val="0"/>
          <w:sz w:val="28"/>
          <w:szCs w:val="28"/>
        </w:rPr>
        <w:t>。次</w:t>
      </w:r>
      <w:r>
        <w:rPr>
          <w:color w:val="auto"/>
        </w:rPr>
        <w:fldChar w:fldCharType="begin"/>
      </w:r>
      <w:r>
        <w:rPr>
          <w:color w:val="auto"/>
        </w:rPr>
        <w:instrText xml:space="preserve"> HYPERLINK "https://baike.so.com/doc/5952327-6165268.html" \t "_blank" </w:instrText>
      </w:r>
      <w:r>
        <w:rPr>
          <w:color w:val="auto"/>
        </w:rPr>
        <w:fldChar w:fldCharType="separate"/>
      </w:r>
      <w:r>
        <w:rPr>
          <w:rFonts w:ascii="宋体" w:cs="宋体"/>
          <w:color w:val="auto"/>
          <w:kern w:val="0"/>
          <w:sz w:val="28"/>
          <w:szCs w:val="28"/>
        </w:rPr>
        <w:t>氯酸</w:t>
      </w:r>
      <w:r>
        <w:rPr>
          <w:rFonts w:ascii="宋体" w:cs="宋体"/>
          <w:color w:val="auto"/>
          <w:kern w:val="0"/>
          <w:sz w:val="28"/>
          <w:szCs w:val="28"/>
        </w:rPr>
        <w:fldChar w:fldCharType="end"/>
      </w:r>
      <w:r>
        <w:rPr>
          <w:rFonts w:ascii="宋体" w:cs="宋体"/>
          <w:color w:val="auto"/>
          <w:kern w:val="0"/>
          <w:sz w:val="28"/>
          <w:szCs w:val="28"/>
        </w:rPr>
        <w:t>钠与二氧化碳反应产生的</w:t>
      </w:r>
      <w:r>
        <w:rPr>
          <w:color w:val="auto"/>
        </w:rPr>
        <w:fldChar w:fldCharType="begin"/>
      </w:r>
      <w:r>
        <w:rPr>
          <w:color w:val="auto"/>
        </w:rPr>
        <w:instrText xml:space="preserve"> HYPERLINK "https://baike.so.com/doc/5051997-5279107.html" \t "_blank" </w:instrText>
      </w:r>
      <w:r>
        <w:rPr>
          <w:color w:val="auto"/>
        </w:rPr>
        <w:fldChar w:fldCharType="separate"/>
      </w:r>
      <w:r>
        <w:rPr>
          <w:rFonts w:ascii="宋体" w:cs="宋体"/>
          <w:color w:val="auto"/>
          <w:kern w:val="0"/>
          <w:sz w:val="28"/>
          <w:szCs w:val="28"/>
        </w:rPr>
        <w:t>次氯酸</w:t>
      </w:r>
      <w:r>
        <w:rPr>
          <w:rFonts w:ascii="宋体" w:cs="宋体"/>
          <w:color w:val="auto"/>
          <w:kern w:val="0"/>
          <w:sz w:val="28"/>
          <w:szCs w:val="28"/>
        </w:rPr>
        <w:fldChar w:fldCharType="end"/>
      </w:r>
      <w:r>
        <w:rPr>
          <w:rFonts w:ascii="宋体" w:cs="宋体"/>
          <w:color w:val="auto"/>
          <w:kern w:val="0"/>
          <w:sz w:val="28"/>
          <w:szCs w:val="28"/>
        </w:rPr>
        <w:t>是</w:t>
      </w:r>
      <w:r>
        <w:rPr>
          <w:color w:val="auto"/>
        </w:rPr>
        <w:fldChar w:fldCharType="begin"/>
      </w:r>
      <w:r>
        <w:rPr>
          <w:color w:val="auto"/>
        </w:rPr>
        <w:instrText xml:space="preserve"> HYPERLINK "https://baike.so.com/doc/5569283-5784470.html" \t "_blank" </w:instrText>
      </w:r>
      <w:r>
        <w:rPr>
          <w:color w:val="auto"/>
        </w:rPr>
        <w:fldChar w:fldCharType="separate"/>
      </w:r>
      <w:r>
        <w:rPr>
          <w:rFonts w:ascii="宋体" w:cs="宋体"/>
          <w:color w:val="auto"/>
          <w:kern w:val="0"/>
          <w:sz w:val="28"/>
          <w:szCs w:val="28"/>
        </w:rPr>
        <w:t>漂白剂</w:t>
      </w:r>
      <w:r>
        <w:rPr>
          <w:rFonts w:ascii="宋体" w:cs="宋体"/>
          <w:color w:val="auto"/>
          <w:kern w:val="0"/>
          <w:sz w:val="28"/>
          <w:szCs w:val="28"/>
        </w:rPr>
        <w:fldChar w:fldCharType="end"/>
      </w:r>
      <w:r>
        <w:rPr>
          <w:rFonts w:ascii="宋体" w:cs="宋体"/>
          <w:color w:val="auto"/>
          <w:kern w:val="0"/>
          <w:sz w:val="28"/>
          <w:szCs w:val="28"/>
        </w:rPr>
        <w:t>的有效成分。化学式:NaClO</w:t>
      </w:r>
      <w:r>
        <w:rPr>
          <w:rFonts w:hint="eastAsia" w:ascii="宋体" w:cs="宋体"/>
          <w:color w:val="auto"/>
          <w:kern w:val="0"/>
          <w:sz w:val="28"/>
          <w:szCs w:val="28"/>
        </w:rPr>
        <w:t>。</w:t>
      </w:r>
      <w:r>
        <w:rPr>
          <w:rFonts w:ascii="宋体" w:cs="宋体"/>
          <w:color w:val="auto"/>
          <w:kern w:val="0"/>
          <w:sz w:val="28"/>
          <w:szCs w:val="28"/>
        </w:rPr>
        <w:t>健康危害:经常用手接触本品的工人，手掌大量出汗，指甲变薄，毛发脱落。本品有致敏作用。本品放出的氯气有可能引起中毒。</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4）氯化铵</w:t>
      </w:r>
    </w:p>
    <w:p>
      <w:pPr>
        <w:pStyle w:val="27"/>
        <w:shd w:val="clear" w:color="auto" w:fill="FFFFFF"/>
        <w:spacing w:before="0" w:beforeAutospacing="0" w:after="0" w:afterAutospacing="0" w:line="360" w:lineRule="atLeast"/>
        <w:ind w:firstLine="420"/>
        <w:jc w:val="both"/>
        <w:rPr>
          <w:rFonts w:ascii="Arial" w:hAnsi="Arial" w:cs="Arial"/>
          <w:color w:val="auto"/>
          <w:sz w:val="21"/>
        </w:rPr>
      </w:pPr>
      <w:r>
        <w:rPr>
          <w:rFonts w:hAnsi="Times New Roman" w:cs="宋体"/>
          <w:color w:val="auto"/>
          <w:sz w:val="28"/>
          <w:szCs w:val="28"/>
        </w:rPr>
        <w:t>氯化铵为无色晶体或白色颗粒性粉末无</w:t>
      </w:r>
      <w:r>
        <w:rPr>
          <w:color w:val="auto"/>
        </w:rPr>
        <w:fldChar w:fldCharType="begin"/>
      </w:r>
      <w:r>
        <w:rPr>
          <w:color w:val="auto"/>
        </w:rPr>
        <w:instrText xml:space="preserve"> HYPERLINK "https://so1.360tres.com/t0161c7947bb3959d7a.jpg" </w:instrText>
      </w:r>
      <w:r>
        <w:rPr>
          <w:color w:val="auto"/>
        </w:rPr>
        <w:fldChar w:fldCharType="separate"/>
      </w:r>
      <w:r>
        <w:rPr>
          <w:rFonts w:hAnsi="Times New Roman" w:cs="宋体"/>
          <w:color w:val="auto"/>
          <w:sz w:val="28"/>
          <w:szCs w:val="28"/>
        </w:rPr>
        <w:t>氯化铵</w:t>
      </w:r>
      <w:r>
        <w:rPr>
          <w:rFonts w:hAnsi="Times New Roman" w:cs="宋体"/>
          <w:color w:val="auto"/>
          <w:sz w:val="28"/>
          <w:szCs w:val="28"/>
        </w:rPr>
        <w:fldChar w:fldCharType="end"/>
      </w:r>
      <w:r>
        <w:rPr>
          <w:rFonts w:hAnsi="Times New Roman" w:cs="宋体"/>
          <w:color w:val="auto"/>
          <w:sz w:val="28"/>
          <w:szCs w:val="28"/>
        </w:rPr>
        <w:t>气味。味咸凉而微苦。吸湿性小。粉状氯化铵极易潮解，吸湿点一般在76%左右，当空气中相对湿度大于吸湿点时，氯化铵即产生吸潮现象，容易结块。能升华(实际上是氯化铵的分解和重新生成的过程)而无熔点。相对密度1.5274。</w:t>
      </w:r>
      <w:r>
        <w:rPr>
          <w:rFonts w:hAnsi="Times New Roman" w:cs="宋体"/>
          <w:color w:val="auto"/>
          <w:sz w:val="28"/>
          <w:szCs w:val="28"/>
        </w:rPr>
        <w:fldChar w:fldCharType="begin"/>
      </w:r>
      <w:r>
        <w:rPr>
          <w:rFonts w:hAnsi="Times New Roman" w:cs="宋体"/>
          <w:color w:val="auto"/>
          <w:sz w:val="28"/>
          <w:szCs w:val="28"/>
        </w:rPr>
        <w:instrText xml:space="preserve"> HYPERLINK "https://baike.so.com/doc/6175804-6389045.html" \t "_blank" </w:instrText>
      </w:r>
      <w:r>
        <w:rPr>
          <w:rFonts w:hAnsi="Times New Roman" w:cs="宋体"/>
          <w:color w:val="auto"/>
          <w:sz w:val="28"/>
          <w:szCs w:val="28"/>
        </w:rPr>
        <w:fldChar w:fldCharType="separate"/>
      </w:r>
      <w:r>
        <w:rPr>
          <w:rFonts w:hAnsi="Times New Roman" w:cs="宋体"/>
          <w:color w:val="auto"/>
          <w:sz w:val="28"/>
          <w:szCs w:val="28"/>
        </w:rPr>
        <w:t>折光率</w:t>
      </w:r>
      <w:r>
        <w:rPr>
          <w:rFonts w:hAnsi="Times New Roman" w:cs="宋体"/>
          <w:color w:val="auto"/>
          <w:sz w:val="28"/>
          <w:szCs w:val="28"/>
        </w:rPr>
        <w:fldChar w:fldCharType="end"/>
      </w:r>
      <w:r>
        <w:rPr>
          <w:rFonts w:hAnsi="Times New Roman" w:cs="宋体"/>
          <w:color w:val="auto"/>
          <w:sz w:val="28"/>
          <w:szCs w:val="28"/>
        </w:rPr>
        <w:t>1.642。低毒，半数致死量(大鼠，经口)1650mg/kg。有刺激性。加热至350</w:t>
      </w:r>
      <w:r>
        <w:rPr>
          <w:rFonts w:hint="eastAsia" w:hAnsi="Times New Roman" w:cs="宋体"/>
          <w:color w:val="auto"/>
          <w:sz w:val="28"/>
          <w:szCs w:val="28"/>
        </w:rPr>
        <w:t>℃</w:t>
      </w:r>
      <w:r>
        <w:rPr>
          <w:rFonts w:hAnsi="Times New Roman" w:cs="宋体"/>
          <w:color w:val="auto"/>
          <w:sz w:val="28"/>
          <w:szCs w:val="28"/>
        </w:rPr>
        <w:t>升华，沸点520</w:t>
      </w:r>
      <w:r>
        <w:rPr>
          <w:rFonts w:hint="eastAsia" w:hAnsi="Times New Roman" w:cs="宋体"/>
          <w:color w:val="auto"/>
          <w:sz w:val="28"/>
          <w:szCs w:val="28"/>
        </w:rPr>
        <w:t>℃</w:t>
      </w:r>
      <w:r>
        <w:rPr>
          <w:rFonts w:hAnsi="Times New Roman" w:cs="宋体"/>
          <w:color w:val="auto"/>
          <w:sz w:val="28"/>
          <w:szCs w:val="28"/>
        </w:rPr>
        <w:t>。易溶于水，微溶于</w:t>
      </w:r>
      <w:r>
        <w:rPr>
          <w:color w:val="auto"/>
        </w:rPr>
        <w:fldChar w:fldCharType="begin"/>
      </w:r>
      <w:r>
        <w:rPr>
          <w:color w:val="auto"/>
        </w:rPr>
        <w:instrText xml:space="preserve"> HYPERLINK "https://baike.so.com/doc/3036121-3200992.html" \t "_blank" </w:instrText>
      </w:r>
      <w:r>
        <w:rPr>
          <w:color w:val="auto"/>
        </w:rPr>
        <w:fldChar w:fldCharType="separate"/>
      </w:r>
      <w:r>
        <w:rPr>
          <w:rFonts w:hAnsi="Times New Roman" w:cs="宋体"/>
          <w:color w:val="auto"/>
          <w:sz w:val="28"/>
          <w:szCs w:val="28"/>
        </w:rPr>
        <w:t>乙醇</w:t>
      </w:r>
      <w:r>
        <w:rPr>
          <w:rFonts w:hAnsi="Times New Roman" w:cs="宋体"/>
          <w:color w:val="auto"/>
          <w:sz w:val="28"/>
          <w:szCs w:val="28"/>
        </w:rPr>
        <w:fldChar w:fldCharType="end"/>
      </w:r>
      <w:r>
        <w:rPr>
          <w:rFonts w:hAnsi="Times New Roman" w:cs="宋体"/>
          <w:color w:val="auto"/>
          <w:sz w:val="28"/>
          <w:szCs w:val="28"/>
        </w:rPr>
        <w:t>，溶于</w:t>
      </w:r>
      <w:r>
        <w:rPr>
          <w:color w:val="auto"/>
        </w:rPr>
        <w:fldChar w:fldCharType="begin"/>
      </w:r>
      <w:r>
        <w:rPr>
          <w:color w:val="auto"/>
        </w:rPr>
        <w:instrText xml:space="preserve"> HYPERLINK "https://baike.so.com/doc/5401818-5639475.html" \t "_blank" </w:instrText>
      </w:r>
      <w:r>
        <w:rPr>
          <w:color w:val="auto"/>
        </w:rPr>
        <w:fldChar w:fldCharType="separate"/>
      </w:r>
      <w:r>
        <w:rPr>
          <w:rFonts w:hAnsi="Times New Roman" w:cs="宋体"/>
          <w:color w:val="auto"/>
          <w:sz w:val="28"/>
          <w:szCs w:val="28"/>
        </w:rPr>
        <w:t>液氨</w:t>
      </w:r>
      <w:r>
        <w:rPr>
          <w:rFonts w:hAnsi="Times New Roman" w:cs="宋体"/>
          <w:color w:val="auto"/>
          <w:sz w:val="28"/>
          <w:szCs w:val="28"/>
        </w:rPr>
        <w:fldChar w:fldCharType="end"/>
      </w:r>
      <w:r>
        <w:rPr>
          <w:rFonts w:hAnsi="Times New Roman" w:cs="宋体"/>
          <w:color w:val="auto"/>
          <w:sz w:val="28"/>
          <w:szCs w:val="28"/>
        </w:rPr>
        <w:t>，不溶于</w:t>
      </w:r>
      <w:r>
        <w:rPr>
          <w:color w:val="auto"/>
        </w:rPr>
        <w:fldChar w:fldCharType="begin"/>
      </w:r>
      <w:r>
        <w:rPr>
          <w:color w:val="auto"/>
        </w:rPr>
        <w:instrText xml:space="preserve"> HYPERLINK "https://baike.so.com/doc/252057-266820.html" \t "_blank" </w:instrText>
      </w:r>
      <w:r>
        <w:rPr>
          <w:color w:val="auto"/>
        </w:rPr>
        <w:fldChar w:fldCharType="separate"/>
      </w:r>
      <w:r>
        <w:rPr>
          <w:rFonts w:hAnsi="Times New Roman" w:cs="宋体"/>
          <w:color w:val="auto"/>
          <w:sz w:val="28"/>
          <w:szCs w:val="28"/>
        </w:rPr>
        <w:t>丙酮</w:t>
      </w:r>
      <w:r>
        <w:rPr>
          <w:rFonts w:hAnsi="Times New Roman" w:cs="宋体"/>
          <w:color w:val="auto"/>
          <w:sz w:val="28"/>
          <w:szCs w:val="28"/>
        </w:rPr>
        <w:fldChar w:fldCharType="end"/>
      </w:r>
      <w:r>
        <w:rPr>
          <w:rFonts w:hAnsi="Times New Roman" w:cs="宋体"/>
          <w:color w:val="auto"/>
          <w:sz w:val="28"/>
          <w:szCs w:val="28"/>
        </w:rPr>
        <w:t>和乙醚。盐酸和</w:t>
      </w:r>
      <w:r>
        <w:rPr>
          <w:color w:val="auto"/>
        </w:rPr>
        <w:fldChar w:fldCharType="begin"/>
      </w:r>
      <w:r>
        <w:rPr>
          <w:color w:val="auto"/>
        </w:rPr>
        <w:instrText xml:space="preserve"> HYPERLINK "https://baike.so.com/doc/1243217-1314844.html" \t "_blank" </w:instrText>
      </w:r>
      <w:r>
        <w:rPr>
          <w:color w:val="auto"/>
        </w:rPr>
        <w:fldChar w:fldCharType="separate"/>
      </w:r>
      <w:r>
        <w:rPr>
          <w:rFonts w:hAnsi="Times New Roman" w:cs="宋体"/>
          <w:color w:val="auto"/>
          <w:sz w:val="28"/>
          <w:szCs w:val="28"/>
        </w:rPr>
        <w:t>氯化钠</w:t>
      </w:r>
      <w:r>
        <w:rPr>
          <w:rFonts w:hAnsi="Times New Roman" w:cs="宋体"/>
          <w:color w:val="auto"/>
          <w:sz w:val="28"/>
          <w:szCs w:val="28"/>
        </w:rPr>
        <w:fldChar w:fldCharType="end"/>
      </w:r>
      <w:r>
        <w:rPr>
          <w:rFonts w:hAnsi="Times New Roman" w:cs="宋体"/>
          <w:color w:val="auto"/>
          <w:sz w:val="28"/>
          <w:szCs w:val="28"/>
        </w:rPr>
        <w:t>能降低其在水中的</w:t>
      </w:r>
      <w:r>
        <w:rPr>
          <w:color w:val="auto"/>
        </w:rPr>
        <w:fldChar w:fldCharType="begin"/>
      </w:r>
      <w:r>
        <w:rPr>
          <w:color w:val="auto"/>
        </w:rPr>
        <w:instrText xml:space="preserve"> HYPERLINK "https://baike.so.com/doc/2049215-2168263.html" \t "_blank" </w:instrText>
      </w:r>
      <w:r>
        <w:rPr>
          <w:color w:val="auto"/>
        </w:rPr>
        <w:fldChar w:fldCharType="separate"/>
      </w:r>
      <w:r>
        <w:rPr>
          <w:rFonts w:hAnsi="Times New Roman" w:cs="宋体"/>
          <w:color w:val="auto"/>
          <w:sz w:val="28"/>
          <w:szCs w:val="28"/>
        </w:rPr>
        <w:t>溶解度</w:t>
      </w:r>
      <w:r>
        <w:rPr>
          <w:rFonts w:hAnsi="Times New Roman" w:cs="宋体"/>
          <w:color w:val="auto"/>
          <w:sz w:val="28"/>
          <w:szCs w:val="28"/>
        </w:rPr>
        <w:fldChar w:fldCharType="end"/>
      </w:r>
      <w:r>
        <w:rPr>
          <w:rFonts w:hAnsi="Times New Roman" w:cs="宋体"/>
          <w:color w:val="auto"/>
          <w:sz w:val="28"/>
          <w:szCs w:val="28"/>
        </w:rPr>
        <w:t>。</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5）对甲苯磺酸</w:t>
      </w:r>
    </w:p>
    <w:p>
      <w:pPr>
        <w:pStyle w:val="27"/>
        <w:shd w:val="clear" w:color="auto" w:fill="FFFFFF"/>
        <w:spacing w:before="0" w:beforeAutospacing="0" w:after="225" w:afterAutospacing="0" w:line="360" w:lineRule="atLeast"/>
        <w:ind w:firstLine="422"/>
        <w:jc w:val="both"/>
        <w:rPr>
          <w:rFonts w:cs="Arial"/>
          <w:color w:val="auto"/>
          <w:sz w:val="21"/>
        </w:rPr>
      </w:pPr>
      <w:r>
        <w:rPr>
          <w:rFonts w:cs="宋体"/>
          <w:color w:val="auto"/>
          <w:sz w:val="28"/>
          <w:szCs w:val="28"/>
        </w:rPr>
        <w:t>对甲苯磺酸是一个不具</w:t>
      </w:r>
      <w:r>
        <w:rPr>
          <w:color w:val="auto"/>
        </w:rPr>
        <w:fldChar w:fldCharType="begin"/>
      </w:r>
      <w:r>
        <w:rPr>
          <w:color w:val="auto"/>
        </w:rPr>
        <w:instrText xml:space="preserve"> HYPERLINK "https://baike.so.com/doc/2573201-2717347.html" \t "_blank" </w:instrText>
      </w:r>
      <w:r>
        <w:rPr>
          <w:color w:val="auto"/>
        </w:rPr>
        <w:fldChar w:fldCharType="separate"/>
      </w:r>
      <w:r>
        <w:rPr>
          <w:rFonts w:cs="宋体"/>
          <w:color w:val="auto"/>
          <w:sz w:val="28"/>
          <w:szCs w:val="28"/>
        </w:rPr>
        <w:t>氧化性</w:t>
      </w:r>
      <w:r>
        <w:rPr>
          <w:rFonts w:cs="宋体"/>
          <w:color w:val="auto"/>
          <w:sz w:val="28"/>
          <w:szCs w:val="28"/>
        </w:rPr>
        <w:fldChar w:fldCharType="end"/>
      </w:r>
      <w:r>
        <w:rPr>
          <w:rFonts w:cs="宋体"/>
          <w:color w:val="auto"/>
          <w:sz w:val="28"/>
          <w:szCs w:val="28"/>
        </w:rPr>
        <w:t>的有机强酸，酸性是</w:t>
      </w:r>
      <w:r>
        <w:rPr>
          <w:color w:val="auto"/>
        </w:rPr>
        <w:fldChar w:fldCharType="begin"/>
      </w:r>
      <w:r>
        <w:rPr>
          <w:color w:val="auto"/>
        </w:rPr>
        <w:instrText xml:space="preserve"> HYPERLINK "https://baike.so.com/doc/5374974-5611034.html" \t "_blank" </w:instrText>
      </w:r>
      <w:r>
        <w:rPr>
          <w:color w:val="auto"/>
        </w:rPr>
        <w:fldChar w:fldCharType="separate"/>
      </w:r>
      <w:r>
        <w:rPr>
          <w:rFonts w:cs="宋体"/>
          <w:color w:val="auto"/>
          <w:sz w:val="28"/>
          <w:szCs w:val="28"/>
        </w:rPr>
        <w:t>苯甲酸</w:t>
      </w:r>
      <w:r>
        <w:rPr>
          <w:rFonts w:cs="宋体"/>
          <w:color w:val="auto"/>
          <w:sz w:val="28"/>
          <w:szCs w:val="28"/>
        </w:rPr>
        <w:fldChar w:fldCharType="end"/>
      </w:r>
      <w:r>
        <w:rPr>
          <w:rFonts w:cs="宋体"/>
          <w:color w:val="auto"/>
          <w:sz w:val="28"/>
          <w:szCs w:val="28"/>
        </w:rPr>
        <w:t>的一百万倍。CAS号:104-15-4</w:t>
      </w:r>
      <w:r>
        <w:rPr>
          <w:rFonts w:hint="eastAsia" w:cs="宋体"/>
          <w:color w:val="auto"/>
          <w:sz w:val="28"/>
          <w:szCs w:val="28"/>
        </w:rPr>
        <w:t>，</w:t>
      </w:r>
      <w:r>
        <w:rPr>
          <w:rFonts w:cs="宋体"/>
          <w:color w:val="auto"/>
          <w:sz w:val="28"/>
          <w:szCs w:val="28"/>
        </w:rPr>
        <w:t>分子式:C7H8O3S</w:t>
      </w:r>
      <w:r>
        <w:rPr>
          <w:rFonts w:hint="eastAsia" w:cs="宋体"/>
          <w:color w:val="auto"/>
          <w:sz w:val="28"/>
          <w:szCs w:val="28"/>
        </w:rPr>
        <w:t>，</w:t>
      </w:r>
      <w:r>
        <w:rPr>
          <w:rFonts w:cs="宋体"/>
          <w:color w:val="auto"/>
          <w:sz w:val="28"/>
          <w:szCs w:val="28"/>
        </w:rPr>
        <w:t>分子量:172.201</w:t>
      </w:r>
      <w:r>
        <w:rPr>
          <w:rFonts w:hint="eastAsia" w:cs="宋体"/>
          <w:color w:val="auto"/>
          <w:sz w:val="28"/>
          <w:szCs w:val="28"/>
        </w:rPr>
        <w:t>。</w:t>
      </w:r>
      <w:r>
        <w:rPr>
          <w:rFonts w:cs="宋体"/>
          <w:color w:val="auto"/>
          <w:sz w:val="28"/>
          <w:szCs w:val="28"/>
        </w:rPr>
        <w:t>白色针状或粉末结晶，易潮解，可溶于水、醇和其他极性溶剂。会使纸张、木材等脱水发生</w:t>
      </w:r>
      <w:r>
        <w:rPr>
          <w:color w:val="auto"/>
        </w:rPr>
        <w:fldChar w:fldCharType="begin"/>
      </w:r>
      <w:r>
        <w:rPr>
          <w:color w:val="auto"/>
        </w:rPr>
        <w:instrText xml:space="preserve"> HYPERLINK "https://baike.so.com/doc/5908806-6121711.html" \t "_blank" </w:instrText>
      </w:r>
      <w:r>
        <w:rPr>
          <w:color w:val="auto"/>
        </w:rPr>
        <w:fldChar w:fldCharType="separate"/>
      </w:r>
      <w:r>
        <w:rPr>
          <w:rFonts w:cs="宋体"/>
          <w:color w:val="auto"/>
          <w:sz w:val="28"/>
          <w:szCs w:val="28"/>
        </w:rPr>
        <w:t>碳化</w:t>
      </w:r>
      <w:r>
        <w:rPr>
          <w:rFonts w:cs="宋体"/>
          <w:color w:val="auto"/>
          <w:sz w:val="28"/>
          <w:szCs w:val="28"/>
        </w:rPr>
        <w:fldChar w:fldCharType="end"/>
      </w:r>
      <w:r>
        <w:rPr>
          <w:rFonts w:cs="宋体"/>
          <w:color w:val="auto"/>
          <w:sz w:val="28"/>
          <w:szCs w:val="28"/>
        </w:rPr>
        <w:t>。常见的是对甲苯磺酸一水合物TsOH·H2O。用作化学试剂，也用于染料、有机合成。用作医药（如</w:t>
      </w:r>
      <w:r>
        <w:rPr>
          <w:rFonts w:cs="宋体"/>
          <w:color w:val="auto"/>
          <w:sz w:val="28"/>
          <w:szCs w:val="28"/>
        </w:rPr>
        <w:fldChar w:fldCharType="begin"/>
      </w:r>
      <w:r>
        <w:rPr>
          <w:rFonts w:cs="宋体"/>
          <w:color w:val="auto"/>
          <w:sz w:val="28"/>
          <w:szCs w:val="28"/>
        </w:rPr>
        <w:instrText xml:space="preserve"> HYPERLINK "https://baike.so.com/doc/754568-798658.html" \t "_blank" </w:instrText>
      </w:r>
      <w:r>
        <w:rPr>
          <w:rFonts w:cs="宋体"/>
          <w:color w:val="auto"/>
          <w:sz w:val="28"/>
          <w:szCs w:val="28"/>
        </w:rPr>
        <w:fldChar w:fldCharType="separate"/>
      </w:r>
      <w:r>
        <w:rPr>
          <w:rFonts w:cs="宋体"/>
          <w:color w:val="auto"/>
          <w:sz w:val="28"/>
          <w:szCs w:val="28"/>
        </w:rPr>
        <w:t>强力霉素</w:t>
      </w:r>
      <w:r>
        <w:rPr>
          <w:rFonts w:cs="宋体"/>
          <w:color w:val="auto"/>
          <w:sz w:val="28"/>
          <w:szCs w:val="28"/>
        </w:rPr>
        <w:fldChar w:fldCharType="end"/>
      </w:r>
      <w:r>
        <w:rPr>
          <w:rFonts w:cs="宋体"/>
          <w:color w:val="auto"/>
          <w:sz w:val="28"/>
          <w:szCs w:val="28"/>
        </w:rPr>
        <w:t>）、农药（如三氯杀螨醇）、染料等的中间体；也用于洗涤剂、塑料、涂料等方面。</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6）甲基磺酰胺</w:t>
      </w:r>
    </w:p>
    <w:p>
      <w:pPr>
        <w:pStyle w:val="27"/>
        <w:shd w:val="clear" w:color="auto" w:fill="FFFFFF"/>
        <w:spacing w:before="0" w:beforeAutospacing="0" w:after="225" w:afterAutospacing="0" w:line="360" w:lineRule="atLeast"/>
        <w:ind w:firstLine="420"/>
        <w:jc w:val="both"/>
        <w:rPr>
          <w:rFonts w:cs="宋体"/>
          <w:color w:val="auto"/>
          <w:sz w:val="28"/>
          <w:szCs w:val="28"/>
        </w:rPr>
      </w:pPr>
      <w:r>
        <w:rPr>
          <w:rFonts w:cs="宋体"/>
          <w:color w:val="auto"/>
          <w:sz w:val="28"/>
          <w:szCs w:val="28"/>
        </w:rPr>
        <w:t>甲基磺酰胺是分子量为95.03的化学物质。又称甲基磺酰胺，CAS号:3144-09-0</w:t>
      </w:r>
      <w:r>
        <w:rPr>
          <w:rFonts w:hint="eastAsia" w:cs="宋体"/>
          <w:color w:val="auto"/>
          <w:sz w:val="28"/>
          <w:szCs w:val="28"/>
        </w:rPr>
        <w:t>，</w:t>
      </w:r>
      <w:r>
        <w:rPr>
          <w:rFonts w:cs="宋体"/>
          <w:color w:val="auto"/>
          <w:sz w:val="28"/>
          <w:szCs w:val="28"/>
        </w:rPr>
        <w:t>分子式是CH5NO2S，分子量:95.1209</w:t>
      </w:r>
      <w:r>
        <w:rPr>
          <w:rFonts w:hint="eastAsia" w:cs="宋体"/>
          <w:color w:val="auto"/>
          <w:sz w:val="28"/>
          <w:szCs w:val="28"/>
        </w:rPr>
        <w:t>，</w:t>
      </w:r>
      <w:r>
        <w:rPr>
          <w:rFonts w:cs="宋体"/>
          <w:color w:val="auto"/>
          <w:sz w:val="28"/>
          <w:szCs w:val="28"/>
        </w:rPr>
        <w:t>该物质主要用作药物中间体。</w:t>
      </w:r>
    </w:p>
    <w:p>
      <w:pPr>
        <w:spacing w:line="600" w:lineRule="exact"/>
        <w:ind w:firstLine="560" w:firstLineChars="200"/>
        <w:rPr>
          <w:rFonts w:ascii="宋体" w:cs="宋体"/>
          <w:color w:val="auto"/>
          <w:kern w:val="0"/>
          <w:sz w:val="28"/>
          <w:szCs w:val="28"/>
        </w:rPr>
      </w:pPr>
      <w:r>
        <w:rPr>
          <w:rFonts w:hint="eastAsia" w:ascii="宋体" w:cs="宋体"/>
          <w:color w:val="auto"/>
          <w:kern w:val="0"/>
          <w:sz w:val="28"/>
          <w:szCs w:val="28"/>
        </w:rPr>
        <w:t>7）锇酸钾</w:t>
      </w:r>
    </w:p>
    <w:p>
      <w:pPr>
        <w:pStyle w:val="27"/>
        <w:shd w:val="clear" w:color="auto" w:fill="FFFFFF"/>
        <w:spacing w:before="0" w:beforeAutospacing="0" w:after="225" w:afterAutospacing="0" w:line="360" w:lineRule="atLeast"/>
        <w:ind w:firstLine="420"/>
        <w:jc w:val="both"/>
        <w:rPr>
          <w:rFonts w:ascii="Arial" w:hAnsi="Arial" w:cs="Arial"/>
          <w:color w:val="auto"/>
          <w:sz w:val="21"/>
        </w:rPr>
      </w:pPr>
      <w:r>
        <w:rPr>
          <w:rFonts w:cs="宋体"/>
          <w:color w:val="auto"/>
          <w:sz w:val="28"/>
          <w:szCs w:val="28"/>
        </w:rPr>
        <w:t>锇酸钾(英文写作potassium osmate)化学式K2OsO4·2H2O，</w:t>
      </w:r>
      <w:r>
        <w:rPr>
          <w:rFonts w:cs="宋体"/>
          <w:color w:val="auto"/>
          <w:sz w:val="28"/>
          <w:szCs w:val="28"/>
        </w:rPr>
        <w:fldChar w:fldCharType="begin"/>
      </w:r>
      <w:r>
        <w:rPr>
          <w:rFonts w:cs="宋体"/>
          <w:color w:val="auto"/>
          <w:sz w:val="28"/>
          <w:szCs w:val="28"/>
        </w:rPr>
        <w:instrText xml:space="preserve"> HYPERLINK "https://baike.so.com/%22/doc/2956846-3119486.html/%22" \t "\\"_blank\\"" </w:instrText>
      </w:r>
      <w:r>
        <w:rPr>
          <w:rFonts w:cs="宋体"/>
          <w:color w:val="auto"/>
          <w:sz w:val="28"/>
          <w:szCs w:val="28"/>
        </w:rPr>
        <w:fldChar w:fldCharType="separate"/>
      </w:r>
      <w:r>
        <w:rPr>
          <w:rFonts w:cs="宋体"/>
          <w:color w:val="auto"/>
          <w:sz w:val="28"/>
          <w:szCs w:val="28"/>
        </w:rPr>
        <w:t>相对分子质量</w:t>
      </w:r>
      <w:r>
        <w:rPr>
          <w:rFonts w:cs="宋体"/>
          <w:color w:val="auto"/>
          <w:sz w:val="28"/>
          <w:szCs w:val="28"/>
        </w:rPr>
        <w:fldChar w:fldCharType="end"/>
      </w:r>
      <w:r>
        <w:rPr>
          <w:rFonts w:cs="宋体"/>
          <w:color w:val="auto"/>
          <w:sz w:val="28"/>
          <w:szCs w:val="28"/>
        </w:rPr>
        <w:t>368.43，常温下为紫红色结晶性粉木或红绿色八面晶体，CAS号:10022-66-9</w:t>
      </w:r>
      <w:r>
        <w:rPr>
          <w:rFonts w:hint="eastAsia" w:cs="宋体"/>
          <w:color w:val="auto"/>
          <w:sz w:val="28"/>
          <w:szCs w:val="28"/>
        </w:rPr>
        <w:t>。</w:t>
      </w:r>
      <w:r>
        <w:rPr>
          <w:rFonts w:cs="宋体"/>
          <w:color w:val="auto"/>
          <w:sz w:val="28"/>
          <w:szCs w:val="28"/>
        </w:rPr>
        <w:t>热至100℃以上失去一分子结晶水。微溶于冷水、溶于热水则分解，不溶于醇和醚。有剧毒。将四氧化锇溶解后，加氢氧化钾和酒精作用，或由四氧化锇与冷的氢氧化钾反应生成二氢氧四氧合锇(Ⅷ)酸钾，再用亚硝酸钾还原制得。主要应用催化烯烃不对称双羟化反应，不对称催化合成氨羟化反应等。</w:t>
      </w:r>
    </w:p>
    <w:p>
      <w:pPr>
        <w:numPr>
          <w:ilvl w:val="0"/>
          <w:numId w:val="28"/>
        </w:numPr>
        <w:spacing w:line="600" w:lineRule="exact"/>
        <w:ind w:firstLine="560" w:firstLineChars="200"/>
        <w:rPr>
          <w:rFonts w:ascii="宋体" w:hAnsi="宋体"/>
          <w:color w:val="auto"/>
          <w:sz w:val="28"/>
          <w:szCs w:val="28"/>
        </w:rPr>
      </w:pPr>
      <w:r>
        <w:rPr>
          <w:rFonts w:hint="eastAsia" w:ascii="宋体" w:hAnsi="宋体"/>
          <w:color w:val="auto"/>
          <w:sz w:val="28"/>
          <w:szCs w:val="28"/>
        </w:rPr>
        <w:t>豆甾醇</w:t>
      </w:r>
    </w:p>
    <w:p>
      <w:pPr>
        <w:spacing w:line="600" w:lineRule="exact"/>
        <w:ind w:firstLine="560" w:firstLineChars="200"/>
        <w:rPr>
          <w:rFonts w:ascii="宋体" w:cs="宋体"/>
          <w:color w:val="auto"/>
          <w:kern w:val="0"/>
          <w:sz w:val="28"/>
          <w:szCs w:val="28"/>
        </w:rPr>
      </w:pPr>
      <w:r>
        <w:rPr>
          <w:rFonts w:ascii="宋体" w:cs="宋体"/>
          <w:color w:val="auto"/>
          <w:kern w:val="0"/>
          <w:sz w:val="28"/>
          <w:szCs w:val="28"/>
        </w:rPr>
        <w:t>豆甾醇属于一种天然植物甾醇，广泛地运用于医药、食品、化妆品等行业。</w:t>
      </w:r>
      <w:r>
        <w:rPr>
          <w:rFonts w:hint="eastAsia" w:ascii="宋体" w:cs="宋体"/>
          <w:color w:val="auto"/>
          <w:kern w:val="0"/>
          <w:sz w:val="28"/>
          <w:szCs w:val="28"/>
        </w:rPr>
        <w:t>分子式：C</w:t>
      </w:r>
      <w:r>
        <w:rPr>
          <w:rFonts w:ascii="宋体" w:cs="宋体"/>
          <w:color w:val="auto"/>
          <w:kern w:val="0"/>
          <w:sz w:val="28"/>
          <w:szCs w:val="28"/>
        </w:rPr>
        <w:t>29</w:t>
      </w:r>
      <w:r>
        <w:rPr>
          <w:rFonts w:hint="eastAsia" w:ascii="宋体" w:cs="宋体"/>
          <w:color w:val="auto"/>
          <w:kern w:val="0"/>
          <w:sz w:val="28"/>
          <w:szCs w:val="28"/>
        </w:rPr>
        <w:t>H</w:t>
      </w:r>
      <w:r>
        <w:rPr>
          <w:rFonts w:ascii="宋体" w:cs="宋体"/>
          <w:color w:val="auto"/>
          <w:kern w:val="0"/>
          <w:sz w:val="28"/>
          <w:szCs w:val="28"/>
        </w:rPr>
        <w:t>48</w:t>
      </w:r>
      <w:r>
        <w:rPr>
          <w:rFonts w:hint="eastAsia" w:ascii="宋体" w:cs="宋体"/>
          <w:color w:val="auto"/>
          <w:kern w:val="0"/>
          <w:sz w:val="28"/>
          <w:szCs w:val="28"/>
        </w:rPr>
        <w:t>O，分子量：4</w:t>
      </w:r>
      <w:r>
        <w:rPr>
          <w:rFonts w:ascii="宋体" w:cs="宋体"/>
          <w:color w:val="auto"/>
          <w:kern w:val="0"/>
          <w:sz w:val="28"/>
          <w:szCs w:val="28"/>
        </w:rPr>
        <w:t>12.7</w:t>
      </w:r>
      <w:r>
        <w:rPr>
          <w:rFonts w:hint="eastAsia" w:ascii="宋体" w:cs="宋体"/>
          <w:color w:val="auto"/>
          <w:kern w:val="0"/>
          <w:sz w:val="28"/>
          <w:szCs w:val="28"/>
        </w:rPr>
        <w:t>，CAS号：8</w:t>
      </w:r>
      <w:r>
        <w:rPr>
          <w:rFonts w:ascii="宋体" w:cs="宋体"/>
          <w:color w:val="auto"/>
          <w:kern w:val="0"/>
          <w:sz w:val="28"/>
          <w:szCs w:val="28"/>
        </w:rPr>
        <w:t>3-48-7</w:t>
      </w:r>
      <w:r>
        <w:rPr>
          <w:rFonts w:hint="eastAsia" w:ascii="宋体" w:cs="宋体"/>
          <w:color w:val="auto"/>
          <w:kern w:val="0"/>
          <w:sz w:val="28"/>
          <w:szCs w:val="28"/>
        </w:rPr>
        <w:t>还是</w:t>
      </w:r>
      <w:r>
        <w:rPr>
          <w:rFonts w:ascii="宋体" w:cs="宋体"/>
          <w:color w:val="auto"/>
          <w:kern w:val="0"/>
          <w:sz w:val="28"/>
          <w:szCs w:val="28"/>
        </w:rPr>
        <w:t>68555-08-8</w:t>
      </w:r>
      <w:r>
        <w:rPr>
          <w:rFonts w:hint="eastAsia" w:ascii="宋体" w:cs="宋体"/>
          <w:color w:val="auto"/>
          <w:kern w:val="0"/>
          <w:sz w:val="28"/>
          <w:szCs w:val="28"/>
        </w:rPr>
        <w:t>。沸点：4</w:t>
      </w:r>
      <w:r>
        <w:rPr>
          <w:rFonts w:ascii="宋体" w:cs="宋体"/>
          <w:color w:val="auto"/>
          <w:kern w:val="0"/>
          <w:sz w:val="28"/>
          <w:szCs w:val="28"/>
        </w:rPr>
        <w:t>72.07</w:t>
      </w:r>
      <w:r>
        <w:rPr>
          <w:rFonts w:hint="eastAsia" w:ascii="宋体" w:cs="宋体"/>
          <w:color w:val="auto"/>
          <w:kern w:val="0"/>
          <w:sz w:val="28"/>
          <w:szCs w:val="28"/>
        </w:rPr>
        <w:t>℃，密度：0</w:t>
      </w:r>
      <w:r>
        <w:rPr>
          <w:rFonts w:ascii="宋体" w:cs="宋体"/>
          <w:color w:val="auto"/>
          <w:kern w:val="0"/>
          <w:sz w:val="28"/>
          <w:szCs w:val="28"/>
        </w:rPr>
        <w:t>.9639</w:t>
      </w:r>
      <w:r>
        <w:rPr>
          <w:rFonts w:hint="eastAsia" w:ascii="宋体" w:cs="宋体"/>
          <w:color w:val="auto"/>
          <w:kern w:val="0"/>
          <w:sz w:val="28"/>
          <w:szCs w:val="28"/>
        </w:rPr>
        <w:t>，易溶于水、氯仿、苯、醋酸乙酯、吡啶，能溶于乙醇、丙酮，不溶于水。吸入：如果吸入，请将患者移到新鲜空气处。皮肤接触：脱去污染的衣着，用肥皂水和清水彻底冲洗皮肤。如有不适感，就医。眼晴接触：分开眼睑，用流动清水或生理盐水冲洗。立即就医。食入：漱口，禁止催吐。立即就医。</w:t>
      </w:r>
    </w:p>
    <w:p>
      <w:pPr>
        <w:widowControl/>
        <w:ind w:firstLine="560" w:firstLineChars="200"/>
        <w:rPr>
          <w:rFonts w:ascii="宋体" w:cs="宋体"/>
          <w:color w:val="auto"/>
          <w:kern w:val="0"/>
          <w:sz w:val="28"/>
          <w:szCs w:val="28"/>
        </w:rPr>
      </w:pPr>
      <w:r>
        <w:rPr>
          <w:rFonts w:hint="eastAsia" w:ascii="宋体" w:cs="宋体"/>
          <w:color w:val="auto"/>
          <w:kern w:val="0"/>
          <w:sz w:val="28"/>
          <w:szCs w:val="28"/>
        </w:rPr>
        <w:t>9）碳酸氢钾</w:t>
      </w:r>
    </w:p>
    <w:p>
      <w:pPr>
        <w:widowControl/>
        <w:ind w:firstLine="560" w:firstLineChars="200"/>
        <w:rPr>
          <w:rFonts w:ascii="宋体" w:cs="宋体"/>
          <w:color w:val="auto"/>
          <w:kern w:val="0"/>
          <w:sz w:val="28"/>
          <w:szCs w:val="28"/>
        </w:rPr>
      </w:pPr>
      <w:r>
        <w:rPr>
          <w:rFonts w:ascii="宋体" w:cs="宋体"/>
          <w:color w:val="auto"/>
          <w:kern w:val="0"/>
          <w:sz w:val="28"/>
          <w:szCs w:val="28"/>
        </w:rPr>
        <w:t>碳酸氢钾，英文名称为Potassium bicarbonate，中文别名为重碳酸钾，CAS号为298-14-6，分子式为KHCO3，分子量为100.114，用作生产碳酸钾、醋酸钾、亚砷酸钾等的原料，亦用于医药、食品、灭火剂等行业。作酸度调节剂和化学膨松剂，我国规定可用于各类需添加膨松剂的食品，按生产需要适量使用。可作石油和化学品之灭火剂。也可用于医药、焙粉。作酸度调节剂和化学膨松剂，我国规定可用于各类需添加膨松剂的食品，按生产需要适量使用。</w:t>
      </w:r>
      <w:r>
        <w:rPr>
          <w:rFonts w:hint="eastAsia" w:ascii="宋体" w:cs="宋体"/>
          <w:color w:val="auto"/>
          <w:kern w:val="0"/>
          <w:sz w:val="28"/>
          <w:szCs w:val="28"/>
        </w:rPr>
        <w:t>可用于</w:t>
      </w:r>
      <w:r>
        <w:rPr>
          <w:rFonts w:ascii="宋体" w:cs="宋体"/>
          <w:color w:val="auto"/>
          <w:kern w:val="0"/>
          <w:sz w:val="28"/>
          <w:szCs w:val="28"/>
        </w:rPr>
        <w:t>补充钾，用于治疗低钾症。</w:t>
      </w:r>
      <w:r>
        <w:rPr>
          <w:rFonts w:hint="eastAsia" w:ascii="宋体" w:cs="宋体"/>
          <w:color w:val="auto"/>
          <w:kern w:val="0"/>
          <w:sz w:val="28"/>
          <w:szCs w:val="28"/>
        </w:rPr>
        <w:t>可</w:t>
      </w:r>
      <w:r>
        <w:rPr>
          <w:rFonts w:ascii="宋体" w:cs="宋体"/>
          <w:color w:val="auto"/>
          <w:kern w:val="0"/>
          <w:sz w:val="28"/>
          <w:szCs w:val="28"/>
        </w:rPr>
        <w:t>用作碱性剂、膨松剂、营养增补剂、赋形剂及ｐＨ调节剂。可用作加工助剂。可用于软饮料、焙烧食品等。</w:t>
      </w:r>
      <w:r>
        <w:rPr>
          <w:rFonts w:hint="eastAsia" w:ascii="宋体" w:cs="宋体"/>
          <w:color w:val="auto"/>
          <w:kern w:val="0"/>
          <w:sz w:val="28"/>
          <w:szCs w:val="28"/>
        </w:rPr>
        <w:t>可</w:t>
      </w:r>
      <w:r>
        <w:rPr>
          <w:rFonts w:ascii="宋体" w:cs="宋体"/>
          <w:color w:val="auto"/>
          <w:kern w:val="0"/>
          <w:sz w:val="28"/>
          <w:szCs w:val="28"/>
        </w:rPr>
        <w:t>用作分析试剂。发泡剂。</w:t>
      </w:r>
    </w:p>
    <w:p>
      <w:pPr>
        <w:widowControl/>
        <w:ind w:firstLine="560" w:firstLineChars="200"/>
        <w:rPr>
          <w:rFonts w:ascii="宋体" w:cs="宋体"/>
          <w:color w:val="auto"/>
          <w:kern w:val="0"/>
          <w:sz w:val="28"/>
          <w:szCs w:val="28"/>
        </w:rPr>
      </w:pPr>
      <w:r>
        <w:rPr>
          <w:rFonts w:hint="eastAsia" w:ascii="宋体" w:cs="宋体"/>
          <w:color w:val="auto"/>
          <w:kern w:val="0"/>
          <w:sz w:val="28"/>
          <w:szCs w:val="28"/>
        </w:rPr>
        <w:t>1</w:t>
      </w:r>
      <w:r>
        <w:rPr>
          <w:rFonts w:ascii="宋体" w:cs="宋体"/>
          <w:color w:val="auto"/>
          <w:kern w:val="0"/>
          <w:sz w:val="28"/>
          <w:szCs w:val="28"/>
        </w:rPr>
        <w:t>0</w:t>
      </w:r>
      <w:r>
        <w:rPr>
          <w:rFonts w:hint="eastAsia" w:ascii="宋体" w:cs="宋体"/>
          <w:color w:val="auto"/>
          <w:kern w:val="0"/>
          <w:sz w:val="28"/>
          <w:szCs w:val="28"/>
        </w:rPr>
        <w:t>）溴化钠</w:t>
      </w:r>
    </w:p>
    <w:p>
      <w:pPr>
        <w:pStyle w:val="27"/>
        <w:shd w:val="clear" w:color="auto" w:fill="FFFFFF"/>
        <w:spacing w:before="0" w:beforeAutospacing="0" w:after="225" w:afterAutospacing="0" w:line="360" w:lineRule="atLeast"/>
        <w:ind w:firstLine="420"/>
        <w:rPr>
          <w:rFonts w:hAnsi="Times New Roman" w:cs="宋体"/>
          <w:color w:val="auto"/>
          <w:sz w:val="28"/>
          <w:szCs w:val="28"/>
        </w:rPr>
      </w:pPr>
      <w:r>
        <w:rPr>
          <w:rFonts w:hAnsi="Times New Roman" w:cs="宋体"/>
          <w:color w:val="auto"/>
          <w:sz w:val="28"/>
          <w:szCs w:val="28"/>
        </w:rPr>
        <w:t>溴化钠，无色立方晶系晶体或白色颗粒状粉末。无臭，味咸而微苦。</w:t>
      </w:r>
      <w:r>
        <w:rPr>
          <w:color w:val="auto"/>
        </w:rPr>
        <w:fldChar w:fldCharType="begin"/>
      </w:r>
      <w:r>
        <w:rPr>
          <w:color w:val="auto"/>
        </w:rPr>
        <w:instrText xml:space="preserve"> HYPERLINK "https://baike.so.com/doc/4210704-4411860.html" \t "_blank" </w:instrText>
      </w:r>
      <w:r>
        <w:rPr>
          <w:color w:val="auto"/>
        </w:rPr>
        <w:fldChar w:fldCharType="separate"/>
      </w:r>
      <w:r>
        <w:rPr>
          <w:rFonts w:hAnsi="Times New Roman" w:cs="宋体"/>
          <w:color w:val="auto"/>
          <w:sz w:val="28"/>
          <w:szCs w:val="28"/>
        </w:rPr>
        <w:t>密度</w:t>
      </w:r>
      <w:r>
        <w:rPr>
          <w:rFonts w:hAnsi="Times New Roman" w:cs="宋体"/>
          <w:color w:val="auto"/>
          <w:sz w:val="28"/>
          <w:szCs w:val="28"/>
        </w:rPr>
        <w:fldChar w:fldCharType="end"/>
      </w:r>
      <w:r>
        <w:rPr>
          <w:rFonts w:hAnsi="Times New Roman" w:cs="宋体"/>
          <w:color w:val="auto"/>
          <w:sz w:val="28"/>
          <w:szCs w:val="28"/>
        </w:rPr>
        <w:t>：3.203 g/mL （25</w:t>
      </w:r>
      <w:r>
        <w:rPr>
          <w:rFonts w:hint="eastAsia" w:hAnsi="Times New Roman" w:cs="宋体"/>
          <w:color w:val="auto"/>
          <w:sz w:val="28"/>
          <w:szCs w:val="28"/>
        </w:rPr>
        <w:t>℃</w:t>
      </w:r>
      <w:r>
        <w:rPr>
          <w:rFonts w:hAnsi="Times New Roman" w:cs="宋体"/>
          <w:color w:val="auto"/>
          <w:sz w:val="28"/>
          <w:szCs w:val="28"/>
        </w:rPr>
        <w:t>）</w:t>
      </w:r>
      <w:r>
        <w:rPr>
          <w:rFonts w:hint="eastAsia" w:hAnsi="Times New Roman" w:cs="宋体"/>
          <w:color w:val="auto"/>
          <w:sz w:val="28"/>
          <w:szCs w:val="28"/>
        </w:rPr>
        <w:t>，</w:t>
      </w:r>
      <w:r>
        <w:rPr>
          <w:rFonts w:hAnsi="Times New Roman" w:cs="宋体"/>
          <w:color w:val="auto"/>
          <w:sz w:val="28"/>
          <w:szCs w:val="28"/>
        </w:rPr>
        <w:t>熔点：755 ºC</w:t>
      </w:r>
      <w:r>
        <w:rPr>
          <w:rFonts w:hint="eastAsia" w:hAnsi="Times New Roman" w:cs="宋体"/>
          <w:color w:val="auto"/>
          <w:sz w:val="28"/>
          <w:szCs w:val="28"/>
        </w:rPr>
        <w:t>，</w:t>
      </w:r>
      <w:r>
        <w:rPr>
          <w:rFonts w:hAnsi="Times New Roman" w:cs="宋体"/>
          <w:color w:val="auto"/>
          <w:sz w:val="28"/>
          <w:szCs w:val="28"/>
        </w:rPr>
        <w:fldChar w:fldCharType="begin"/>
      </w:r>
      <w:r>
        <w:rPr>
          <w:rFonts w:hAnsi="Times New Roman" w:cs="宋体"/>
          <w:color w:val="auto"/>
          <w:sz w:val="28"/>
          <w:szCs w:val="28"/>
        </w:rPr>
        <w:instrText xml:space="preserve"> HYPERLINK "https://baike.so.com/doc/5567907-5783065.html" \t "_blank" </w:instrText>
      </w:r>
      <w:r>
        <w:rPr>
          <w:rFonts w:hAnsi="Times New Roman" w:cs="宋体"/>
          <w:color w:val="auto"/>
          <w:sz w:val="28"/>
          <w:szCs w:val="28"/>
        </w:rPr>
        <w:fldChar w:fldCharType="separate"/>
      </w:r>
      <w:r>
        <w:rPr>
          <w:rFonts w:hAnsi="Times New Roman" w:cs="宋体"/>
          <w:color w:val="auto"/>
          <w:sz w:val="28"/>
          <w:szCs w:val="28"/>
        </w:rPr>
        <w:t>沸点</w:t>
      </w:r>
      <w:r>
        <w:rPr>
          <w:rFonts w:hAnsi="Times New Roman" w:cs="宋体"/>
          <w:color w:val="auto"/>
          <w:sz w:val="28"/>
          <w:szCs w:val="28"/>
        </w:rPr>
        <w:fldChar w:fldCharType="end"/>
      </w:r>
      <w:r>
        <w:rPr>
          <w:rFonts w:hAnsi="Times New Roman" w:cs="宋体"/>
          <w:color w:val="auto"/>
          <w:sz w:val="28"/>
          <w:szCs w:val="28"/>
        </w:rPr>
        <w:t>：1390</w:t>
      </w:r>
      <w:r>
        <w:rPr>
          <w:rFonts w:hint="eastAsia" w:hAnsi="Times New Roman" w:cs="宋体"/>
          <w:color w:val="auto"/>
          <w:sz w:val="28"/>
          <w:szCs w:val="28"/>
        </w:rPr>
        <w:t>℃</w:t>
      </w:r>
      <w:r>
        <w:rPr>
          <w:rFonts w:hAnsi="Times New Roman" w:cs="宋体"/>
          <w:color w:val="auto"/>
          <w:sz w:val="28"/>
          <w:szCs w:val="28"/>
        </w:rPr>
        <w:t>（常压）。</w:t>
      </w:r>
      <w:r>
        <w:rPr>
          <w:rFonts w:hAnsi="Times New Roman" w:cs="宋体"/>
          <w:color w:val="auto"/>
          <w:sz w:val="28"/>
          <w:szCs w:val="28"/>
        </w:rPr>
        <w:fldChar w:fldCharType="begin"/>
      </w:r>
      <w:r>
        <w:rPr>
          <w:rFonts w:hAnsi="Times New Roman" w:cs="宋体"/>
          <w:color w:val="auto"/>
          <w:sz w:val="28"/>
          <w:szCs w:val="28"/>
        </w:rPr>
        <w:instrText xml:space="preserve"> HYPERLINK "https://baike.so.com/doc/4729804-4944678.html" \t "_blank" </w:instrText>
      </w:r>
      <w:r>
        <w:rPr>
          <w:rFonts w:hAnsi="Times New Roman" w:cs="宋体"/>
          <w:color w:val="auto"/>
          <w:sz w:val="28"/>
          <w:szCs w:val="28"/>
        </w:rPr>
        <w:fldChar w:fldCharType="separate"/>
      </w:r>
      <w:r>
        <w:rPr>
          <w:rFonts w:hAnsi="Times New Roman" w:cs="宋体"/>
          <w:color w:val="auto"/>
          <w:sz w:val="28"/>
          <w:szCs w:val="28"/>
        </w:rPr>
        <w:t>折射率</w:t>
      </w:r>
      <w:r>
        <w:rPr>
          <w:rFonts w:hAnsi="Times New Roman" w:cs="宋体"/>
          <w:color w:val="auto"/>
          <w:sz w:val="28"/>
          <w:szCs w:val="28"/>
        </w:rPr>
        <w:fldChar w:fldCharType="end"/>
      </w:r>
      <w:r>
        <w:rPr>
          <w:rFonts w:hAnsi="Times New Roman" w:cs="宋体"/>
          <w:color w:val="auto"/>
          <w:sz w:val="28"/>
          <w:szCs w:val="28"/>
        </w:rPr>
        <w:t>：1.6412</w:t>
      </w:r>
      <w:r>
        <w:rPr>
          <w:rFonts w:hint="eastAsia" w:hAnsi="Times New Roman" w:cs="宋体"/>
          <w:color w:val="auto"/>
          <w:sz w:val="28"/>
          <w:szCs w:val="28"/>
        </w:rPr>
        <w:t>，</w:t>
      </w:r>
      <w:r>
        <w:rPr>
          <w:rFonts w:hAnsi="Times New Roman" w:cs="宋体"/>
          <w:color w:val="auto"/>
          <w:sz w:val="28"/>
          <w:szCs w:val="28"/>
        </w:rPr>
        <w:t>闪点：1390 ºC。溶解性：易溶于水（100</w:t>
      </w:r>
      <w:r>
        <w:rPr>
          <w:rFonts w:hint="eastAsia" w:hAnsi="Times New Roman" w:cs="宋体"/>
          <w:color w:val="auto"/>
          <w:sz w:val="28"/>
          <w:szCs w:val="28"/>
        </w:rPr>
        <w:t>℃</w:t>
      </w:r>
      <w:r>
        <w:rPr>
          <w:rFonts w:hAnsi="Times New Roman" w:cs="宋体"/>
          <w:color w:val="auto"/>
          <w:sz w:val="28"/>
          <w:szCs w:val="28"/>
        </w:rPr>
        <w:t>时溶解度为121g/100ml水），水溶液呈中性。微溶于醇。主要用于感光工业用于配制胶片感光液；医药上用于生产利尿剂和镇静剂；香料工业中用于生产合成香料；印染工业中用作溴化剂。</w:t>
      </w:r>
    </w:p>
    <w:p>
      <w:pPr>
        <w:widowControl/>
        <w:ind w:firstLine="560" w:firstLineChars="200"/>
        <w:rPr>
          <w:rFonts w:ascii="宋体" w:cs="宋体"/>
          <w:color w:val="auto"/>
          <w:kern w:val="0"/>
          <w:sz w:val="28"/>
          <w:szCs w:val="28"/>
        </w:rPr>
      </w:pPr>
      <w:r>
        <w:rPr>
          <w:rFonts w:hint="eastAsia" w:ascii="宋体" w:cs="宋体"/>
          <w:color w:val="auto"/>
          <w:kern w:val="0"/>
          <w:sz w:val="28"/>
          <w:szCs w:val="28"/>
        </w:rPr>
        <w:t>1</w:t>
      </w:r>
      <w:r>
        <w:rPr>
          <w:rFonts w:ascii="宋体" w:cs="宋体"/>
          <w:color w:val="auto"/>
          <w:kern w:val="0"/>
          <w:sz w:val="28"/>
          <w:szCs w:val="28"/>
        </w:rPr>
        <w:t>1</w:t>
      </w:r>
      <w:r>
        <w:rPr>
          <w:rFonts w:hint="eastAsia" w:ascii="宋体" w:cs="宋体"/>
          <w:color w:val="auto"/>
          <w:kern w:val="0"/>
          <w:sz w:val="28"/>
          <w:szCs w:val="28"/>
        </w:rPr>
        <w:t>）碳酸钾</w:t>
      </w:r>
    </w:p>
    <w:p>
      <w:pPr>
        <w:widowControl/>
        <w:ind w:firstLine="560" w:firstLineChars="200"/>
        <w:rPr>
          <w:rFonts w:ascii="宋体" w:cs="宋体"/>
          <w:color w:val="auto"/>
          <w:kern w:val="0"/>
          <w:sz w:val="28"/>
          <w:szCs w:val="28"/>
        </w:rPr>
      </w:pPr>
      <w:r>
        <w:rPr>
          <w:rFonts w:ascii="宋体" w:cs="宋体"/>
          <w:color w:val="auto"/>
          <w:kern w:val="0"/>
          <w:sz w:val="28"/>
          <w:szCs w:val="28"/>
        </w:rPr>
        <w:t>碳酸钾，白色结晶粉末。</w:t>
      </w:r>
      <w:r>
        <w:rPr>
          <w:color w:val="auto"/>
        </w:rPr>
        <w:fldChar w:fldCharType="begin"/>
      </w:r>
      <w:r>
        <w:rPr>
          <w:color w:val="auto"/>
        </w:rPr>
        <w:instrText xml:space="preserve"> HYPERLINK "https://baike.so.com/doc/4210704-4411860.html" \t "_blank" </w:instrText>
      </w:r>
      <w:r>
        <w:rPr>
          <w:color w:val="auto"/>
        </w:rPr>
        <w:fldChar w:fldCharType="separate"/>
      </w:r>
      <w:r>
        <w:rPr>
          <w:rFonts w:ascii="宋体" w:cs="宋体"/>
          <w:color w:val="auto"/>
          <w:kern w:val="0"/>
          <w:sz w:val="28"/>
          <w:szCs w:val="28"/>
        </w:rPr>
        <w:t>密度</w:t>
      </w:r>
      <w:r>
        <w:rPr>
          <w:rFonts w:ascii="宋体" w:cs="宋体"/>
          <w:color w:val="auto"/>
          <w:kern w:val="0"/>
          <w:sz w:val="28"/>
          <w:szCs w:val="28"/>
        </w:rPr>
        <w:fldChar w:fldCharType="end"/>
      </w:r>
      <w:r>
        <w:rPr>
          <w:rFonts w:ascii="宋体" w:cs="宋体"/>
          <w:color w:val="auto"/>
          <w:kern w:val="0"/>
          <w:sz w:val="28"/>
          <w:szCs w:val="28"/>
        </w:rPr>
        <w:t>2.428g/cm3。</w:t>
      </w:r>
      <w:r>
        <w:rPr>
          <w:rFonts w:ascii="宋体" w:cs="宋体"/>
          <w:color w:val="auto"/>
          <w:kern w:val="0"/>
          <w:sz w:val="28"/>
          <w:szCs w:val="28"/>
        </w:rPr>
        <w:fldChar w:fldCharType="begin"/>
      </w:r>
      <w:r>
        <w:rPr>
          <w:rFonts w:ascii="宋体" w:cs="宋体"/>
          <w:color w:val="auto"/>
          <w:kern w:val="0"/>
          <w:sz w:val="28"/>
          <w:szCs w:val="28"/>
        </w:rPr>
        <w:instrText xml:space="preserve"> HYPERLINK "https://baike.so.com/doc/367780-389604.html" \t "_blank" </w:instrText>
      </w:r>
      <w:r>
        <w:rPr>
          <w:rFonts w:ascii="宋体" w:cs="宋体"/>
          <w:color w:val="auto"/>
          <w:kern w:val="0"/>
          <w:sz w:val="28"/>
          <w:szCs w:val="28"/>
        </w:rPr>
        <w:fldChar w:fldCharType="separate"/>
      </w:r>
      <w:r>
        <w:rPr>
          <w:rFonts w:ascii="宋体" w:cs="宋体"/>
          <w:color w:val="auto"/>
          <w:kern w:val="0"/>
          <w:sz w:val="28"/>
          <w:szCs w:val="28"/>
        </w:rPr>
        <w:t>熔点</w:t>
      </w:r>
      <w:r>
        <w:rPr>
          <w:rFonts w:ascii="宋体" w:cs="宋体"/>
          <w:color w:val="auto"/>
          <w:kern w:val="0"/>
          <w:sz w:val="28"/>
          <w:szCs w:val="28"/>
        </w:rPr>
        <w:fldChar w:fldCharType="end"/>
      </w:r>
      <w:r>
        <w:rPr>
          <w:rFonts w:ascii="宋体" w:cs="宋体"/>
          <w:color w:val="auto"/>
          <w:kern w:val="0"/>
          <w:sz w:val="28"/>
          <w:szCs w:val="28"/>
        </w:rPr>
        <w:t>891</w:t>
      </w:r>
      <w:r>
        <w:rPr>
          <w:rFonts w:hint="eastAsia" w:ascii="宋体" w:cs="宋体"/>
          <w:color w:val="auto"/>
          <w:kern w:val="0"/>
          <w:sz w:val="28"/>
          <w:szCs w:val="28"/>
        </w:rPr>
        <w:t>℃</w:t>
      </w:r>
      <w:r>
        <w:rPr>
          <w:rFonts w:ascii="宋体" w:cs="宋体"/>
          <w:color w:val="auto"/>
          <w:kern w:val="0"/>
          <w:sz w:val="28"/>
          <w:szCs w:val="28"/>
        </w:rPr>
        <w:t>，</w:t>
      </w:r>
      <w:r>
        <w:rPr>
          <w:color w:val="auto"/>
        </w:rPr>
        <w:fldChar w:fldCharType="begin"/>
      </w:r>
      <w:r>
        <w:rPr>
          <w:color w:val="auto"/>
        </w:rPr>
        <w:instrText xml:space="preserve"> HYPERLINK "https://baike.so.com/doc/5567907-5783065.html" \t "_blank" </w:instrText>
      </w:r>
      <w:r>
        <w:rPr>
          <w:color w:val="auto"/>
        </w:rPr>
        <w:fldChar w:fldCharType="separate"/>
      </w:r>
      <w:r>
        <w:rPr>
          <w:rFonts w:ascii="宋体" w:cs="宋体"/>
          <w:color w:val="auto"/>
          <w:kern w:val="0"/>
          <w:sz w:val="28"/>
          <w:szCs w:val="28"/>
        </w:rPr>
        <w:t>沸点</w:t>
      </w:r>
      <w:r>
        <w:rPr>
          <w:rFonts w:ascii="宋体" w:cs="宋体"/>
          <w:color w:val="auto"/>
          <w:kern w:val="0"/>
          <w:sz w:val="28"/>
          <w:szCs w:val="28"/>
        </w:rPr>
        <w:fldChar w:fldCharType="end"/>
      </w:r>
      <w:r>
        <w:rPr>
          <w:rFonts w:ascii="宋体" w:cs="宋体"/>
          <w:color w:val="auto"/>
          <w:kern w:val="0"/>
          <w:sz w:val="28"/>
          <w:szCs w:val="28"/>
        </w:rPr>
        <w:t>时分解，相对分子量138.21。溶于水，</w:t>
      </w:r>
      <w:r>
        <w:rPr>
          <w:color w:val="auto"/>
        </w:rPr>
        <w:fldChar w:fldCharType="begin"/>
      </w:r>
      <w:r>
        <w:rPr>
          <w:color w:val="auto"/>
        </w:rPr>
        <w:instrText xml:space="preserve"> HYPERLINK "https://baike.so.com/doc/6007054-6220039.html" \t "_blank" </w:instrText>
      </w:r>
      <w:r>
        <w:rPr>
          <w:color w:val="auto"/>
        </w:rPr>
        <w:fldChar w:fldCharType="separate"/>
      </w:r>
      <w:r>
        <w:rPr>
          <w:rFonts w:ascii="宋体" w:cs="宋体"/>
          <w:color w:val="auto"/>
          <w:kern w:val="0"/>
          <w:sz w:val="28"/>
          <w:szCs w:val="28"/>
        </w:rPr>
        <w:t>水溶液</w:t>
      </w:r>
      <w:r>
        <w:rPr>
          <w:rFonts w:ascii="宋体" w:cs="宋体"/>
          <w:color w:val="auto"/>
          <w:kern w:val="0"/>
          <w:sz w:val="28"/>
          <w:szCs w:val="28"/>
        </w:rPr>
        <w:fldChar w:fldCharType="end"/>
      </w:r>
      <w:r>
        <w:rPr>
          <w:rFonts w:ascii="宋体" w:cs="宋体"/>
          <w:color w:val="auto"/>
          <w:kern w:val="0"/>
          <w:sz w:val="28"/>
          <w:szCs w:val="28"/>
        </w:rPr>
        <w:t>呈碱性，不溶于</w:t>
      </w:r>
      <w:r>
        <w:rPr>
          <w:color w:val="auto"/>
        </w:rPr>
        <w:fldChar w:fldCharType="begin"/>
      </w:r>
      <w:r>
        <w:rPr>
          <w:color w:val="auto"/>
        </w:rPr>
        <w:instrText xml:space="preserve"> HYPERLINK "https://baike.so.com/doc/3036121-3200992.html" \t "_blank" </w:instrText>
      </w:r>
      <w:r>
        <w:rPr>
          <w:color w:val="auto"/>
        </w:rPr>
        <w:fldChar w:fldCharType="separate"/>
      </w:r>
      <w:r>
        <w:rPr>
          <w:rFonts w:ascii="宋体" w:cs="宋体"/>
          <w:color w:val="auto"/>
          <w:kern w:val="0"/>
          <w:sz w:val="28"/>
          <w:szCs w:val="28"/>
        </w:rPr>
        <w:t>乙醇</w:t>
      </w:r>
      <w:r>
        <w:rPr>
          <w:rFonts w:ascii="宋体" w:cs="宋体"/>
          <w:color w:val="auto"/>
          <w:kern w:val="0"/>
          <w:sz w:val="28"/>
          <w:szCs w:val="28"/>
        </w:rPr>
        <w:fldChar w:fldCharType="end"/>
      </w:r>
      <w:r>
        <w:rPr>
          <w:rFonts w:ascii="宋体" w:cs="宋体"/>
          <w:color w:val="auto"/>
          <w:kern w:val="0"/>
          <w:sz w:val="28"/>
          <w:szCs w:val="28"/>
        </w:rPr>
        <w:t>、</w:t>
      </w:r>
      <w:r>
        <w:rPr>
          <w:color w:val="auto"/>
        </w:rPr>
        <w:fldChar w:fldCharType="begin"/>
      </w:r>
      <w:r>
        <w:rPr>
          <w:color w:val="auto"/>
        </w:rPr>
        <w:instrText xml:space="preserve"> HYPERLINK "https://baike.so.com/doc/252057-266820.html" \t "_blank" </w:instrText>
      </w:r>
      <w:r>
        <w:rPr>
          <w:color w:val="auto"/>
        </w:rPr>
        <w:fldChar w:fldCharType="separate"/>
      </w:r>
      <w:r>
        <w:rPr>
          <w:rFonts w:ascii="宋体" w:cs="宋体"/>
          <w:color w:val="auto"/>
          <w:kern w:val="0"/>
          <w:sz w:val="28"/>
          <w:szCs w:val="28"/>
        </w:rPr>
        <w:t>丙酮</w:t>
      </w:r>
      <w:r>
        <w:rPr>
          <w:rFonts w:ascii="宋体" w:cs="宋体"/>
          <w:color w:val="auto"/>
          <w:kern w:val="0"/>
          <w:sz w:val="28"/>
          <w:szCs w:val="28"/>
        </w:rPr>
        <w:fldChar w:fldCharType="end"/>
      </w:r>
      <w:r>
        <w:rPr>
          <w:rFonts w:ascii="宋体" w:cs="宋体"/>
          <w:color w:val="auto"/>
          <w:kern w:val="0"/>
          <w:sz w:val="28"/>
          <w:szCs w:val="28"/>
        </w:rPr>
        <w:t>和乙醚。</w:t>
      </w:r>
      <w:r>
        <w:rPr>
          <w:color w:val="auto"/>
        </w:rPr>
        <w:fldChar w:fldCharType="begin"/>
      </w:r>
      <w:r>
        <w:rPr>
          <w:color w:val="auto"/>
        </w:rPr>
        <w:instrText xml:space="preserve"> HYPERLINK "https://baike.so.com/doc/6973798-7196487.html" \t "_blank" </w:instrText>
      </w:r>
      <w:r>
        <w:rPr>
          <w:color w:val="auto"/>
        </w:rPr>
        <w:fldChar w:fldCharType="separate"/>
      </w:r>
      <w:r>
        <w:rPr>
          <w:rFonts w:ascii="宋体" w:cs="宋体"/>
          <w:color w:val="auto"/>
          <w:kern w:val="0"/>
          <w:sz w:val="28"/>
          <w:szCs w:val="28"/>
        </w:rPr>
        <w:t>吸湿性</w:t>
      </w:r>
      <w:r>
        <w:rPr>
          <w:rFonts w:ascii="宋体" w:cs="宋体"/>
          <w:color w:val="auto"/>
          <w:kern w:val="0"/>
          <w:sz w:val="28"/>
          <w:szCs w:val="28"/>
        </w:rPr>
        <w:fldChar w:fldCharType="end"/>
      </w:r>
      <w:r>
        <w:rPr>
          <w:rFonts w:ascii="宋体" w:cs="宋体"/>
          <w:color w:val="auto"/>
          <w:kern w:val="0"/>
          <w:sz w:val="28"/>
          <w:szCs w:val="28"/>
        </w:rPr>
        <w:t>强，暴露在空气中能吸收</w:t>
      </w:r>
      <w:r>
        <w:rPr>
          <w:color w:val="auto"/>
        </w:rPr>
        <w:fldChar w:fldCharType="begin"/>
      </w:r>
      <w:r>
        <w:rPr>
          <w:color w:val="auto"/>
        </w:rPr>
        <w:instrText xml:space="preserve"> HYPERLINK "https://baike.so.com/doc/1320639-1396245.html" \t "_blank" </w:instrText>
      </w:r>
      <w:r>
        <w:rPr>
          <w:color w:val="auto"/>
        </w:rPr>
        <w:fldChar w:fldCharType="separate"/>
      </w:r>
      <w:r>
        <w:rPr>
          <w:rFonts w:ascii="宋体" w:cs="宋体"/>
          <w:color w:val="auto"/>
          <w:kern w:val="0"/>
          <w:sz w:val="28"/>
          <w:szCs w:val="28"/>
        </w:rPr>
        <w:t>二氧化碳</w:t>
      </w:r>
      <w:r>
        <w:rPr>
          <w:rFonts w:ascii="宋体" w:cs="宋体"/>
          <w:color w:val="auto"/>
          <w:kern w:val="0"/>
          <w:sz w:val="28"/>
          <w:szCs w:val="28"/>
        </w:rPr>
        <w:fldChar w:fldCharType="end"/>
      </w:r>
      <w:r>
        <w:rPr>
          <w:rFonts w:ascii="宋体" w:cs="宋体"/>
          <w:color w:val="auto"/>
          <w:kern w:val="0"/>
          <w:sz w:val="28"/>
          <w:szCs w:val="28"/>
        </w:rPr>
        <w:t>和水分，转变为</w:t>
      </w:r>
      <w:r>
        <w:rPr>
          <w:color w:val="auto"/>
        </w:rPr>
        <w:fldChar w:fldCharType="begin"/>
      </w:r>
      <w:r>
        <w:rPr>
          <w:color w:val="auto"/>
        </w:rPr>
        <w:instrText xml:space="preserve"> HYPERLINK "https://baike.so.com/doc/6851869-7069300.html" \t "_blank" </w:instrText>
      </w:r>
      <w:r>
        <w:rPr>
          <w:color w:val="auto"/>
        </w:rPr>
        <w:fldChar w:fldCharType="separate"/>
      </w:r>
      <w:r>
        <w:rPr>
          <w:rFonts w:ascii="宋体" w:cs="宋体"/>
          <w:color w:val="auto"/>
          <w:kern w:val="0"/>
          <w:sz w:val="28"/>
          <w:szCs w:val="28"/>
        </w:rPr>
        <w:t>碳酸氢钾</w:t>
      </w:r>
      <w:r>
        <w:rPr>
          <w:rFonts w:ascii="宋体" w:cs="宋体"/>
          <w:color w:val="auto"/>
          <w:kern w:val="0"/>
          <w:sz w:val="28"/>
          <w:szCs w:val="28"/>
        </w:rPr>
        <w:fldChar w:fldCharType="end"/>
      </w:r>
      <w:r>
        <w:rPr>
          <w:rFonts w:ascii="宋体" w:cs="宋体"/>
          <w:color w:val="auto"/>
          <w:kern w:val="0"/>
          <w:sz w:val="28"/>
          <w:szCs w:val="28"/>
        </w:rPr>
        <w:t>，应密封包装。水合物有一水物、二水物、三水物。碳酸钾水溶液呈碱性。不溶于乙醇及醚。</w:t>
      </w:r>
    </w:p>
    <w:p>
      <w:pPr>
        <w:widowControl/>
        <w:ind w:firstLine="560" w:firstLineChars="200"/>
        <w:rPr>
          <w:rFonts w:ascii="宋体" w:cs="宋体"/>
          <w:color w:val="auto"/>
          <w:kern w:val="0"/>
          <w:sz w:val="28"/>
          <w:szCs w:val="28"/>
        </w:rPr>
      </w:pPr>
      <w:r>
        <w:rPr>
          <w:rFonts w:hint="eastAsia" w:ascii="宋体" w:cs="宋体"/>
          <w:color w:val="auto"/>
          <w:kern w:val="0"/>
          <w:sz w:val="28"/>
          <w:szCs w:val="28"/>
        </w:rPr>
        <w:t>1</w:t>
      </w:r>
      <w:r>
        <w:rPr>
          <w:rFonts w:ascii="宋体" w:cs="宋体"/>
          <w:color w:val="auto"/>
          <w:kern w:val="0"/>
          <w:sz w:val="28"/>
          <w:szCs w:val="28"/>
        </w:rPr>
        <w:t>2</w:t>
      </w:r>
      <w:r>
        <w:rPr>
          <w:rFonts w:hint="eastAsia" w:ascii="宋体" w:cs="宋体"/>
          <w:color w:val="auto"/>
          <w:kern w:val="0"/>
          <w:sz w:val="28"/>
          <w:szCs w:val="28"/>
        </w:rPr>
        <w:t>）铁氰化钾</w:t>
      </w:r>
    </w:p>
    <w:p>
      <w:pPr>
        <w:pStyle w:val="27"/>
        <w:shd w:val="clear" w:color="auto" w:fill="FFFFFF"/>
        <w:spacing w:before="0" w:beforeAutospacing="0" w:after="225" w:afterAutospacing="0" w:line="360" w:lineRule="atLeast"/>
        <w:ind w:firstLine="420"/>
        <w:jc w:val="both"/>
        <w:rPr>
          <w:rFonts w:hAnsi="Times New Roman" w:cs="宋体"/>
          <w:color w:val="auto"/>
          <w:sz w:val="28"/>
          <w:szCs w:val="28"/>
        </w:rPr>
      </w:pPr>
      <w:r>
        <w:rPr>
          <w:rFonts w:hAnsi="Times New Roman" w:cs="宋体"/>
          <w:color w:val="auto"/>
          <w:sz w:val="28"/>
          <w:szCs w:val="28"/>
        </w:rPr>
        <w:t>铁氰化钾，即六氰合铁酸钾，</w:t>
      </w:r>
      <w:r>
        <w:rPr>
          <w:color w:val="auto"/>
        </w:rPr>
        <w:fldChar w:fldCharType="begin"/>
      </w:r>
      <w:r>
        <w:rPr>
          <w:color w:val="auto"/>
        </w:rPr>
        <w:instrText xml:space="preserve"> HYPERLINK "https://baike.so.com/doc/4688054-4901976.html" \t "_blank" </w:instrText>
      </w:r>
      <w:r>
        <w:rPr>
          <w:color w:val="auto"/>
        </w:rPr>
        <w:fldChar w:fldCharType="separate"/>
      </w:r>
      <w:r>
        <w:rPr>
          <w:rFonts w:hAnsi="Times New Roman" w:cs="宋体"/>
          <w:color w:val="auto"/>
          <w:sz w:val="28"/>
          <w:szCs w:val="28"/>
        </w:rPr>
        <w:t>无机化合物</w:t>
      </w:r>
      <w:r>
        <w:rPr>
          <w:rFonts w:hAnsi="Times New Roman" w:cs="宋体"/>
          <w:color w:val="auto"/>
          <w:sz w:val="28"/>
          <w:szCs w:val="28"/>
        </w:rPr>
        <w:fldChar w:fldCharType="end"/>
      </w:r>
      <w:r>
        <w:rPr>
          <w:rFonts w:hAnsi="Times New Roman" w:cs="宋体"/>
          <w:color w:val="auto"/>
          <w:sz w:val="28"/>
          <w:szCs w:val="28"/>
        </w:rPr>
        <w:t>，化学式为K3[Fe(CN)6]，俗称赤血盐、赤血盐钾。 该物质的摩尔质量329.24 g·mol，固体密度为1.89 g/cm。该亮红色固体盐可溶于水，水溶液带有黄绿色荧光，含有[Fe(CN)6]配离子，其他阴离子为亚铁氰化钾。主要应用于照相纸、颜料、制革、印刷、制药、肥料、媒染剂、电镀、造纸、钢铁等工业，化学上常用来检验二价铁离子。 该物质的</w:t>
      </w:r>
      <w:r>
        <w:rPr>
          <w:color w:val="auto"/>
        </w:rPr>
        <w:fldChar w:fldCharType="begin"/>
      </w:r>
      <w:r>
        <w:rPr>
          <w:color w:val="auto"/>
        </w:rPr>
        <w:instrText xml:space="preserve"> HYPERLINK "https://baike.so.com/doc/6352287-6565916.html" \t "_blank" </w:instrText>
      </w:r>
      <w:r>
        <w:rPr>
          <w:color w:val="auto"/>
        </w:rPr>
        <w:fldChar w:fldCharType="separate"/>
      </w:r>
      <w:r>
        <w:rPr>
          <w:rFonts w:hAnsi="Times New Roman" w:cs="宋体"/>
          <w:color w:val="auto"/>
          <w:sz w:val="28"/>
          <w:szCs w:val="28"/>
        </w:rPr>
        <w:t>中心原子</w:t>
      </w:r>
      <w:r>
        <w:rPr>
          <w:rFonts w:hAnsi="Times New Roman" w:cs="宋体"/>
          <w:color w:val="auto"/>
          <w:sz w:val="28"/>
          <w:szCs w:val="28"/>
        </w:rPr>
        <w:fldChar w:fldCharType="end"/>
      </w:r>
      <w:r>
        <w:rPr>
          <w:rFonts w:hAnsi="Times New Roman" w:cs="宋体"/>
          <w:color w:val="auto"/>
          <w:sz w:val="28"/>
          <w:szCs w:val="28"/>
        </w:rPr>
        <w:t>是Fe，配位体是CN，</w:t>
      </w:r>
      <w:r>
        <w:rPr>
          <w:rFonts w:hAnsi="Times New Roman" w:cs="宋体"/>
          <w:color w:val="auto"/>
          <w:sz w:val="28"/>
          <w:szCs w:val="28"/>
        </w:rPr>
        <w:fldChar w:fldCharType="begin"/>
      </w:r>
      <w:r>
        <w:rPr>
          <w:rFonts w:hAnsi="Times New Roman" w:cs="宋体"/>
          <w:color w:val="auto"/>
          <w:sz w:val="28"/>
          <w:szCs w:val="28"/>
        </w:rPr>
        <w:instrText xml:space="preserve"> HYPERLINK "https://baike.so.com/doc/5625465-5838084.html" \t "_blank" </w:instrText>
      </w:r>
      <w:r>
        <w:rPr>
          <w:rFonts w:hAnsi="Times New Roman" w:cs="宋体"/>
          <w:color w:val="auto"/>
          <w:sz w:val="28"/>
          <w:szCs w:val="28"/>
        </w:rPr>
        <w:fldChar w:fldCharType="separate"/>
      </w:r>
      <w:r>
        <w:rPr>
          <w:rFonts w:hAnsi="Times New Roman" w:cs="宋体"/>
          <w:color w:val="auto"/>
          <w:sz w:val="28"/>
          <w:szCs w:val="28"/>
        </w:rPr>
        <w:t>配位数</w:t>
      </w:r>
      <w:r>
        <w:rPr>
          <w:rFonts w:hAnsi="Times New Roman" w:cs="宋体"/>
          <w:color w:val="auto"/>
          <w:sz w:val="28"/>
          <w:szCs w:val="28"/>
        </w:rPr>
        <w:fldChar w:fldCharType="end"/>
      </w:r>
      <w:r>
        <w:rPr>
          <w:rFonts w:hAnsi="Times New Roman" w:cs="宋体"/>
          <w:color w:val="auto"/>
          <w:sz w:val="28"/>
          <w:szCs w:val="28"/>
        </w:rPr>
        <w:t>为6，</w:t>
      </w:r>
      <w:r>
        <w:rPr>
          <w:rFonts w:hAnsi="Times New Roman" w:cs="宋体"/>
          <w:color w:val="auto"/>
          <w:sz w:val="28"/>
          <w:szCs w:val="28"/>
        </w:rPr>
        <w:fldChar w:fldCharType="begin"/>
      </w:r>
      <w:r>
        <w:rPr>
          <w:rFonts w:hAnsi="Times New Roman" w:cs="宋体"/>
          <w:color w:val="auto"/>
          <w:sz w:val="28"/>
          <w:szCs w:val="28"/>
        </w:rPr>
        <w:instrText xml:space="preserve"> HYPERLINK "https://baike.so.com/doc/1284382-1358081.html" \t "_blank" </w:instrText>
      </w:r>
      <w:r>
        <w:rPr>
          <w:rFonts w:hAnsi="Times New Roman" w:cs="宋体"/>
          <w:color w:val="auto"/>
          <w:sz w:val="28"/>
          <w:szCs w:val="28"/>
        </w:rPr>
        <w:fldChar w:fldCharType="separate"/>
      </w:r>
      <w:r>
        <w:rPr>
          <w:rFonts w:hAnsi="Times New Roman" w:cs="宋体"/>
          <w:color w:val="auto"/>
          <w:sz w:val="28"/>
          <w:szCs w:val="28"/>
        </w:rPr>
        <w:t>内界</w:t>
      </w:r>
      <w:r>
        <w:rPr>
          <w:rFonts w:hAnsi="Times New Roman" w:cs="宋体"/>
          <w:color w:val="auto"/>
          <w:sz w:val="28"/>
          <w:szCs w:val="28"/>
        </w:rPr>
        <w:fldChar w:fldCharType="end"/>
      </w:r>
      <w:r>
        <w:rPr>
          <w:rFonts w:hAnsi="Times New Roman" w:cs="宋体"/>
          <w:color w:val="auto"/>
          <w:sz w:val="28"/>
          <w:szCs w:val="28"/>
        </w:rPr>
        <w:t>是[Fe(CN)6]，</w:t>
      </w:r>
      <w:r>
        <w:rPr>
          <w:rFonts w:hAnsi="Times New Roman" w:cs="宋体"/>
          <w:color w:val="auto"/>
          <w:sz w:val="28"/>
          <w:szCs w:val="28"/>
        </w:rPr>
        <w:fldChar w:fldCharType="begin"/>
      </w:r>
      <w:r>
        <w:rPr>
          <w:rFonts w:hAnsi="Times New Roman" w:cs="宋体"/>
          <w:color w:val="auto"/>
          <w:sz w:val="28"/>
          <w:szCs w:val="28"/>
        </w:rPr>
        <w:instrText xml:space="preserve"> HYPERLINK "https://baike.so.com/doc/595531-630468.html" \t "_blank" </w:instrText>
      </w:r>
      <w:r>
        <w:rPr>
          <w:rFonts w:hAnsi="Times New Roman" w:cs="宋体"/>
          <w:color w:val="auto"/>
          <w:sz w:val="28"/>
          <w:szCs w:val="28"/>
        </w:rPr>
        <w:fldChar w:fldCharType="separate"/>
      </w:r>
      <w:r>
        <w:rPr>
          <w:rFonts w:hAnsi="Times New Roman" w:cs="宋体"/>
          <w:color w:val="auto"/>
          <w:sz w:val="28"/>
          <w:szCs w:val="28"/>
        </w:rPr>
        <w:t>外界</w:t>
      </w:r>
      <w:r>
        <w:rPr>
          <w:rFonts w:hAnsi="Times New Roman" w:cs="宋体"/>
          <w:color w:val="auto"/>
          <w:sz w:val="28"/>
          <w:szCs w:val="28"/>
        </w:rPr>
        <w:fldChar w:fldCharType="end"/>
      </w:r>
      <w:r>
        <w:rPr>
          <w:rFonts w:hAnsi="Times New Roman" w:cs="宋体"/>
          <w:color w:val="auto"/>
          <w:sz w:val="28"/>
          <w:szCs w:val="28"/>
        </w:rPr>
        <w:t>是K。</w:t>
      </w:r>
    </w:p>
    <w:p>
      <w:pPr>
        <w:pStyle w:val="27"/>
        <w:shd w:val="clear" w:color="auto" w:fill="FFFFFF"/>
        <w:spacing w:before="0" w:beforeAutospacing="0" w:after="225" w:afterAutospacing="0" w:line="360" w:lineRule="atLeast"/>
        <w:ind w:firstLine="420"/>
        <w:jc w:val="both"/>
        <w:rPr>
          <w:rFonts w:hAnsi="Times New Roman" w:cs="宋体"/>
          <w:color w:val="auto"/>
          <w:sz w:val="28"/>
          <w:szCs w:val="28"/>
        </w:rPr>
      </w:pPr>
      <w:r>
        <w:rPr>
          <w:rFonts w:hint="eastAsia" w:hAnsi="Times New Roman" w:cs="宋体"/>
          <w:color w:val="auto"/>
          <w:sz w:val="28"/>
          <w:szCs w:val="28"/>
        </w:rPr>
        <w:t>1</w:t>
      </w:r>
      <w:r>
        <w:rPr>
          <w:rFonts w:hAnsi="Times New Roman" w:cs="宋体"/>
          <w:color w:val="auto"/>
          <w:sz w:val="28"/>
          <w:szCs w:val="28"/>
        </w:rPr>
        <w:t>3</w:t>
      </w:r>
      <w:r>
        <w:rPr>
          <w:rFonts w:hint="eastAsia" w:hAnsi="Times New Roman" w:cs="宋体"/>
          <w:color w:val="auto"/>
          <w:sz w:val="28"/>
          <w:szCs w:val="28"/>
        </w:rPr>
        <w:t>）奎尼丁</w:t>
      </w:r>
    </w:p>
    <w:p>
      <w:pPr>
        <w:pStyle w:val="27"/>
        <w:shd w:val="clear" w:color="auto" w:fill="FFFFFF"/>
        <w:spacing w:before="0" w:beforeAutospacing="0" w:after="0" w:afterAutospacing="0" w:line="360" w:lineRule="auto"/>
        <w:ind w:firstLine="560" w:firstLineChars="200"/>
        <w:jc w:val="both"/>
        <w:rPr>
          <w:rFonts w:hAnsi="Times New Roman" w:cs="宋体"/>
          <w:color w:val="auto"/>
          <w:sz w:val="28"/>
          <w:szCs w:val="28"/>
        </w:rPr>
      </w:pPr>
      <w:r>
        <w:rPr>
          <w:rFonts w:hAnsi="Times New Roman" w:cs="宋体"/>
          <w:color w:val="auto"/>
          <w:sz w:val="28"/>
          <w:szCs w:val="28"/>
        </w:rPr>
        <w:t>中文名称:奎尼丁</w:t>
      </w:r>
      <w:r>
        <w:rPr>
          <w:rFonts w:hint="eastAsia" w:hAnsi="Times New Roman" w:cs="宋体"/>
          <w:color w:val="auto"/>
          <w:sz w:val="28"/>
          <w:szCs w:val="28"/>
        </w:rPr>
        <w:t>，</w:t>
      </w:r>
      <w:r>
        <w:rPr>
          <w:rFonts w:hAnsi="Times New Roman" w:cs="宋体"/>
          <w:color w:val="auto"/>
          <w:sz w:val="28"/>
          <w:szCs w:val="28"/>
        </w:rPr>
        <w:t>中文别名:异奎宁;异性金鸡钠碱;(+)-奎尼丁</w:t>
      </w:r>
      <w:r>
        <w:rPr>
          <w:rFonts w:hint="eastAsia" w:hAnsi="Times New Roman" w:cs="宋体"/>
          <w:color w:val="auto"/>
          <w:sz w:val="28"/>
          <w:szCs w:val="28"/>
        </w:rPr>
        <w:t>，</w:t>
      </w:r>
      <w:r>
        <w:rPr>
          <w:rFonts w:hAnsi="Times New Roman" w:cs="宋体"/>
          <w:color w:val="auto"/>
          <w:sz w:val="28"/>
          <w:szCs w:val="28"/>
        </w:rPr>
        <w:t>英文名称:Quinidine</w:t>
      </w:r>
      <w:r>
        <w:rPr>
          <w:rFonts w:hint="eastAsia" w:hAnsi="Times New Roman" w:cs="宋体"/>
          <w:color w:val="auto"/>
          <w:sz w:val="28"/>
          <w:szCs w:val="28"/>
        </w:rPr>
        <w:t>，</w:t>
      </w:r>
      <w:r>
        <w:rPr>
          <w:rFonts w:hAnsi="Times New Roman" w:cs="宋体"/>
          <w:color w:val="auto"/>
          <w:sz w:val="28"/>
          <w:szCs w:val="28"/>
        </w:rPr>
        <w:t>英文别名:Quinidine free base; (+)-Quindine; (9S)-6'-methoxycinchonan-9-ol; (9S)-6'-methoxycinchonan-1-ium-9-ol; (4beta,8alpha,9S)-9-hydroxy-6'-methoxycinchonan-1-ium; (4beta,9S)-9-hydroxy-6'-methoxycinchonan-1-ium; (8alpha,9S)-9-hydroxy-6'-methoxycinchonan-1-ium</w:t>
      </w:r>
      <w:r>
        <w:rPr>
          <w:rFonts w:hint="eastAsia" w:hAnsi="Times New Roman" w:cs="宋体"/>
          <w:color w:val="auto"/>
          <w:sz w:val="28"/>
          <w:szCs w:val="28"/>
        </w:rPr>
        <w:t>；</w:t>
      </w:r>
      <w:r>
        <w:rPr>
          <w:rFonts w:hAnsi="Times New Roman" w:cs="宋体"/>
          <w:color w:val="auto"/>
          <w:sz w:val="28"/>
          <w:szCs w:val="28"/>
        </w:rPr>
        <w:t>CAS:56-54-2</w:t>
      </w:r>
      <w:r>
        <w:rPr>
          <w:rFonts w:hint="eastAsia" w:hAnsi="Times New Roman" w:cs="宋体"/>
          <w:color w:val="auto"/>
          <w:sz w:val="28"/>
          <w:szCs w:val="28"/>
        </w:rPr>
        <w:t>，</w:t>
      </w:r>
      <w:r>
        <w:rPr>
          <w:rFonts w:hAnsi="Times New Roman" w:cs="宋体"/>
          <w:color w:val="auto"/>
          <w:sz w:val="28"/>
          <w:szCs w:val="28"/>
        </w:rPr>
        <w:t>分子式:C20H25N2O2</w:t>
      </w:r>
      <w:r>
        <w:rPr>
          <w:rFonts w:hint="eastAsia" w:hAnsi="Times New Roman" w:cs="宋体"/>
          <w:color w:val="auto"/>
          <w:sz w:val="28"/>
          <w:szCs w:val="28"/>
        </w:rPr>
        <w:t>，</w:t>
      </w:r>
      <w:r>
        <w:rPr>
          <w:rFonts w:hAnsi="Times New Roman" w:cs="宋体"/>
          <w:color w:val="auto"/>
          <w:sz w:val="28"/>
          <w:szCs w:val="28"/>
        </w:rPr>
        <w:t>分子量:325.4242</w:t>
      </w:r>
      <w:r>
        <w:rPr>
          <w:rFonts w:hint="eastAsia" w:hAnsi="Times New Roman" w:cs="宋体"/>
          <w:color w:val="auto"/>
          <w:sz w:val="28"/>
          <w:szCs w:val="28"/>
        </w:rPr>
        <w:t>。</w:t>
      </w:r>
      <w:r>
        <w:rPr>
          <w:rFonts w:hAnsi="Times New Roman" w:cs="宋体"/>
          <w:color w:val="auto"/>
          <w:sz w:val="28"/>
          <w:szCs w:val="28"/>
        </w:rPr>
        <w:t>为膜抑制性</w:t>
      </w:r>
      <w:r>
        <w:rPr>
          <w:color w:val="auto"/>
        </w:rPr>
        <w:fldChar w:fldCharType="begin"/>
      </w:r>
      <w:r>
        <w:rPr>
          <w:color w:val="auto"/>
        </w:rPr>
        <w:instrText xml:space="preserve"> HYPERLINK "https://baike.so.com/doc/6159599-6372817.html" \t "_blank" </w:instrText>
      </w:r>
      <w:r>
        <w:rPr>
          <w:color w:val="auto"/>
        </w:rPr>
        <w:fldChar w:fldCharType="separate"/>
      </w:r>
      <w:r>
        <w:rPr>
          <w:rFonts w:hAnsi="Times New Roman" w:cs="宋体"/>
          <w:color w:val="auto"/>
          <w:sz w:val="28"/>
          <w:szCs w:val="28"/>
        </w:rPr>
        <w:t>抗心律失常药</w:t>
      </w:r>
      <w:r>
        <w:rPr>
          <w:rFonts w:hAnsi="Times New Roman" w:cs="宋体"/>
          <w:color w:val="auto"/>
          <w:sz w:val="28"/>
          <w:szCs w:val="28"/>
        </w:rPr>
        <w:fldChar w:fldCharType="end"/>
      </w:r>
      <w:r>
        <w:rPr>
          <w:rFonts w:hAnsi="Times New Roman" w:cs="宋体"/>
          <w:color w:val="auto"/>
          <w:sz w:val="28"/>
          <w:szCs w:val="28"/>
        </w:rPr>
        <w:t>，能直接作用于心肌</w:t>
      </w:r>
      <w:r>
        <w:rPr>
          <w:color w:val="auto"/>
        </w:rPr>
        <w:fldChar w:fldCharType="begin"/>
      </w:r>
      <w:r>
        <w:rPr>
          <w:color w:val="auto"/>
        </w:rPr>
        <w:instrText xml:space="preserve"> HYPERLINK "https://baike.so.com/doc/3923804-4117984.html" \t "_blank" </w:instrText>
      </w:r>
      <w:r>
        <w:rPr>
          <w:color w:val="auto"/>
        </w:rPr>
        <w:fldChar w:fldCharType="separate"/>
      </w:r>
      <w:r>
        <w:rPr>
          <w:rFonts w:hAnsi="Times New Roman" w:cs="宋体"/>
          <w:color w:val="auto"/>
          <w:sz w:val="28"/>
          <w:szCs w:val="28"/>
        </w:rPr>
        <w:t>细胞</w:t>
      </w:r>
      <w:r>
        <w:rPr>
          <w:rFonts w:hAnsi="Times New Roman" w:cs="宋体"/>
          <w:color w:val="auto"/>
          <w:sz w:val="28"/>
          <w:szCs w:val="28"/>
        </w:rPr>
        <w:fldChar w:fldCharType="end"/>
      </w:r>
      <w:r>
        <w:rPr>
          <w:rFonts w:hAnsi="Times New Roman" w:cs="宋体"/>
          <w:color w:val="auto"/>
          <w:sz w:val="28"/>
          <w:szCs w:val="28"/>
        </w:rPr>
        <w:t>膜，可显著</w:t>
      </w:r>
      <w:r>
        <w:rPr>
          <w:color w:val="auto"/>
        </w:rPr>
        <w:fldChar w:fldCharType="begin"/>
      </w:r>
      <w:r>
        <w:rPr>
          <w:color w:val="auto"/>
        </w:rPr>
        <w:instrText xml:space="preserve"> HYPERLINK "https://baike.so.com/doc/7087377-7310290.html" \t "_blank" </w:instrText>
      </w:r>
      <w:r>
        <w:rPr>
          <w:color w:val="auto"/>
        </w:rPr>
        <w:fldChar w:fldCharType="separate"/>
      </w:r>
      <w:r>
        <w:rPr>
          <w:rFonts w:hAnsi="Times New Roman" w:cs="宋体"/>
          <w:color w:val="auto"/>
          <w:sz w:val="28"/>
          <w:szCs w:val="28"/>
        </w:rPr>
        <w:t>延长</w:t>
      </w:r>
      <w:r>
        <w:rPr>
          <w:rFonts w:hAnsi="Times New Roman" w:cs="宋体"/>
          <w:color w:val="auto"/>
          <w:sz w:val="28"/>
          <w:szCs w:val="28"/>
        </w:rPr>
        <w:fldChar w:fldCharType="end"/>
      </w:r>
      <w:r>
        <w:rPr>
          <w:rFonts w:hAnsi="Times New Roman" w:cs="宋体"/>
          <w:color w:val="auto"/>
          <w:sz w:val="28"/>
          <w:szCs w:val="28"/>
        </w:rPr>
        <w:t>心肌不应期，降低自律性、传导性及</w:t>
      </w:r>
      <w:r>
        <w:rPr>
          <w:color w:val="auto"/>
        </w:rPr>
        <w:fldChar w:fldCharType="begin"/>
      </w:r>
      <w:r>
        <w:rPr>
          <w:color w:val="auto"/>
        </w:rPr>
        <w:instrText xml:space="preserve"> HYPERLINK "https://baike.so.com/doc/2758876-2911821.html" \t "_blank" </w:instrText>
      </w:r>
      <w:r>
        <w:rPr>
          <w:color w:val="auto"/>
        </w:rPr>
        <w:fldChar w:fldCharType="separate"/>
      </w:r>
      <w:r>
        <w:rPr>
          <w:rFonts w:hAnsi="Times New Roman" w:cs="宋体"/>
          <w:color w:val="auto"/>
          <w:sz w:val="28"/>
          <w:szCs w:val="28"/>
        </w:rPr>
        <w:t>心肌收缩力</w:t>
      </w:r>
      <w:r>
        <w:rPr>
          <w:rFonts w:hAnsi="Times New Roman" w:cs="宋体"/>
          <w:color w:val="auto"/>
          <w:sz w:val="28"/>
          <w:szCs w:val="28"/>
        </w:rPr>
        <w:fldChar w:fldCharType="end"/>
      </w:r>
      <w:r>
        <w:rPr>
          <w:rFonts w:hAnsi="Times New Roman" w:cs="宋体"/>
          <w:color w:val="auto"/>
          <w:sz w:val="28"/>
          <w:szCs w:val="28"/>
        </w:rPr>
        <w:t>，特别对非窦性的异位节律性作用较强，对窦房结细胞的动作电位时间不变或延长，降低传导速度，延长有效不应期，减低兴奋性，对</w:t>
      </w:r>
      <w:r>
        <w:rPr>
          <w:color w:val="auto"/>
        </w:rPr>
        <w:fldChar w:fldCharType="begin"/>
      </w:r>
      <w:r>
        <w:rPr>
          <w:color w:val="auto"/>
        </w:rPr>
        <w:instrText xml:space="preserve"> HYPERLINK "https://baike.so.com/doc/6288409-6501895.html" \t "_blank" </w:instrText>
      </w:r>
      <w:r>
        <w:rPr>
          <w:color w:val="auto"/>
        </w:rPr>
        <w:fldChar w:fldCharType="separate"/>
      </w:r>
      <w:r>
        <w:rPr>
          <w:rFonts w:hAnsi="Times New Roman" w:cs="宋体"/>
          <w:color w:val="auto"/>
          <w:sz w:val="28"/>
          <w:szCs w:val="28"/>
        </w:rPr>
        <w:t>心房</w:t>
      </w:r>
      <w:r>
        <w:rPr>
          <w:rFonts w:hAnsi="Times New Roman" w:cs="宋体"/>
          <w:color w:val="auto"/>
          <w:sz w:val="28"/>
          <w:szCs w:val="28"/>
        </w:rPr>
        <w:fldChar w:fldCharType="end"/>
      </w:r>
      <w:r>
        <w:rPr>
          <w:rFonts w:hAnsi="Times New Roman" w:cs="宋体"/>
          <w:color w:val="auto"/>
          <w:sz w:val="28"/>
          <w:szCs w:val="28"/>
        </w:rPr>
        <w:t>不应期的延长较心室明显，缩短房室交界不应期。</w:t>
      </w:r>
    </w:p>
    <w:p>
      <w:pPr>
        <w:pStyle w:val="27"/>
        <w:shd w:val="clear" w:color="auto" w:fill="FFFFFF"/>
        <w:spacing w:before="0" w:beforeAutospacing="0" w:after="0" w:afterAutospacing="0" w:line="360" w:lineRule="auto"/>
        <w:ind w:firstLine="560" w:firstLineChars="200"/>
        <w:jc w:val="both"/>
        <w:rPr>
          <w:rFonts w:hAnsi="Times New Roman" w:cs="宋体"/>
          <w:color w:val="auto"/>
          <w:sz w:val="28"/>
          <w:szCs w:val="28"/>
        </w:rPr>
      </w:pPr>
      <w:r>
        <w:rPr>
          <w:rFonts w:hint="eastAsia" w:hAnsi="Times New Roman" w:cs="宋体"/>
          <w:color w:val="auto"/>
          <w:sz w:val="28"/>
          <w:szCs w:val="28"/>
        </w:rPr>
        <w:t>1</w:t>
      </w:r>
      <w:r>
        <w:rPr>
          <w:rFonts w:hAnsi="Times New Roman" w:cs="宋体"/>
          <w:color w:val="auto"/>
          <w:sz w:val="28"/>
          <w:szCs w:val="28"/>
        </w:rPr>
        <w:t>4</w:t>
      </w:r>
      <w:r>
        <w:rPr>
          <w:rFonts w:hint="eastAsia" w:hAnsi="Times New Roman" w:cs="宋体"/>
          <w:color w:val="auto"/>
          <w:sz w:val="28"/>
          <w:szCs w:val="28"/>
        </w:rPr>
        <w:t>）硅胶</w:t>
      </w:r>
    </w:p>
    <w:p>
      <w:pPr>
        <w:pStyle w:val="27"/>
        <w:shd w:val="clear" w:color="auto" w:fill="FFFFFF"/>
        <w:spacing w:before="0" w:beforeAutospacing="0" w:after="225" w:afterAutospacing="0" w:line="360" w:lineRule="auto"/>
        <w:ind w:firstLine="560" w:firstLineChars="200"/>
        <w:jc w:val="both"/>
        <w:rPr>
          <w:rFonts w:hAnsi="Times New Roman" w:cs="宋体"/>
          <w:color w:val="auto"/>
          <w:sz w:val="28"/>
          <w:szCs w:val="28"/>
        </w:rPr>
      </w:pPr>
      <w:r>
        <w:rPr>
          <w:rFonts w:hint="eastAsia" w:hAnsi="Times New Roman" w:cs="宋体"/>
          <w:color w:val="auto"/>
          <w:sz w:val="28"/>
          <w:szCs w:val="28"/>
        </w:rPr>
        <w:t>中文</w:t>
      </w:r>
      <w:r>
        <w:rPr>
          <w:rFonts w:hAnsi="Times New Roman" w:cs="宋体"/>
          <w:color w:val="auto"/>
          <w:sz w:val="28"/>
          <w:szCs w:val="28"/>
        </w:rPr>
        <w:t>名称:硅胶</w:t>
      </w:r>
      <w:r>
        <w:rPr>
          <w:rFonts w:hint="eastAsia" w:hAnsi="Times New Roman" w:cs="宋体"/>
          <w:color w:val="auto"/>
          <w:sz w:val="28"/>
          <w:szCs w:val="28"/>
        </w:rPr>
        <w:t>，</w:t>
      </w:r>
      <w:r>
        <w:rPr>
          <w:rFonts w:hAnsi="Times New Roman" w:cs="宋体"/>
          <w:color w:val="auto"/>
          <w:sz w:val="28"/>
          <w:szCs w:val="28"/>
        </w:rPr>
        <w:t>别名:氧化硅胶或硅酸凝胶</w:t>
      </w:r>
      <w:r>
        <w:rPr>
          <w:rFonts w:hint="eastAsia" w:hAnsi="Times New Roman" w:cs="宋体"/>
          <w:color w:val="auto"/>
          <w:sz w:val="28"/>
          <w:szCs w:val="28"/>
        </w:rPr>
        <w:t>，</w:t>
      </w:r>
      <w:r>
        <w:rPr>
          <w:rFonts w:hAnsi="Times New Roman" w:cs="宋体"/>
          <w:color w:val="auto"/>
          <w:sz w:val="28"/>
          <w:szCs w:val="28"/>
        </w:rPr>
        <w:t>英文名称:Silica gel; Silica</w:t>
      </w:r>
      <w:r>
        <w:rPr>
          <w:rFonts w:hint="eastAsia" w:hAnsi="Times New Roman" w:cs="宋体"/>
          <w:color w:val="auto"/>
          <w:sz w:val="28"/>
          <w:szCs w:val="28"/>
        </w:rPr>
        <w:t>；</w:t>
      </w:r>
      <w:r>
        <w:rPr>
          <w:rFonts w:hAnsi="Times New Roman" w:cs="宋体"/>
          <w:color w:val="auto"/>
          <w:sz w:val="28"/>
          <w:szCs w:val="28"/>
        </w:rPr>
        <w:t>分子式:xSiO2·yH2O</w:t>
      </w:r>
      <w:r>
        <w:rPr>
          <w:rFonts w:hint="eastAsia" w:hAnsi="Times New Roman" w:cs="宋体"/>
          <w:color w:val="auto"/>
          <w:sz w:val="28"/>
          <w:szCs w:val="28"/>
        </w:rPr>
        <w:t>，</w:t>
      </w:r>
      <w:r>
        <w:rPr>
          <w:rFonts w:hAnsi="Times New Roman" w:cs="宋体"/>
          <w:color w:val="auto"/>
          <w:sz w:val="28"/>
          <w:szCs w:val="28"/>
        </w:rPr>
        <w:fldChar w:fldCharType="begin"/>
      </w:r>
      <w:r>
        <w:rPr>
          <w:rFonts w:hAnsi="Times New Roman" w:cs="宋体"/>
          <w:color w:val="auto"/>
          <w:sz w:val="28"/>
          <w:szCs w:val="28"/>
        </w:rPr>
        <w:instrText xml:space="preserve"> HYPERLINK "https://baike.so.com/doc/2956846-3119486.html" \t "_blank" </w:instrText>
      </w:r>
      <w:r>
        <w:rPr>
          <w:rFonts w:hAnsi="Times New Roman" w:cs="宋体"/>
          <w:color w:val="auto"/>
          <w:sz w:val="28"/>
          <w:szCs w:val="28"/>
        </w:rPr>
        <w:fldChar w:fldCharType="separate"/>
      </w:r>
      <w:r>
        <w:rPr>
          <w:rFonts w:hAnsi="Times New Roman" w:cs="宋体"/>
          <w:color w:val="auto"/>
          <w:sz w:val="28"/>
          <w:szCs w:val="28"/>
        </w:rPr>
        <w:t>分子量</w:t>
      </w:r>
      <w:r>
        <w:rPr>
          <w:rFonts w:hAnsi="Times New Roman" w:cs="宋体"/>
          <w:color w:val="auto"/>
          <w:sz w:val="28"/>
          <w:szCs w:val="28"/>
        </w:rPr>
        <w:fldChar w:fldCharType="end"/>
      </w:r>
      <w:r>
        <w:rPr>
          <w:rFonts w:hAnsi="Times New Roman" w:cs="宋体"/>
          <w:color w:val="auto"/>
          <w:sz w:val="28"/>
          <w:szCs w:val="28"/>
        </w:rPr>
        <w:t>:60.08</w:t>
      </w:r>
      <w:r>
        <w:rPr>
          <w:rFonts w:hint="eastAsia" w:hAnsi="Times New Roman" w:cs="宋体"/>
          <w:color w:val="auto"/>
          <w:sz w:val="28"/>
          <w:szCs w:val="28"/>
        </w:rPr>
        <w:t>，</w:t>
      </w:r>
      <w:r>
        <w:rPr>
          <w:rFonts w:hAnsi="Times New Roman" w:cs="宋体"/>
          <w:color w:val="auto"/>
          <w:sz w:val="28"/>
          <w:szCs w:val="28"/>
        </w:rPr>
        <w:t>CAS 登录号:CAS# 112926-00-8</w:t>
      </w:r>
      <w:r>
        <w:rPr>
          <w:rFonts w:hint="eastAsia" w:hAnsi="Times New Roman" w:cs="宋体"/>
          <w:color w:val="auto"/>
          <w:sz w:val="28"/>
          <w:szCs w:val="28"/>
        </w:rPr>
        <w:t>。</w:t>
      </w:r>
      <w:r>
        <w:rPr>
          <w:rFonts w:hAnsi="Times New Roman" w:cs="宋体"/>
          <w:color w:val="auto"/>
          <w:sz w:val="28"/>
          <w:szCs w:val="28"/>
        </w:rPr>
        <w:t>硅胶主要成分是</w:t>
      </w:r>
      <w:r>
        <w:rPr>
          <w:color w:val="auto"/>
        </w:rPr>
        <w:fldChar w:fldCharType="begin"/>
      </w:r>
      <w:r>
        <w:rPr>
          <w:color w:val="auto"/>
        </w:rPr>
        <w:instrText xml:space="preserve"> HYPERLINK "https://baike.so.com/doc/2659148-2808005.html" \t "_blank" </w:instrText>
      </w:r>
      <w:r>
        <w:rPr>
          <w:color w:val="auto"/>
        </w:rPr>
        <w:fldChar w:fldCharType="separate"/>
      </w:r>
      <w:r>
        <w:rPr>
          <w:rFonts w:hAnsi="Times New Roman" w:cs="宋体"/>
          <w:color w:val="auto"/>
          <w:sz w:val="28"/>
          <w:szCs w:val="28"/>
        </w:rPr>
        <w:t>二氧化硅</w:t>
      </w:r>
      <w:r>
        <w:rPr>
          <w:rFonts w:hAnsi="Times New Roman" w:cs="宋体"/>
          <w:color w:val="auto"/>
          <w:sz w:val="28"/>
          <w:szCs w:val="28"/>
        </w:rPr>
        <w:fldChar w:fldCharType="end"/>
      </w:r>
      <w:r>
        <w:rPr>
          <w:rFonts w:hAnsi="Times New Roman" w:cs="宋体"/>
          <w:color w:val="auto"/>
          <w:sz w:val="28"/>
          <w:szCs w:val="28"/>
        </w:rPr>
        <w:t>，化学性质稳定，不燃烧。主要用于仪器、仪表、设备等在密闭条件下的吸潮防锈。与普通</w:t>
      </w:r>
      <w:r>
        <w:rPr>
          <w:color w:val="auto"/>
        </w:rPr>
        <w:fldChar w:fldCharType="begin"/>
      </w:r>
      <w:r>
        <w:rPr>
          <w:color w:val="auto"/>
        </w:rPr>
        <w:instrText xml:space="preserve"> HYPERLINK "https://baike.so.com/doc/1366189-1444160.html" \t "_blank" </w:instrText>
      </w:r>
      <w:r>
        <w:rPr>
          <w:color w:val="auto"/>
        </w:rPr>
        <w:fldChar w:fldCharType="separate"/>
      </w:r>
      <w:r>
        <w:rPr>
          <w:rFonts w:hAnsi="Times New Roman" w:cs="宋体"/>
          <w:color w:val="auto"/>
          <w:sz w:val="28"/>
          <w:szCs w:val="28"/>
        </w:rPr>
        <w:t>硅胶干燥剂</w:t>
      </w:r>
      <w:r>
        <w:rPr>
          <w:rFonts w:hAnsi="Times New Roman" w:cs="宋体"/>
          <w:color w:val="auto"/>
          <w:sz w:val="28"/>
          <w:szCs w:val="28"/>
        </w:rPr>
        <w:fldChar w:fldCharType="end"/>
      </w:r>
      <w:r>
        <w:rPr>
          <w:rFonts w:hAnsi="Times New Roman" w:cs="宋体"/>
          <w:color w:val="auto"/>
          <w:sz w:val="28"/>
          <w:szCs w:val="28"/>
        </w:rPr>
        <w:t>配合使用，指示干燥剂的吸潮程度和判断环境的相对湿度。作为包装用硅胶干燥剂，广泛用于精密仪器、皮革、服装、食品、药品和家用电器等。硅胶因为其食品级用途可以用来做婴儿</w:t>
      </w:r>
      <w:r>
        <w:rPr>
          <w:color w:val="auto"/>
        </w:rPr>
        <w:fldChar w:fldCharType="begin"/>
      </w:r>
      <w:r>
        <w:rPr>
          <w:color w:val="auto"/>
        </w:rPr>
        <w:instrText xml:space="preserve"> HYPERLINK "https://baike.so.com/doc/6607765-6821552.html" \t "_blank" </w:instrText>
      </w:r>
      <w:r>
        <w:rPr>
          <w:color w:val="auto"/>
        </w:rPr>
        <w:fldChar w:fldCharType="separate"/>
      </w:r>
      <w:r>
        <w:rPr>
          <w:rFonts w:hAnsi="Times New Roman" w:cs="宋体"/>
          <w:color w:val="auto"/>
          <w:sz w:val="28"/>
          <w:szCs w:val="28"/>
        </w:rPr>
        <w:t>奶嘴</w:t>
      </w:r>
      <w:r>
        <w:rPr>
          <w:rFonts w:hAnsi="Times New Roman" w:cs="宋体"/>
          <w:color w:val="auto"/>
          <w:sz w:val="28"/>
          <w:szCs w:val="28"/>
        </w:rPr>
        <w:fldChar w:fldCharType="end"/>
      </w:r>
      <w:r>
        <w:rPr>
          <w:rFonts w:hAnsi="Times New Roman" w:cs="宋体"/>
          <w:color w:val="auto"/>
          <w:sz w:val="28"/>
          <w:szCs w:val="28"/>
        </w:rPr>
        <w:t>等与人体直接接触的用品，另外，硅胶也可用来生产避孕套和隆胸。制造血泵常用材料</w:t>
      </w:r>
      <w:r>
        <w:rPr>
          <w:rFonts w:hint="eastAsia" w:hAnsi="Times New Roman" w:cs="宋体"/>
          <w:color w:val="auto"/>
          <w:sz w:val="28"/>
          <w:szCs w:val="28"/>
        </w:rPr>
        <w:t>。</w:t>
      </w:r>
    </w:p>
    <w:p>
      <w:pPr>
        <w:pStyle w:val="27"/>
        <w:shd w:val="clear" w:color="auto" w:fill="FFFFFF"/>
        <w:spacing w:before="0" w:beforeAutospacing="0" w:after="225" w:afterAutospacing="0" w:line="360" w:lineRule="auto"/>
        <w:ind w:firstLine="560" w:firstLineChars="200"/>
        <w:jc w:val="both"/>
        <w:rPr>
          <w:rFonts w:ascii="Arial" w:hAnsi="Arial" w:cs="Arial"/>
          <w:color w:val="auto"/>
          <w:sz w:val="21"/>
        </w:rPr>
      </w:pPr>
      <w:r>
        <w:rPr>
          <w:rFonts w:hint="eastAsia" w:hAnsi="Times New Roman" w:cs="宋体"/>
          <w:color w:val="auto"/>
          <w:sz w:val="28"/>
          <w:szCs w:val="28"/>
        </w:rPr>
        <w:t>1</w:t>
      </w:r>
      <w:r>
        <w:rPr>
          <w:rFonts w:hAnsi="Times New Roman" w:cs="宋体"/>
          <w:color w:val="auto"/>
          <w:sz w:val="28"/>
          <w:szCs w:val="28"/>
        </w:rPr>
        <w:t>4</w:t>
      </w:r>
      <w:r>
        <w:rPr>
          <w:rFonts w:hint="eastAsia" w:hAnsi="Times New Roman" w:cs="宋体"/>
          <w:color w:val="auto"/>
          <w:sz w:val="28"/>
          <w:szCs w:val="28"/>
        </w:rPr>
        <w:t>）N</w:t>
      </w:r>
      <w:r>
        <w:rPr>
          <w:rFonts w:hAnsi="Times New Roman" w:cs="宋体"/>
          <w:color w:val="auto"/>
          <w:sz w:val="28"/>
          <w:szCs w:val="28"/>
        </w:rPr>
        <w:t>-</w:t>
      </w:r>
      <w:r>
        <w:rPr>
          <w:rFonts w:hint="eastAsia" w:hAnsi="Times New Roman" w:cs="宋体"/>
          <w:color w:val="auto"/>
          <w:sz w:val="28"/>
          <w:szCs w:val="28"/>
        </w:rPr>
        <w:t>甲基氧化吗啉</w:t>
      </w:r>
    </w:p>
    <w:p>
      <w:pPr>
        <w:pStyle w:val="27"/>
        <w:shd w:val="clear" w:color="auto" w:fill="FFFFFF"/>
        <w:spacing w:before="0" w:beforeAutospacing="0" w:after="225" w:afterAutospacing="0" w:line="360" w:lineRule="auto"/>
        <w:ind w:firstLine="560" w:firstLineChars="200"/>
        <w:jc w:val="both"/>
        <w:rPr>
          <w:rFonts w:ascii="Arial" w:hAnsi="Arial" w:cs="Arial"/>
          <w:color w:val="auto"/>
          <w:sz w:val="21"/>
        </w:rPr>
      </w:pPr>
      <w:r>
        <w:rPr>
          <w:rFonts w:hAnsi="Times New Roman" w:cs="宋体"/>
          <w:color w:val="auto"/>
          <w:sz w:val="28"/>
          <w:szCs w:val="28"/>
        </w:rPr>
        <w:t>N-甲基吗啉氧化物，英文名称:4-Methylmorpholine-N-oxide，CAS号:7529-22-8，分子式:C5H11NO2， 分子量:117.15。外观</w:t>
      </w:r>
      <w:r>
        <w:rPr>
          <w:rFonts w:hint="eastAsia" w:hAnsi="Times New Roman" w:cs="宋体"/>
          <w:color w:val="auto"/>
          <w:sz w:val="28"/>
          <w:szCs w:val="28"/>
        </w:rPr>
        <w:t>为</w:t>
      </w:r>
      <w:r>
        <w:rPr>
          <w:rFonts w:hAnsi="Times New Roman" w:cs="宋体"/>
          <w:color w:val="auto"/>
          <w:sz w:val="28"/>
          <w:szCs w:val="28"/>
        </w:rPr>
        <w:t>白色晶体</w:t>
      </w:r>
      <w:r>
        <w:rPr>
          <w:rFonts w:hint="eastAsia" w:hAnsi="Times New Roman" w:cs="宋体"/>
          <w:color w:val="auto"/>
          <w:sz w:val="28"/>
          <w:szCs w:val="28"/>
        </w:rPr>
        <w:t>。</w:t>
      </w:r>
      <w:r>
        <w:rPr>
          <w:rFonts w:hAnsi="Times New Roman" w:cs="宋体"/>
          <w:color w:val="auto"/>
          <w:sz w:val="28"/>
          <w:szCs w:val="28"/>
        </w:rPr>
        <w:t>用于植物纤维素高性能溶剂,广泛用于有机合成过程中作溶剂使用，用于聚酯塑料的发泡催化剂，具有特别优良的性能。有机试剂，医药中间体</w:t>
      </w:r>
      <w:r>
        <w:rPr>
          <w:rFonts w:hint="eastAsia" w:hAnsi="Times New Roman" w:cs="宋体"/>
          <w:color w:val="auto"/>
          <w:sz w:val="28"/>
          <w:szCs w:val="28"/>
        </w:rPr>
        <w:t>。</w:t>
      </w:r>
    </w:p>
    <w:p>
      <w:pPr>
        <w:pStyle w:val="49"/>
        <w:ind w:firstLine="560" w:firstLineChars="200"/>
        <w:rPr>
          <w:color w:val="auto"/>
          <w:sz w:val="28"/>
          <w:szCs w:val="28"/>
        </w:rPr>
      </w:pPr>
      <w:r>
        <w:rPr>
          <w:rFonts w:hint="eastAsia"/>
          <w:color w:val="auto"/>
          <w:sz w:val="28"/>
          <w:szCs w:val="28"/>
        </w:rPr>
        <w:t>1</w:t>
      </w:r>
      <w:r>
        <w:rPr>
          <w:color w:val="auto"/>
          <w:sz w:val="28"/>
          <w:szCs w:val="28"/>
        </w:rPr>
        <w:t>5</w:t>
      </w:r>
      <w:r>
        <w:rPr>
          <w:rFonts w:hint="eastAsia"/>
          <w:color w:val="auto"/>
          <w:sz w:val="28"/>
          <w:szCs w:val="28"/>
        </w:rPr>
        <w:t>）亚硫酸钠</w:t>
      </w:r>
    </w:p>
    <w:p>
      <w:pPr>
        <w:pStyle w:val="27"/>
        <w:shd w:val="clear" w:color="auto" w:fill="FFFFFF"/>
        <w:spacing w:before="0" w:beforeAutospacing="0" w:after="225" w:afterAutospacing="0" w:line="360" w:lineRule="auto"/>
        <w:ind w:firstLine="560" w:firstLineChars="200"/>
        <w:jc w:val="both"/>
        <w:rPr>
          <w:rFonts w:ascii="Arial" w:hAnsi="Arial" w:cs="Arial"/>
          <w:color w:val="auto"/>
          <w:sz w:val="21"/>
        </w:rPr>
      </w:pPr>
      <w:r>
        <w:rPr>
          <w:rFonts w:hAnsi="Times New Roman" w:cs="宋体"/>
          <w:color w:val="auto"/>
          <w:sz w:val="28"/>
          <w:szCs w:val="28"/>
        </w:rPr>
        <w:t>白色、单斜晶体或粉末。CAS:7757-83-7</w:t>
      </w:r>
      <w:r>
        <w:rPr>
          <w:rFonts w:hint="eastAsia" w:hAnsi="Times New Roman" w:cs="宋体"/>
          <w:color w:val="auto"/>
          <w:sz w:val="28"/>
          <w:szCs w:val="28"/>
        </w:rPr>
        <w:t>。</w:t>
      </w:r>
      <w:r>
        <w:rPr>
          <w:rFonts w:hAnsi="Times New Roman" w:cs="宋体"/>
          <w:color w:val="auto"/>
          <w:sz w:val="28"/>
          <w:szCs w:val="28"/>
        </w:rPr>
        <w:t>熔点(</w:t>
      </w:r>
      <w:r>
        <w:rPr>
          <w:rFonts w:hint="eastAsia" w:hAnsi="Times New Roman" w:cs="宋体"/>
          <w:color w:val="auto"/>
          <w:sz w:val="28"/>
          <w:szCs w:val="28"/>
        </w:rPr>
        <w:t>℃</w:t>
      </w:r>
      <w:r>
        <w:rPr>
          <w:rFonts w:hAnsi="Times New Roman" w:cs="宋体"/>
          <w:color w:val="auto"/>
          <w:sz w:val="28"/>
          <w:szCs w:val="28"/>
        </w:rPr>
        <w:t>)：150（失水分解）</w:t>
      </w:r>
      <w:r>
        <w:rPr>
          <w:rFonts w:hint="eastAsia" w:hAnsi="Times New Roman" w:cs="宋体"/>
          <w:color w:val="auto"/>
          <w:sz w:val="28"/>
          <w:szCs w:val="28"/>
        </w:rPr>
        <w:t>，</w:t>
      </w:r>
      <w:r>
        <w:rPr>
          <w:color w:val="auto"/>
        </w:rPr>
        <w:fldChar w:fldCharType="begin"/>
      </w:r>
      <w:r>
        <w:rPr>
          <w:color w:val="auto"/>
        </w:rPr>
        <w:instrText xml:space="preserve"> HYPERLINK "https://baike.so.com/doc/2751462-2903816.html" \t "_blank" </w:instrText>
      </w:r>
      <w:r>
        <w:rPr>
          <w:color w:val="auto"/>
        </w:rPr>
        <w:fldChar w:fldCharType="separate"/>
      </w:r>
      <w:r>
        <w:rPr>
          <w:rFonts w:hAnsi="Times New Roman" w:cs="宋体"/>
          <w:color w:val="auto"/>
          <w:sz w:val="28"/>
          <w:szCs w:val="28"/>
        </w:rPr>
        <w:t>相对密度</w:t>
      </w:r>
      <w:r>
        <w:rPr>
          <w:rFonts w:hAnsi="Times New Roman" w:cs="宋体"/>
          <w:color w:val="auto"/>
          <w:sz w:val="28"/>
          <w:szCs w:val="28"/>
        </w:rPr>
        <w:fldChar w:fldCharType="end"/>
      </w:r>
      <w:r>
        <w:rPr>
          <w:rFonts w:hAnsi="Times New Roman" w:cs="宋体"/>
          <w:color w:val="auto"/>
          <w:sz w:val="28"/>
          <w:szCs w:val="28"/>
        </w:rPr>
        <w:t>（水=1）：2.63</w:t>
      </w:r>
      <w:r>
        <w:rPr>
          <w:rFonts w:hint="eastAsia" w:hAnsi="Times New Roman" w:cs="宋体"/>
          <w:color w:val="auto"/>
          <w:sz w:val="28"/>
          <w:szCs w:val="28"/>
        </w:rPr>
        <w:t>，</w:t>
      </w:r>
      <w:r>
        <w:rPr>
          <w:rFonts w:hAnsi="Times New Roman" w:cs="宋体"/>
          <w:color w:val="auto"/>
          <w:sz w:val="28"/>
          <w:szCs w:val="28"/>
        </w:rPr>
        <w:t>分子式：Na2SO3（·7H2O）</w:t>
      </w:r>
      <w:r>
        <w:rPr>
          <w:rFonts w:hint="eastAsia" w:hAnsi="Times New Roman" w:cs="宋体"/>
          <w:color w:val="auto"/>
          <w:sz w:val="28"/>
          <w:szCs w:val="28"/>
        </w:rPr>
        <w:t>，</w:t>
      </w:r>
      <w:r>
        <w:rPr>
          <w:rFonts w:hAnsi="Times New Roman" w:cs="宋体"/>
          <w:color w:val="auto"/>
          <w:sz w:val="28"/>
          <w:szCs w:val="28"/>
        </w:rPr>
        <w:t>分子量：126.04(252.04)</w:t>
      </w:r>
      <w:r>
        <w:rPr>
          <w:rFonts w:hint="eastAsia" w:hAnsi="Times New Roman" w:cs="宋体"/>
          <w:color w:val="auto"/>
          <w:sz w:val="28"/>
          <w:szCs w:val="28"/>
        </w:rPr>
        <w:t>，</w:t>
      </w:r>
      <w:r>
        <w:rPr>
          <w:rFonts w:hAnsi="Times New Roman" w:cs="宋体"/>
          <w:color w:val="auto"/>
          <w:sz w:val="28"/>
          <w:szCs w:val="28"/>
        </w:rPr>
        <w:t>溶解性：易溶于水（67.8 g/100 ml（七水，18 °C），不溶于乙醇等。亚硫酸钠在空气中易风化并氧化为</w:t>
      </w:r>
      <w:r>
        <w:rPr>
          <w:color w:val="auto"/>
        </w:rPr>
        <w:fldChar w:fldCharType="begin"/>
      </w:r>
      <w:r>
        <w:rPr>
          <w:color w:val="auto"/>
        </w:rPr>
        <w:instrText xml:space="preserve"> HYPERLINK "https://baike.so.com/doc/878451-928531.html" \t "_blank" </w:instrText>
      </w:r>
      <w:r>
        <w:rPr>
          <w:color w:val="auto"/>
        </w:rPr>
        <w:fldChar w:fldCharType="separate"/>
      </w:r>
      <w:r>
        <w:rPr>
          <w:rFonts w:hAnsi="Times New Roman" w:cs="宋体"/>
          <w:color w:val="auto"/>
          <w:sz w:val="28"/>
          <w:szCs w:val="28"/>
        </w:rPr>
        <w:t>硫酸钠</w:t>
      </w:r>
      <w:r>
        <w:rPr>
          <w:rFonts w:hAnsi="Times New Roman" w:cs="宋体"/>
          <w:color w:val="auto"/>
          <w:sz w:val="28"/>
          <w:szCs w:val="28"/>
        </w:rPr>
        <w:fldChar w:fldCharType="end"/>
      </w:r>
      <w:r>
        <w:rPr>
          <w:rFonts w:hAnsi="Times New Roman" w:cs="宋体"/>
          <w:color w:val="auto"/>
          <w:sz w:val="28"/>
          <w:szCs w:val="28"/>
        </w:rPr>
        <w:t>。在150</w:t>
      </w:r>
      <w:r>
        <w:rPr>
          <w:rFonts w:hint="eastAsia" w:hAnsi="Times New Roman" w:cs="宋体"/>
          <w:color w:val="auto"/>
          <w:sz w:val="28"/>
          <w:szCs w:val="28"/>
        </w:rPr>
        <w:t>℃</w:t>
      </w:r>
      <w:r>
        <w:rPr>
          <w:rFonts w:hAnsi="Times New Roman" w:cs="宋体"/>
          <w:color w:val="auto"/>
          <w:sz w:val="28"/>
          <w:szCs w:val="28"/>
        </w:rPr>
        <w:t>时失去</w:t>
      </w:r>
      <w:r>
        <w:rPr>
          <w:color w:val="auto"/>
        </w:rPr>
        <w:fldChar w:fldCharType="begin"/>
      </w:r>
      <w:r>
        <w:rPr>
          <w:color w:val="auto"/>
        </w:rPr>
        <w:instrText xml:space="preserve"> HYPERLINK "https://baike.so.com/doc/6031438-6244439.html" \t "_blank" </w:instrText>
      </w:r>
      <w:r>
        <w:rPr>
          <w:color w:val="auto"/>
        </w:rPr>
        <w:fldChar w:fldCharType="separate"/>
      </w:r>
      <w:r>
        <w:rPr>
          <w:rFonts w:hAnsi="Times New Roman" w:cs="宋体"/>
          <w:color w:val="auto"/>
          <w:sz w:val="28"/>
          <w:szCs w:val="28"/>
        </w:rPr>
        <w:t>结晶水</w:t>
      </w:r>
      <w:r>
        <w:rPr>
          <w:rFonts w:hAnsi="Times New Roman" w:cs="宋体"/>
          <w:color w:val="auto"/>
          <w:sz w:val="28"/>
          <w:szCs w:val="28"/>
        </w:rPr>
        <w:fldChar w:fldCharType="end"/>
      </w:r>
      <w:r>
        <w:rPr>
          <w:rFonts w:hAnsi="Times New Roman" w:cs="宋体"/>
          <w:color w:val="auto"/>
          <w:sz w:val="28"/>
          <w:szCs w:val="28"/>
        </w:rPr>
        <w:t>。再热则熔化为</w:t>
      </w:r>
      <w:r>
        <w:rPr>
          <w:color w:val="auto"/>
        </w:rPr>
        <w:fldChar w:fldCharType="begin"/>
      </w:r>
      <w:r>
        <w:rPr>
          <w:color w:val="auto"/>
        </w:rPr>
        <w:instrText xml:space="preserve"> HYPERLINK "https://baike.so.com/doc/4955639-5177360.html" \t "_blank" </w:instrText>
      </w:r>
      <w:r>
        <w:rPr>
          <w:color w:val="auto"/>
        </w:rPr>
        <w:fldChar w:fldCharType="separate"/>
      </w:r>
      <w:r>
        <w:rPr>
          <w:rFonts w:hAnsi="Times New Roman" w:cs="宋体"/>
          <w:color w:val="auto"/>
          <w:sz w:val="28"/>
          <w:szCs w:val="28"/>
        </w:rPr>
        <w:t>硫化钠</w:t>
      </w:r>
      <w:r>
        <w:rPr>
          <w:rFonts w:hAnsi="Times New Roman" w:cs="宋体"/>
          <w:color w:val="auto"/>
          <w:sz w:val="28"/>
          <w:szCs w:val="28"/>
        </w:rPr>
        <w:fldChar w:fldCharType="end"/>
      </w:r>
      <w:r>
        <w:rPr>
          <w:rFonts w:hAnsi="Times New Roman" w:cs="宋体"/>
          <w:color w:val="auto"/>
          <w:sz w:val="28"/>
          <w:szCs w:val="28"/>
        </w:rPr>
        <w:t>与硫酸钠的混合物。无水物的密度2.633。比</w:t>
      </w:r>
      <w:r>
        <w:rPr>
          <w:color w:val="auto"/>
        </w:rPr>
        <w:fldChar w:fldCharType="begin"/>
      </w:r>
      <w:r>
        <w:rPr>
          <w:color w:val="auto"/>
        </w:rPr>
        <w:instrText xml:space="preserve"> HYPERLINK "https://baike.so.com/doc/5973366-6186325.html" \t "_blank" </w:instrText>
      </w:r>
      <w:r>
        <w:rPr>
          <w:color w:val="auto"/>
        </w:rPr>
        <w:fldChar w:fldCharType="separate"/>
      </w:r>
      <w:r>
        <w:rPr>
          <w:rFonts w:hAnsi="Times New Roman" w:cs="宋体"/>
          <w:color w:val="auto"/>
          <w:sz w:val="28"/>
          <w:szCs w:val="28"/>
        </w:rPr>
        <w:t>水合物</w:t>
      </w:r>
      <w:r>
        <w:rPr>
          <w:rFonts w:hAnsi="Times New Roman" w:cs="宋体"/>
          <w:color w:val="auto"/>
          <w:sz w:val="28"/>
          <w:szCs w:val="28"/>
        </w:rPr>
        <w:fldChar w:fldCharType="end"/>
      </w:r>
      <w:r>
        <w:rPr>
          <w:rFonts w:hAnsi="Times New Roman" w:cs="宋体"/>
          <w:color w:val="auto"/>
          <w:sz w:val="28"/>
          <w:szCs w:val="28"/>
        </w:rPr>
        <w:t>氧化缓慢得多，在干燥空气中无变化。受热分解而生成硫化钠和硫酸钠，与强酸接触分解成相应的盐类而放出二氧化硫。亚硫酸钠还原性极强，可以还原铜离子为亚铜离子（亚硫酸根可以和亚铜离子生成配合物而稳定），也可以还原</w:t>
      </w:r>
      <w:r>
        <w:rPr>
          <w:color w:val="auto"/>
        </w:rPr>
        <w:fldChar w:fldCharType="begin"/>
      </w:r>
      <w:r>
        <w:rPr>
          <w:color w:val="auto"/>
        </w:rPr>
        <w:instrText xml:space="preserve"> HYPERLINK "https://baike.so.com/doc/6875060-7092509.html" \t "_blank" </w:instrText>
      </w:r>
      <w:r>
        <w:rPr>
          <w:color w:val="auto"/>
        </w:rPr>
        <w:fldChar w:fldCharType="separate"/>
      </w:r>
      <w:r>
        <w:rPr>
          <w:rFonts w:hAnsi="Times New Roman" w:cs="宋体"/>
          <w:color w:val="auto"/>
          <w:sz w:val="28"/>
          <w:szCs w:val="28"/>
        </w:rPr>
        <w:t>磷钨酸</w:t>
      </w:r>
      <w:r>
        <w:rPr>
          <w:rFonts w:hAnsi="Times New Roman" w:cs="宋体"/>
          <w:color w:val="auto"/>
          <w:sz w:val="28"/>
          <w:szCs w:val="28"/>
        </w:rPr>
        <w:fldChar w:fldCharType="end"/>
      </w:r>
      <w:r>
        <w:rPr>
          <w:rFonts w:hAnsi="Times New Roman" w:cs="宋体"/>
          <w:color w:val="auto"/>
          <w:sz w:val="28"/>
          <w:szCs w:val="28"/>
        </w:rPr>
        <w:t>等弱氧化剂。</w:t>
      </w:r>
    </w:p>
    <w:p>
      <w:pPr>
        <w:pStyle w:val="49"/>
        <w:ind w:firstLine="560" w:firstLineChars="200"/>
        <w:rPr>
          <w:color w:val="auto"/>
          <w:sz w:val="28"/>
          <w:szCs w:val="28"/>
        </w:rPr>
      </w:pPr>
      <w:r>
        <w:rPr>
          <w:rFonts w:hint="eastAsia"/>
          <w:color w:val="auto"/>
          <w:sz w:val="28"/>
          <w:szCs w:val="28"/>
        </w:rPr>
        <w:t>1</w:t>
      </w:r>
      <w:r>
        <w:rPr>
          <w:color w:val="auto"/>
          <w:sz w:val="28"/>
          <w:szCs w:val="28"/>
        </w:rPr>
        <w:t>6</w:t>
      </w:r>
      <w:r>
        <w:rPr>
          <w:rFonts w:hint="eastAsia"/>
          <w:color w:val="auto"/>
          <w:sz w:val="28"/>
          <w:szCs w:val="28"/>
        </w:rPr>
        <w:t>）2</w:t>
      </w:r>
      <w:r>
        <w:rPr>
          <w:color w:val="auto"/>
          <w:sz w:val="28"/>
          <w:szCs w:val="28"/>
        </w:rPr>
        <w:t>4</w:t>
      </w:r>
      <w:r>
        <w:rPr>
          <w:rFonts w:hint="eastAsia"/>
          <w:color w:val="auto"/>
          <w:sz w:val="28"/>
          <w:szCs w:val="28"/>
        </w:rPr>
        <w:t>表芸苔素内酯</w:t>
      </w:r>
    </w:p>
    <w:p>
      <w:pPr>
        <w:pStyle w:val="49"/>
        <w:spacing w:line="360" w:lineRule="auto"/>
        <w:ind w:firstLine="560" w:firstLineChars="200"/>
        <w:jc w:val="both"/>
        <w:rPr>
          <w:color w:val="auto"/>
          <w:sz w:val="28"/>
          <w:szCs w:val="28"/>
        </w:rPr>
      </w:pPr>
      <w:r>
        <w:rPr>
          <w:rFonts w:hint="eastAsia"/>
          <w:color w:val="auto"/>
          <w:sz w:val="28"/>
          <w:szCs w:val="28"/>
        </w:rPr>
        <w:t>外观为白色粉末状固体，无味，无可见外来杂质，pH值：5.0～8.0；分子式为</w:t>
      </w:r>
      <w:r>
        <w:rPr>
          <w:color w:val="auto"/>
          <w:sz w:val="28"/>
          <w:szCs w:val="28"/>
        </w:rPr>
        <w:t>C28H48O6，相对分子质量：480.7，生物活性：植物生长调节剂</w:t>
      </w:r>
      <w:r>
        <w:rPr>
          <w:rFonts w:hint="eastAsia"/>
          <w:color w:val="auto"/>
          <w:sz w:val="28"/>
          <w:szCs w:val="28"/>
        </w:rPr>
        <w:t>。熔点为259.3 ℃~262.0 ℃ ，溶于甲醇、乙醇、氯仿、丙醇，在弱酸、中性介质中稳定，在强碱介质中分解。</w:t>
      </w:r>
      <w:r>
        <w:rPr>
          <w:color w:val="auto"/>
          <w:sz w:val="28"/>
          <w:szCs w:val="28"/>
        </w:rPr>
        <w:t>高温燃烧放出有毒气体。</w:t>
      </w:r>
    </w:p>
    <w:p>
      <w:pPr>
        <w:pStyle w:val="49"/>
        <w:ind w:firstLine="560" w:firstLineChars="200"/>
        <w:rPr>
          <w:color w:val="auto"/>
          <w:sz w:val="28"/>
          <w:szCs w:val="28"/>
        </w:rPr>
      </w:pPr>
      <w:r>
        <w:rPr>
          <w:rFonts w:hint="eastAsia"/>
          <w:color w:val="auto"/>
          <w:sz w:val="28"/>
          <w:szCs w:val="28"/>
        </w:rPr>
        <w:t>1</w:t>
      </w:r>
      <w:r>
        <w:rPr>
          <w:color w:val="auto"/>
          <w:sz w:val="28"/>
          <w:szCs w:val="28"/>
        </w:rPr>
        <w:t>7</w:t>
      </w:r>
      <w:r>
        <w:rPr>
          <w:rFonts w:hint="eastAsia"/>
          <w:color w:val="auto"/>
          <w:sz w:val="28"/>
          <w:szCs w:val="28"/>
        </w:rPr>
        <w:t>）2</w:t>
      </w:r>
      <w:r>
        <w:rPr>
          <w:color w:val="auto"/>
          <w:sz w:val="28"/>
          <w:szCs w:val="28"/>
        </w:rPr>
        <w:t>8-</w:t>
      </w:r>
      <w:r>
        <w:rPr>
          <w:rFonts w:hint="eastAsia"/>
          <w:color w:val="auto"/>
          <w:sz w:val="28"/>
          <w:szCs w:val="28"/>
        </w:rPr>
        <w:t>高芸苔素内酯</w:t>
      </w:r>
    </w:p>
    <w:p>
      <w:pPr>
        <w:pStyle w:val="49"/>
        <w:ind w:firstLine="560" w:firstLineChars="200"/>
        <w:jc w:val="both"/>
        <w:rPr>
          <w:color w:val="auto"/>
          <w:sz w:val="28"/>
          <w:szCs w:val="28"/>
        </w:rPr>
      </w:pPr>
      <w:r>
        <w:rPr>
          <w:rFonts w:hint="eastAsia"/>
          <w:color w:val="auto"/>
          <w:sz w:val="28"/>
          <w:szCs w:val="28"/>
        </w:rPr>
        <w:t>CAS登录号：82373-95-3，名称：28-高芸苔素内酯，化学名称：（22R，23R，24S）-2a,3a,22,23-四羟基-24-乙基-B-高-7-氧杂-5a-胆甾-6-酮。相对分子质量：494.8（按2012年国际相对原子质量计），生物活性：植物生长调节剂。熔点：275.5-278℃。在弱酸、中性介质中稳定，在强碱介质中分解。</w:t>
      </w:r>
      <w:r>
        <w:rPr>
          <w:rFonts w:hint="eastAsia"/>
          <w:color w:val="auto"/>
        </w:rPr>
        <w:fldChar w:fldCharType="begin"/>
      </w:r>
      <w:r>
        <w:rPr>
          <w:color w:val="auto"/>
        </w:rPr>
        <w:instrText xml:space="preserve"> HYPERLINK "http://baike.baidu.com/view/4879920.htm" </w:instrText>
      </w:r>
      <w:r>
        <w:rPr>
          <w:rFonts w:hint="eastAsia"/>
          <w:color w:val="auto"/>
        </w:rPr>
        <w:fldChar w:fldCharType="separate"/>
      </w:r>
      <w:r>
        <w:rPr>
          <w:rFonts w:hint="eastAsia"/>
          <w:color w:val="auto"/>
          <w:sz w:val="28"/>
          <w:szCs w:val="28"/>
        </w:rPr>
        <w:t>易溶</w:t>
      </w:r>
      <w:r>
        <w:rPr>
          <w:rFonts w:hint="eastAsia"/>
          <w:color w:val="auto"/>
          <w:sz w:val="28"/>
          <w:szCs w:val="28"/>
        </w:rPr>
        <w:fldChar w:fldCharType="end"/>
      </w:r>
      <w:r>
        <w:rPr>
          <w:rFonts w:hint="eastAsia"/>
          <w:color w:val="auto"/>
          <w:sz w:val="28"/>
          <w:szCs w:val="28"/>
        </w:rPr>
        <w:t>于甲醇、乙醇、氯仿、丙酮等，弱酸弱碱中稳定。</w:t>
      </w:r>
    </w:p>
    <w:p>
      <w:pPr>
        <w:pStyle w:val="49"/>
        <w:ind w:firstLine="560" w:firstLineChars="200"/>
        <w:rPr>
          <w:color w:val="auto"/>
          <w:sz w:val="28"/>
          <w:szCs w:val="28"/>
        </w:rPr>
      </w:pPr>
      <w:r>
        <w:rPr>
          <w:rFonts w:hint="eastAsia"/>
          <w:color w:val="auto"/>
          <w:sz w:val="28"/>
          <w:szCs w:val="28"/>
        </w:rPr>
        <w:t>1</w:t>
      </w:r>
      <w:r>
        <w:rPr>
          <w:color w:val="auto"/>
          <w:sz w:val="28"/>
          <w:szCs w:val="28"/>
        </w:rPr>
        <w:t>8</w:t>
      </w:r>
      <w:r>
        <w:rPr>
          <w:rFonts w:hint="eastAsia"/>
          <w:color w:val="auto"/>
          <w:sz w:val="28"/>
          <w:szCs w:val="28"/>
        </w:rPr>
        <w:t>）丙酰芸苔素内酯</w:t>
      </w:r>
    </w:p>
    <w:p>
      <w:pPr>
        <w:pStyle w:val="49"/>
        <w:ind w:firstLine="560" w:firstLineChars="200"/>
        <w:jc w:val="both"/>
        <w:rPr>
          <w:color w:val="auto"/>
          <w:sz w:val="28"/>
          <w:szCs w:val="28"/>
        </w:rPr>
      </w:pPr>
      <w:r>
        <w:rPr>
          <w:rFonts w:hint="eastAsia"/>
          <w:color w:val="auto"/>
          <w:sz w:val="28"/>
          <w:szCs w:val="28"/>
        </w:rPr>
        <w:t>CAS登录号：82373-95-3，名称：28-高芸苔素内酯，化学名称：（22R，23R，24S）-2a,3a,22,23-四羟基-24-乙基-B-高-7-氧杂-5a-胆甾-6-酮。相对分子质量：494.8（按2012年国际相对原子质量计），生物活性：植物生长调节剂。熔点：275.5-278℃。在弱酸、中性介质中稳定，在强碱介质中分解。</w:t>
      </w:r>
      <w:r>
        <w:rPr>
          <w:rFonts w:hint="eastAsia"/>
          <w:color w:val="auto"/>
        </w:rPr>
        <w:fldChar w:fldCharType="begin"/>
      </w:r>
      <w:r>
        <w:rPr>
          <w:color w:val="auto"/>
        </w:rPr>
        <w:instrText xml:space="preserve"> HYPERLINK "http://baike.baidu.com/view/4879920.htm" </w:instrText>
      </w:r>
      <w:r>
        <w:rPr>
          <w:rFonts w:hint="eastAsia"/>
          <w:color w:val="auto"/>
        </w:rPr>
        <w:fldChar w:fldCharType="separate"/>
      </w:r>
      <w:r>
        <w:rPr>
          <w:rFonts w:hint="eastAsia"/>
          <w:color w:val="auto"/>
          <w:sz w:val="28"/>
          <w:szCs w:val="28"/>
        </w:rPr>
        <w:t>易溶</w:t>
      </w:r>
      <w:r>
        <w:rPr>
          <w:rFonts w:hint="eastAsia"/>
          <w:color w:val="auto"/>
          <w:sz w:val="28"/>
          <w:szCs w:val="28"/>
        </w:rPr>
        <w:fldChar w:fldCharType="end"/>
      </w:r>
      <w:r>
        <w:rPr>
          <w:rFonts w:hint="eastAsia"/>
          <w:color w:val="auto"/>
          <w:sz w:val="28"/>
          <w:szCs w:val="28"/>
        </w:rPr>
        <w:t>于甲醇、乙醇、氯仿、丙酮等，弱酸弱碱中稳定。</w:t>
      </w:r>
    </w:p>
    <w:p>
      <w:pPr>
        <w:pStyle w:val="49"/>
        <w:ind w:firstLine="560" w:firstLineChars="200"/>
        <w:rPr>
          <w:color w:val="auto"/>
          <w:sz w:val="28"/>
          <w:szCs w:val="28"/>
        </w:rPr>
      </w:pPr>
      <w:r>
        <w:rPr>
          <w:rFonts w:hint="eastAsia"/>
          <w:color w:val="auto"/>
          <w:sz w:val="28"/>
          <w:szCs w:val="28"/>
        </w:rPr>
        <w:t>1</w:t>
      </w:r>
      <w:r>
        <w:rPr>
          <w:color w:val="auto"/>
          <w:sz w:val="28"/>
          <w:szCs w:val="28"/>
        </w:rPr>
        <w:t>9</w:t>
      </w:r>
      <w:r>
        <w:rPr>
          <w:rFonts w:hint="eastAsia"/>
          <w:color w:val="auto"/>
          <w:sz w:val="28"/>
          <w:szCs w:val="28"/>
        </w:rPr>
        <w:t>）消泡剂</w:t>
      </w:r>
    </w:p>
    <w:p>
      <w:pPr>
        <w:pStyle w:val="49"/>
        <w:ind w:firstLine="560" w:firstLineChars="200"/>
        <w:rPr>
          <w:color w:val="auto"/>
          <w:sz w:val="28"/>
          <w:szCs w:val="28"/>
        </w:rPr>
      </w:pPr>
      <w:r>
        <w:rPr>
          <w:rFonts w:hint="eastAsia"/>
          <w:color w:val="auto"/>
          <w:sz w:val="28"/>
          <w:szCs w:val="28"/>
        </w:rPr>
        <w:t>化学名称硅油乳液，外观为白色无臭液体，pH为7，沸点＞6</w:t>
      </w:r>
      <w:r>
        <w:rPr>
          <w:color w:val="auto"/>
          <w:sz w:val="28"/>
          <w:szCs w:val="28"/>
        </w:rPr>
        <w:t>5</w:t>
      </w:r>
      <w:r>
        <w:rPr>
          <w:rFonts w:hint="eastAsia"/>
          <w:color w:val="auto"/>
          <w:sz w:val="28"/>
          <w:szCs w:val="28"/>
        </w:rPr>
        <w:t>℃，闪点闭杯＞1</w:t>
      </w:r>
      <w:r>
        <w:rPr>
          <w:color w:val="auto"/>
          <w:sz w:val="28"/>
          <w:szCs w:val="28"/>
        </w:rPr>
        <w:t>00</w:t>
      </w:r>
      <w:r>
        <w:rPr>
          <w:rFonts w:hint="eastAsia"/>
          <w:color w:val="auto"/>
          <w:sz w:val="28"/>
          <w:szCs w:val="28"/>
        </w:rPr>
        <w:t>℃。急性经口毒性LD50:大鼠，&gt;5,000 mg/kg 估计值；急性经皮毒性LD50:家兔，&gt;5,000 mg/kg 估计值。避免吸入蒸气或雾滴。不要吞咽。不要接触眼睛。避免与皮肤长期或反复接触。保持容器密闭。小心防止溢出、浪费并尽量防止将其排放到环境中。按照良好的工业卫生和安全规范进行操作。</w:t>
      </w:r>
    </w:p>
    <w:p>
      <w:pPr>
        <w:pStyle w:val="49"/>
        <w:ind w:firstLine="560" w:firstLineChars="200"/>
        <w:rPr>
          <w:color w:val="auto"/>
          <w:sz w:val="28"/>
          <w:szCs w:val="28"/>
        </w:rPr>
      </w:pPr>
      <w:r>
        <w:rPr>
          <w:rFonts w:hint="eastAsia"/>
          <w:color w:val="auto"/>
          <w:sz w:val="28"/>
          <w:szCs w:val="28"/>
        </w:rPr>
        <w:t>2</w:t>
      </w:r>
      <w:r>
        <w:rPr>
          <w:color w:val="auto"/>
          <w:sz w:val="28"/>
          <w:szCs w:val="28"/>
        </w:rPr>
        <w:t>0</w:t>
      </w:r>
      <w:r>
        <w:rPr>
          <w:rFonts w:hint="eastAsia"/>
          <w:color w:val="auto"/>
          <w:sz w:val="28"/>
          <w:szCs w:val="28"/>
        </w:rPr>
        <w:t>）S</w:t>
      </w:r>
      <w:r>
        <w:rPr>
          <w:color w:val="auto"/>
          <w:sz w:val="28"/>
          <w:szCs w:val="28"/>
        </w:rPr>
        <w:t>-</w:t>
      </w:r>
      <w:r>
        <w:rPr>
          <w:rFonts w:hint="eastAsia"/>
          <w:color w:val="auto"/>
          <w:sz w:val="28"/>
          <w:szCs w:val="28"/>
        </w:rPr>
        <w:t>诱抗素</w:t>
      </w:r>
    </w:p>
    <w:p>
      <w:pPr>
        <w:pStyle w:val="49"/>
        <w:ind w:firstLine="560" w:firstLineChars="200"/>
        <w:rPr>
          <w:color w:val="auto"/>
          <w:sz w:val="28"/>
          <w:szCs w:val="28"/>
        </w:rPr>
      </w:pPr>
      <w:r>
        <w:rPr>
          <w:rFonts w:hint="eastAsia"/>
          <w:color w:val="auto"/>
          <w:sz w:val="28"/>
          <w:szCs w:val="28"/>
        </w:rPr>
        <w:t>外观为白色结晶粉末，分子式C</w:t>
      </w:r>
      <w:r>
        <w:rPr>
          <w:color w:val="auto"/>
          <w:sz w:val="28"/>
          <w:szCs w:val="28"/>
        </w:rPr>
        <w:t>15</w:t>
      </w:r>
      <w:r>
        <w:rPr>
          <w:rFonts w:hint="eastAsia"/>
          <w:color w:val="auto"/>
          <w:sz w:val="28"/>
          <w:szCs w:val="28"/>
        </w:rPr>
        <w:t>H</w:t>
      </w:r>
      <w:r>
        <w:rPr>
          <w:color w:val="auto"/>
          <w:sz w:val="28"/>
          <w:szCs w:val="28"/>
        </w:rPr>
        <w:t>28</w:t>
      </w:r>
      <w:r>
        <w:rPr>
          <w:rFonts w:hint="eastAsia"/>
          <w:color w:val="auto"/>
          <w:sz w:val="28"/>
          <w:szCs w:val="28"/>
        </w:rPr>
        <w:t>O</w:t>
      </w:r>
      <w:r>
        <w:rPr>
          <w:color w:val="auto"/>
          <w:sz w:val="28"/>
          <w:szCs w:val="28"/>
        </w:rPr>
        <w:t>4</w:t>
      </w:r>
      <w:r>
        <w:rPr>
          <w:rFonts w:hint="eastAsia"/>
          <w:color w:val="auto"/>
          <w:sz w:val="28"/>
          <w:szCs w:val="28"/>
        </w:rPr>
        <w:t>，分子量2</w:t>
      </w:r>
      <w:r>
        <w:rPr>
          <w:color w:val="auto"/>
          <w:sz w:val="28"/>
          <w:szCs w:val="28"/>
        </w:rPr>
        <w:t>64.32</w:t>
      </w:r>
      <w:r>
        <w:rPr>
          <w:rFonts w:hint="eastAsia"/>
          <w:color w:val="auto"/>
          <w:sz w:val="28"/>
          <w:szCs w:val="28"/>
        </w:rPr>
        <w:t>g</w:t>
      </w:r>
      <w:r>
        <w:rPr>
          <w:color w:val="auto"/>
          <w:sz w:val="28"/>
          <w:szCs w:val="28"/>
        </w:rPr>
        <w:t>/</w:t>
      </w:r>
      <w:r>
        <w:rPr>
          <w:rFonts w:hint="eastAsia"/>
          <w:color w:val="auto"/>
          <w:sz w:val="28"/>
          <w:szCs w:val="28"/>
        </w:rPr>
        <w:t>mol，如果吸入将患者移至新鲜空气处，皮肤接触用水冲洗眼睛，切勿给失去知觉者从嘴里喂食任何东西，用水漱口。</w:t>
      </w:r>
    </w:p>
    <w:p>
      <w:pPr>
        <w:pStyle w:val="49"/>
        <w:ind w:firstLine="560" w:firstLineChars="200"/>
        <w:rPr>
          <w:color w:val="auto"/>
          <w:sz w:val="28"/>
          <w:szCs w:val="28"/>
        </w:rPr>
      </w:pPr>
      <w:r>
        <w:rPr>
          <w:rFonts w:hint="eastAsia"/>
          <w:color w:val="auto"/>
          <w:sz w:val="28"/>
          <w:szCs w:val="28"/>
        </w:rPr>
        <w:t>2</w:t>
      </w:r>
      <w:r>
        <w:rPr>
          <w:color w:val="auto"/>
          <w:sz w:val="28"/>
          <w:szCs w:val="28"/>
        </w:rPr>
        <w:t>1</w:t>
      </w:r>
      <w:r>
        <w:rPr>
          <w:rFonts w:hint="eastAsia"/>
          <w:color w:val="auto"/>
          <w:sz w:val="28"/>
          <w:szCs w:val="28"/>
        </w:rPr>
        <w:t>）赤霉酸A</w:t>
      </w:r>
      <w:r>
        <w:rPr>
          <w:color w:val="auto"/>
          <w:sz w:val="28"/>
          <w:szCs w:val="28"/>
        </w:rPr>
        <w:t>3</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vAlign w:val="center"/>
          </w:tcPr>
          <w:p>
            <w:pPr>
              <w:jc w:val="center"/>
              <w:rPr>
                <w:b/>
                <w:bCs/>
                <w:color w:val="auto"/>
              </w:rPr>
            </w:pPr>
            <w:r>
              <w:rPr>
                <w:rFonts w:hint="eastAsia" w:ascii="宋体" w:hAnsi="宋体"/>
                <w:b/>
                <w:bCs/>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化学品中文名称：赤霉酸</w:t>
            </w:r>
            <w:r>
              <w:rPr>
                <w:rFonts w:hint="eastAsia"/>
                <w:color w:val="auto"/>
              </w:rPr>
              <w:t>A3</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化学品俗名：九二</w:t>
            </w:r>
            <w:r>
              <w:rPr>
                <w:rFonts w:hint="eastAsia"/>
                <w:color w:val="auto"/>
              </w:rPr>
              <w:t xml:space="preserve">0 </w:t>
            </w:r>
            <w:r>
              <w:rPr>
                <w:rFonts w:hint="eastAsia" w:ascii="宋体" w:hAnsi="宋体"/>
                <w:color w:val="auto"/>
              </w:rPr>
              <w:t>赤霉酸 赤霉素</w:t>
            </w:r>
            <w:r>
              <w:rPr>
                <w:rFonts w:hint="eastAsia"/>
                <w:color w:val="auto"/>
              </w:rPr>
              <w:t>A 2β,4a,7-</w:t>
            </w:r>
            <w:r>
              <w:rPr>
                <w:rFonts w:hint="eastAsia" w:ascii="宋体" w:hAnsi="宋体"/>
                <w:color w:val="auto"/>
              </w:rPr>
              <w:t>三羟基</w:t>
            </w:r>
            <w:r>
              <w:rPr>
                <w:rFonts w:hint="eastAsia"/>
                <w:color w:val="auto"/>
              </w:rPr>
              <w:t>-1-</w:t>
            </w:r>
            <w:r>
              <w:rPr>
                <w:rFonts w:hint="eastAsia" w:ascii="宋体" w:hAnsi="宋体"/>
                <w:color w:val="auto"/>
              </w:rPr>
              <w:t>甲 基</w:t>
            </w:r>
            <w:r>
              <w:rPr>
                <w:rFonts w:hint="eastAsia"/>
                <w:color w:val="auto"/>
              </w:rPr>
              <w:t>-8-</w:t>
            </w:r>
            <w:r>
              <w:rPr>
                <w:rFonts w:hint="eastAsia" w:ascii="宋体" w:hAnsi="宋体"/>
                <w:color w:val="auto"/>
              </w:rPr>
              <w:t>亚甲基</w:t>
            </w:r>
            <w:r>
              <w:rPr>
                <w:rFonts w:hint="eastAsia"/>
                <w:color w:val="auto"/>
              </w:rPr>
              <w:t>-4aα β-</w:t>
            </w:r>
            <w:r>
              <w:rPr>
                <w:rFonts w:hint="eastAsia" w:ascii="宋体" w:hAnsi="宋体"/>
                <w:color w:val="auto"/>
              </w:rPr>
              <w:t>赤霉</w:t>
            </w:r>
            <w:r>
              <w:rPr>
                <w:rFonts w:hint="eastAsia"/>
                <w:color w:val="auto"/>
              </w:rPr>
              <w:t>-3-</w:t>
            </w:r>
            <w:r>
              <w:rPr>
                <w:rFonts w:hint="eastAsia" w:ascii="宋体" w:hAnsi="宋体"/>
                <w:color w:val="auto"/>
              </w:rPr>
              <w:t>烯</w:t>
            </w:r>
            <w:r>
              <w:rPr>
                <w:rFonts w:hint="eastAsia"/>
                <w:color w:val="auto"/>
              </w:rPr>
              <w:t>-1α 10β-</w:t>
            </w:r>
            <w:r>
              <w:rPr>
                <w:rFonts w:hint="eastAsia" w:ascii="宋体" w:hAnsi="宋体"/>
                <w:color w:val="auto"/>
              </w:rPr>
              <w:t>二羧酸</w:t>
            </w:r>
            <w:r>
              <w:rPr>
                <w:rFonts w:hint="eastAsia"/>
                <w:color w:val="auto"/>
              </w:rPr>
              <w:t>-1,4a-</w:t>
            </w:r>
            <w:r>
              <w:rPr>
                <w:rFonts w:hint="eastAsia" w:ascii="宋体" w:hAnsi="宋体"/>
                <w:color w:val="auto"/>
              </w:rPr>
              <w:t>内酯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化学品英文名称：</w:t>
            </w:r>
            <w:r>
              <w:rPr>
                <w:rFonts w:hint="eastAsia"/>
                <w:color w:val="auto"/>
              </w:rPr>
              <w:t xml:space="preserve"> gibberellins; gibberellic acid; Berelex; ProGibb(ICI); Activol</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英文名称：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技术说明书编码：</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color w:val="auto"/>
              </w:rPr>
              <w:t>CAS No.</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生产企业名称：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生效日期：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第二部分：成分</w:t>
            </w:r>
            <w:r>
              <w:rPr>
                <w:rFonts w:hint="eastAsia"/>
                <w:b/>
                <w:bCs/>
                <w:color w:val="auto"/>
              </w:rPr>
              <w:t>/</w:t>
            </w:r>
            <w:r>
              <w:rPr>
                <w:rFonts w:hint="eastAsia" w:ascii="宋体" w:hAnsi="宋体"/>
                <w:b/>
                <w:bCs/>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有害物成分含量</w:t>
            </w:r>
            <w:r>
              <w:rPr>
                <w:rFonts w:hint="eastAsia"/>
                <w:color w:val="auto"/>
              </w:rPr>
              <w:t>CAS 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危险性类别：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侵入途径：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健康危害：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环境危害：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燃爆危险：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皮肤接触：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食入：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危险特性：</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有害燃烧产物：</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灭火方法：</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应急处理：</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操作注意事项：</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储存注意事项：</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第八部分：接触控制</w:t>
            </w:r>
            <w:r>
              <w:rPr>
                <w:rFonts w:hint="eastAsia"/>
                <w:b/>
                <w:bCs/>
                <w:color w:val="auto"/>
              </w:rPr>
              <w:t>/</w:t>
            </w:r>
            <w:r>
              <w:rPr>
                <w:rFonts w:hint="eastAsia" w:ascii="宋体" w:hAnsi="宋体"/>
                <w:b/>
                <w:bCs/>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 xml:space="preserve"> </w:t>
            </w:r>
            <w:r>
              <w:rPr>
                <w:rFonts w:hint="eastAsia" w:ascii="宋体" w:hAnsi="宋体"/>
                <w:color w:val="auto"/>
              </w:rPr>
              <w:t>中国</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前苏联</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TLVTN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TLVWN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工程控制：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呼吸系统防护：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身体防护：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手防护：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b/>
                <w:bCs/>
                <w:color w:val="auto"/>
              </w:rPr>
            </w:pPr>
            <w:r>
              <w:rPr>
                <w:rFonts w:hint="eastAsia" w:ascii="宋体" w:hAnsi="宋体"/>
                <w:b/>
                <w:bCs/>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外观与性状：纯品是白色晶体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pH</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熔点</w:t>
            </w:r>
            <w:r>
              <w:rPr>
                <w:rFonts w:hint="eastAsia"/>
                <w:color w:val="auto"/>
              </w:rPr>
              <w:t>(℃)</w:t>
            </w:r>
            <w:r>
              <w:rPr>
                <w:rFonts w:hint="eastAsia" w:ascii="宋体" w:hAnsi="宋体"/>
                <w:color w:val="auto"/>
              </w:rPr>
              <w:t>：赤霉酸：</w:t>
            </w:r>
            <w:r>
              <w:rPr>
                <w:rFonts w:hint="eastAsia"/>
                <w:color w:val="auto"/>
              </w:rPr>
              <w:t>233</w:t>
            </w:r>
            <w:r>
              <w:rPr>
                <w:rFonts w:hint="eastAsia" w:ascii="宋体" w:hAnsi="宋体"/>
                <w:color w:val="auto"/>
              </w:rPr>
              <w:t>～</w:t>
            </w:r>
            <w:r>
              <w:rPr>
                <w:rFonts w:hint="eastAsia"/>
                <w:color w:val="auto"/>
              </w:rPr>
              <w:t>235</w:t>
            </w:r>
            <w:r>
              <w:rPr>
                <w:rFonts w:hint="eastAsia" w:ascii="宋体" w:hAnsi="宋体"/>
                <w:color w:val="auto"/>
              </w:rPr>
              <w:t>（分解）</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沸点</w:t>
            </w:r>
            <w:r>
              <w:rPr>
                <w:rFonts w:hint="eastAsia"/>
                <w:color w:val="auto"/>
              </w:rPr>
              <w:t>(℃)</w:t>
            </w:r>
            <w:r>
              <w:rPr>
                <w:rFonts w:hint="eastAsia" w:ascii="宋体" w:hAnsi="宋体"/>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相对蒸气密度</w:t>
            </w: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分子式：</w:t>
            </w:r>
            <w:r>
              <w:rPr>
                <w:rFonts w:hint="eastAsia"/>
                <w:color w:val="auto"/>
              </w:rPr>
              <w:t>C</w:t>
            </w:r>
            <w:r>
              <w:rPr>
                <w:rFonts w:hint="eastAsia"/>
                <w:color w:val="auto"/>
                <w:vertAlign w:val="subscript"/>
              </w:rPr>
              <w:t>19</w:t>
            </w:r>
            <w:r>
              <w:rPr>
                <w:rFonts w:hint="eastAsia"/>
                <w:color w:val="auto"/>
              </w:rPr>
              <w:t>H</w:t>
            </w:r>
            <w:r>
              <w:rPr>
                <w:rFonts w:hint="eastAsia"/>
                <w:color w:val="auto"/>
                <w:vertAlign w:val="subscript"/>
              </w:rPr>
              <w:t>22</w:t>
            </w:r>
            <w:r>
              <w:rPr>
                <w:rFonts w:hint="eastAsia"/>
                <w:color w:val="auto"/>
              </w:rPr>
              <w:t>O</w:t>
            </w:r>
            <w:r>
              <w:rPr>
                <w:rFonts w:hint="eastAsia"/>
                <w:color w:val="auto"/>
                <w:vertAlign w:val="subscript"/>
              </w:rPr>
              <w:t>6</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分子量：</w:t>
            </w:r>
            <w:r>
              <w:rPr>
                <w:rFonts w:hint="eastAsia"/>
                <w:color w:val="auto"/>
              </w:rPr>
              <w:t>346.38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r>
              <w:rPr>
                <w:rFonts w:hint="eastAsia"/>
                <w:color w:val="auto"/>
              </w:rPr>
              <w:t>92232</w:t>
            </w:r>
            <w:r>
              <w:rPr>
                <w:rFonts w:hint="eastAsia" w:ascii="宋体" w:hAnsi="宋体"/>
                <w:color w:val="auto"/>
              </w:rPr>
              <w:t>（</w:t>
            </w:r>
            <w:r>
              <w:rPr>
                <w:rFonts w:hint="eastAsia"/>
                <w:color w:val="auto"/>
              </w:rPr>
              <w:t>80℃</w:t>
            </w:r>
            <w:r>
              <w:rPr>
                <w:rFonts w:hint="eastAsia" w:ascii="宋体" w:hAnsi="宋体"/>
                <w:color w:val="auto"/>
              </w:rPr>
              <w:t>）；</w:t>
            </w:r>
            <w:r>
              <w:rPr>
                <w:rFonts w:hint="eastAsia"/>
                <w:color w:val="auto"/>
              </w:rPr>
              <w:t>38463</w:t>
            </w:r>
            <w:r>
              <w:rPr>
                <w:rFonts w:hint="eastAsia" w:ascii="宋体" w:hAnsi="宋体"/>
                <w:color w:val="auto"/>
              </w:rPr>
              <w:t>（</w:t>
            </w:r>
            <w:r>
              <w:rPr>
                <w:rFonts w:hint="eastAsia"/>
                <w:color w:val="auto"/>
              </w:rPr>
              <w:t>60℃</w:t>
            </w:r>
            <w:r>
              <w:rPr>
                <w:rFonts w:hint="eastAsia" w:ascii="宋体" w:hAnsi="宋体"/>
                <w:color w:val="auto"/>
              </w:rPr>
              <w:t xml:space="preserve">）； </w:t>
            </w:r>
            <w:r>
              <w:rPr>
                <w:rFonts w:hint="eastAsia"/>
                <w:color w:val="auto"/>
              </w:rPr>
              <w:t>1187</w:t>
            </w:r>
            <w:r>
              <w:rPr>
                <w:rFonts w:hint="eastAsia" w:ascii="宋体" w:hAnsi="宋体"/>
                <w:color w:val="auto"/>
              </w:rPr>
              <w:t>（</w:t>
            </w:r>
            <w:r>
              <w:rPr>
                <w:rFonts w:hint="eastAsia"/>
                <w:color w:val="auto"/>
              </w:rPr>
              <w:t>0℃</w:t>
            </w:r>
            <w:r>
              <w:rPr>
                <w:rFonts w:hint="eastAsia" w:ascii="宋体" w:hAnsi="宋体"/>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燃烧热</w:t>
            </w:r>
            <w:r>
              <w:rPr>
                <w:rFonts w:hint="eastAsia"/>
                <w:color w:val="auto"/>
              </w:rPr>
              <w:t>(kJ/mol)</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临界温度</w:t>
            </w:r>
            <w:r>
              <w:rPr>
                <w:rFonts w:hint="eastAsia"/>
                <w:color w:val="auto"/>
              </w:rPr>
              <w:t>(℃)</w:t>
            </w:r>
            <w:r>
              <w:rPr>
                <w:rFonts w:hint="eastAsia" w:ascii="宋体" w:hAnsi="宋体"/>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临界压力</w:t>
            </w:r>
            <w:r>
              <w:rPr>
                <w:rFonts w:hint="eastAsia"/>
                <w:color w:val="auto"/>
              </w:rPr>
              <w:t>(MPa)</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闪点</w:t>
            </w:r>
            <w:r>
              <w:rPr>
                <w:rFonts w:hint="eastAsia"/>
                <w:color w:val="auto"/>
              </w:rPr>
              <w:t>(℃)</w:t>
            </w:r>
            <w:r>
              <w:rPr>
                <w:rFonts w:hint="eastAsia" w:ascii="宋体" w:hAnsi="宋体"/>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爆炸上限</w:t>
            </w:r>
            <w:r>
              <w:rPr>
                <w:rFonts w:hint="eastAsia"/>
                <w:color w:val="auto"/>
              </w:rPr>
              <w:t>%(V/V)</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引燃温度</w:t>
            </w:r>
            <w:r>
              <w:rPr>
                <w:rFonts w:hint="eastAsia"/>
                <w:color w:val="auto"/>
              </w:rPr>
              <w:t>(℃)</w:t>
            </w:r>
            <w:r>
              <w:rPr>
                <w:rFonts w:hint="eastAsia" w:ascii="宋体" w:hAnsi="宋体"/>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爆炸下限</w:t>
            </w:r>
            <w:r>
              <w:rPr>
                <w:rFonts w:hint="eastAsia"/>
                <w:color w:val="auto"/>
              </w:rPr>
              <w:t>%(V/V)</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溶解性：</w:t>
            </w:r>
            <w:r>
              <w:rPr>
                <w:rFonts w:hint="eastAsia"/>
                <w:color w:val="auto"/>
              </w:rPr>
              <w:t xml:space="preserve"> </w:t>
            </w:r>
            <w:r>
              <w:rPr>
                <w:rFonts w:hint="eastAsia" w:ascii="宋体" w:hAnsi="宋体"/>
                <w:color w:val="auto"/>
              </w:rPr>
              <w:t>难溶于水，溶于乙醇、丙酮和酯类，稍溶于醚，不溶于氯仿。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主要用途：植物生长调节剂。赤霉素对植物有促进发芽和枝叶生长以及提早开花结果等作用，缩短马铃薯休眠期并使叶绿素减</w:t>
            </w:r>
            <w:r>
              <w:rPr>
                <w:rFonts w:hint="eastAsia"/>
                <w:color w:val="auto"/>
              </w:rPr>
              <w:t xml:space="preserve"> </w:t>
            </w:r>
            <w:r>
              <w:rPr>
                <w:rFonts w:hint="eastAsia" w:ascii="宋体" w:hAnsi="宋体"/>
                <w:color w:val="auto"/>
              </w:rPr>
              <w:t>少。对于棉花、水稻、花生、蚕豆、葡萄等有显著增产作用，同时对三麦、甘蔗、苗圃、菇类栽培、育豆芽、果树类亦有良好作用。施药方法有浸根、涂抹、喷雾等。赤霉素粉配用时，先将其溶于少量酒精或白酒中，再加水稀释到所需浓度，水溶粉、乳油可直接用水稀释，配制后不宜放置过久。可与滴滴涕、乐果、敌百虫混用，不可与碱性农药混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稳定性：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禁配物：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避免接触的条件：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聚合危害：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分解产物：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急性毒性：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LD50</w:t>
            </w:r>
            <w:r>
              <w:rPr>
                <w:rFonts w:hint="eastAsia" w:ascii="宋体" w:hAnsi="宋体"/>
                <w:color w:val="auto"/>
              </w:rPr>
              <w:t>：大、小白鼠急性经口大于</w:t>
            </w:r>
            <w:r>
              <w:rPr>
                <w:rFonts w:hint="eastAsia"/>
                <w:color w:val="auto"/>
              </w:rPr>
              <w:t>15000</w:t>
            </w:r>
            <w:r>
              <w:rPr>
                <w:rFonts w:hint="eastAsia" w:ascii="宋体" w:hAnsi="宋体"/>
                <w:color w:val="auto"/>
              </w:rPr>
              <w:t>；鲤鱼</w:t>
            </w:r>
            <w:r>
              <w:rPr>
                <w:rFonts w:hint="eastAsia"/>
                <w:color w:val="auto"/>
              </w:rPr>
              <w:t>TLm(48h)</w:t>
            </w:r>
            <w:r>
              <w:rPr>
                <w:rFonts w:hint="eastAsia" w:ascii="宋体" w:hAnsi="宋体"/>
                <w:color w:val="auto"/>
              </w:rPr>
              <w:t>大于</w:t>
            </w:r>
            <w:r>
              <w:rPr>
                <w:rFonts w:hint="eastAsia"/>
                <w:color w:val="auto"/>
              </w:rPr>
              <w:t>100mg/L</w:t>
            </w:r>
            <w:r>
              <w:rPr>
                <w:rFonts w:hint="eastAsia" w:ascii="宋体" w:hAnsi="宋体"/>
                <w:color w:val="auto"/>
              </w:rPr>
              <w:t>，水虱</w:t>
            </w:r>
            <w:r>
              <w:rPr>
                <w:rFonts w:hint="eastAsia"/>
                <w:color w:val="auto"/>
              </w:rPr>
              <w:t>850mg/L</w:t>
            </w:r>
            <w:r>
              <w:rPr>
                <w:rFonts w:hint="eastAsia" w:ascii="宋体" w:hAnsi="宋体"/>
                <w:color w:val="auto"/>
              </w:rPr>
              <w:t xml:space="preserve">。果实、蔬菜允许残留量 </w:t>
            </w:r>
            <w:r>
              <w:rPr>
                <w:rFonts w:hint="eastAsia"/>
                <w:color w:val="auto"/>
              </w:rPr>
              <w:t>0.2mg/kg</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LC50</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亚急性和慢性毒性：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致敏性：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致突变性：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致畸性：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生态毒理毒性：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生物降解性：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非生物降解性：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生物富集或生物积累性：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其它有害作用：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废弃物性质：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废弃处置方法：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危险货物编号：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UN</w:t>
            </w:r>
            <w:r>
              <w:rPr>
                <w:rFonts w:hint="eastAsia" w:ascii="宋体" w:hAnsi="宋体"/>
                <w:color w:val="auto"/>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包装方法：内衬塑料袋的纸袋装（粉剂），每袋</w:t>
            </w:r>
            <w:r>
              <w:rPr>
                <w:rFonts w:hint="eastAsia"/>
                <w:color w:val="auto"/>
              </w:rPr>
              <w:t>1g</w:t>
            </w:r>
            <w:r>
              <w:rPr>
                <w:rFonts w:hint="eastAsia" w:ascii="宋体" w:hAnsi="宋体"/>
                <w:color w:val="auto"/>
              </w:rPr>
              <w:t>，外加纸箱，每箱</w:t>
            </w:r>
            <w:r>
              <w:rPr>
                <w:rFonts w:hint="eastAsia"/>
                <w:color w:val="auto"/>
              </w:rPr>
              <w:t>2000</w:t>
            </w:r>
            <w:r>
              <w:rPr>
                <w:rFonts w:hint="eastAsia" w:ascii="宋体" w:hAnsi="宋体"/>
                <w:color w:val="auto"/>
              </w:rPr>
              <w:t>袋，净重</w:t>
            </w:r>
            <w:r>
              <w:rPr>
                <w:rFonts w:hint="eastAsia"/>
                <w:color w:val="auto"/>
              </w:rPr>
              <w:t>2kg</w:t>
            </w:r>
            <w:r>
              <w:rPr>
                <w:rFonts w:hint="eastAsia" w:ascii="宋体" w:hAnsi="宋体"/>
                <w:color w:val="auto"/>
              </w:rPr>
              <w:t>。乳油用玻璃瓶装。应贮存在低温、干 燥的地方，尤其要避免高温；在干燥状态下不易分解，其水溶液在</w:t>
            </w:r>
            <w:r>
              <w:rPr>
                <w:rFonts w:hint="eastAsia"/>
                <w:color w:val="auto"/>
              </w:rPr>
              <w:t>5℃</w:t>
            </w:r>
            <w:r>
              <w:rPr>
                <w:rFonts w:hint="eastAsia" w:ascii="宋体" w:hAnsi="宋体"/>
                <w:color w:val="auto"/>
              </w:rPr>
              <w:t>以上时易被破坏而失效。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运输注意事项：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法规信息</w:t>
            </w:r>
            <w:r>
              <w:rPr>
                <w:rFonts w:hint="eastAsia"/>
                <w:color w:val="auto"/>
              </w:rPr>
              <w:t>:</w:t>
            </w:r>
            <w:r>
              <w:rPr>
                <w:rFonts w:hint="eastAsia" w:ascii="宋体" w:hAnsi="宋体"/>
                <w:color w:val="auto"/>
              </w:rPr>
              <w:t>下列法律法规和标准，对化学品的安全使用、储存、运输、装卸、分类和标志等方面均作了相应的规定：</w:t>
            </w:r>
          </w:p>
          <w:p>
            <w:pPr>
              <w:rPr>
                <w:color w:val="auto"/>
              </w:rPr>
            </w:pPr>
            <w:r>
              <w:rPr>
                <w:rFonts w:hint="eastAsia" w:ascii="宋体" w:hAnsi="宋体"/>
                <w:color w:val="auto"/>
              </w:rPr>
              <w:t>中华人民共和国安全生产法；</w:t>
            </w:r>
          </w:p>
          <w:p>
            <w:pPr>
              <w:rPr>
                <w:color w:val="auto"/>
              </w:rPr>
            </w:pPr>
            <w:r>
              <w:rPr>
                <w:rFonts w:hint="eastAsia" w:ascii="宋体" w:hAnsi="宋体"/>
                <w:color w:val="auto"/>
              </w:rPr>
              <w:t>中华人民共和国职业病防治法；</w:t>
            </w:r>
          </w:p>
          <w:p>
            <w:pPr>
              <w:rPr>
                <w:color w:val="auto"/>
              </w:rPr>
            </w:pPr>
            <w:r>
              <w:rPr>
                <w:rFonts w:hint="eastAsia" w:ascii="宋体" w:hAnsi="宋体"/>
                <w:color w:val="auto"/>
              </w:rPr>
              <w:t>中华人民共和国环境保护法；</w:t>
            </w:r>
          </w:p>
          <w:p>
            <w:pPr>
              <w:rPr>
                <w:color w:val="auto"/>
              </w:rPr>
            </w:pPr>
            <w:r>
              <w:rPr>
                <w:rFonts w:hint="eastAsia" w:ascii="宋体" w:hAnsi="宋体"/>
                <w:color w:val="auto"/>
              </w:rPr>
              <w:t>危险化学品安全管理条例；</w:t>
            </w:r>
          </w:p>
          <w:p>
            <w:pPr>
              <w:rPr>
                <w:color w:val="auto"/>
              </w:rPr>
            </w:pPr>
            <w:r>
              <w:rPr>
                <w:rFonts w:hint="eastAsia" w:ascii="宋体" w:hAnsi="宋体"/>
                <w:color w:val="auto"/>
              </w:rPr>
              <w:t>安全生产许可证条例；</w:t>
            </w:r>
          </w:p>
          <w:p>
            <w:pPr>
              <w:rPr>
                <w:color w:val="auto"/>
              </w:rPr>
            </w:pPr>
            <w:r>
              <w:rPr>
                <w:rFonts w:hint="eastAsia" w:ascii="宋体" w:hAnsi="宋体"/>
                <w:color w:val="auto"/>
              </w:rPr>
              <w:t>化学品分类和危险性公示通则</w:t>
            </w:r>
            <w:r>
              <w:rPr>
                <w:rFonts w:hint="eastAsia"/>
                <w:color w:val="auto"/>
              </w:rPr>
              <w:t>(GB13690-2009)</w:t>
            </w:r>
            <w:r>
              <w:rPr>
                <w:rFonts w:hint="eastAsia" w:ascii="宋体" w:hAnsi="宋体"/>
                <w:color w:val="auto"/>
              </w:rPr>
              <w:t>；</w:t>
            </w:r>
          </w:p>
          <w:p>
            <w:pPr>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参考文献：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填表部门：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数据审核单位：</w:t>
            </w:r>
            <w:r>
              <w:rPr>
                <w:rFonts w:hint="eastAsia"/>
                <w:color w:val="auto"/>
              </w:rPr>
              <w:t>msds</w:t>
            </w:r>
            <w:r>
              <w:rPr>
                <w:rFonts w:hint="eastAsia" w:ascii="宋体" w:hAnsi="宋体"/>
                <w:color w:val="auto"/>
              </w:rPr>
              <w:t>查询网整理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其他信息：：</w:t>
            </w:r>
            <w:r>
              <w:rPr>
                <w:rFonts w:hint="eastAsia"/>
                <w:color w:val="auto"/>
              </w:rPr>
              <w:t xml:space="preserve"> </w:t>
            </w:r>
            <w:r>
              <w:rPr>
                <w:rFonts w:hint="eastAsia" w:ascii="宋体" w:hAnsi="宋体"/>
                <w:color w:val="auto"/>
              </w:rPr>
              <w:t>是镰刀菌代谢作用产生的赤霉素</w:t>
            </w:r>
            <w:r>
              <w:rPr>
                <w:rFonts w:hint="eastAsia"/>
                <w:color w:val="auto"/>
              </w:rPr>
              <w:t>A1</w:t>
            </w:r>
            <w:r>
              <w:rPr>
                <w:rFonts w:hint="eastAsia" w:ascii="宋体" w:hAnsi="宋体"/>
                <w:color w:val="auto"/>
              </w:rPr>
              <w:t>、</w:t>
            </w:r>
            <w:r>
              <w:rPr>
                <w:rFonts w:hint="eastAsia"/>
                <w:color w:val="auto"/>
              </w:rPr>
              <w:t>A2</w:t>
            </w:r>
            <w:r>
              <w:rPr>
                <w:rFonts w:hint="eastAsia" w:ascii="宋体" w:hAnsi="宋体"/>
                <w:color w:val="auto"/>
              </w:rPr>
              <w:t>、</w:t>
            </w:r>
            <w:r>
              <w:rPr>
                <w:rFonts w:hint="eastAsia"/>
                <w:color w:val="auto"/>
              </w:rPr>
              <w:t>A3</w:t>
            </w:r>
            <w:r>
              <w:rPr>
                <w:rFonts w:hint="eastAsia" w:ascii="宋体" w:hAnsi="宋体"/>
                <w:color w:val="auto"/>
              </w:rPr>
              <w:t>、</w:t>
            </w:r>
            <w:r>
              <w:rPr>
                <w:rFonts w:hint="eastAsia"/>
                <w:color w:val="auto"/>
              </w:rPr>
              <w:t>A4</w:t>
            </w:r>
            <w:r>
              <w:rPr>
                <w:rFonts w:hint="eastAsia" w:ascii="宋体" w:hAnsi="宋体"/>
                <w:color w:val="auto"/>
              </w:rPr>
              <w:t>等的混合物，活性最强的为赤霉酸。可加工成乳剂、粉剂等。在碱性溶液中不稳定，弱酸性基础酸性溶液中较稳定。棉花等作物施后，不孕籽增加，故留种田不宜施药。</w:t>
            </w:r>
          </w:p>
        </w:tc>
      </w:tr>
    </w:tbl>
    <w:p>
      <w:pPr>
        <w:pStyle w:val="49"/>
        <w:ind w:firstLine="560" w:firstLineChars="200"/>
        <w:rPr>
          <w:color w:val="auto"/>
          <w:sz w:val="28"/>
          <w:szCs w:val="28"/>
        </w:rPr>
      </w:pPr>
      <w:r>
        <w:rPr>
          <w:rFonts w:hint="eastAsia"/>
          <w:color w:val="auto"/>
          <w:sz w:val="28"/>
          <w:szCs w:val="28"/>
        </w:rPr>
        <w:t>2</w:t>
      </w:r>
      <w:r>
        <w:rPr>
          <w:color w:val="auto"/>
          <w:sz w:val="28"/>
          <w:szCs w:val="28"/>
        </w:rPr>
        <w:t>2</w:t>
      </w:r>
      <w:r>
        <w:rPr>
          <w:rFonts w:hint="eastAsia"/>
          <w:color w:val="auto"/>
          <w:sz w:val="28"/>
          <w:szCs w:val="28"/>
        </w:rPr>
        <w:t>）烯效唑</w:t>
      </w:r>
    </w:p>
    <w:p>
      <w:pPr>
        <w:pStyle w:val="49"/>
        <w:ind w:firstLine="560" w:firstLineChars="200"/>
        <w:jc w:val="both"/>
        <w:rPr>
          <w:color w:val="auto"/>
          <w:sz w:val="28"/>
          <w:szCs w:val="28"/>
        </w:rPr>
      </w:pPr>
      <w:r>
        <w:rPr>
          <w:color w:val="auto"/>
          <w:sz w:val="28"/>
          <w:szCs w:val="28"/>
        </w:rPr>
        <w:t>化学品中文名称：烯效唑</w:t>
      </w:r>
      <w:r>
        <w:rPr>
          <w:rFonts w:hint="eastAsia"/>
          <w:color w:val="auto"/>
          <w:sz w:val="28"/>
          <w:szCs w:val="28"/>
        </w:rPr>
        <w:t>，</w:t>
      </w:r>
      <w:r>
        <w:rPr>
          <w:color w:val="auto"/>
          <w:sz w:val="28"/>
          <w:szCs w:val="28"/>
        </w:rPr>
        <w:t>化学品俗名： （E）-（RS）-1-（4-氯苯基）-4,4-二甲基-2-（1H1,2,4-三 唑-1-基）戊-1-烯-3-醇</w:t>
      </w:r>
      <w:r>
        <w:rPr>
          <w:rFonts w:hint="eastAsia"/>
          <w:color w:val="auto"/>
          <w:sz w:val="28"/>
          <w:szCs w:val="28"/>
        </w:rPr>
        <w:t>。</w:t>
      </w:r>
      <w:r>
        <w:rPr>
          <w:color w:val="auto"/>
          <w:sz w:val="28"/>
          <w:szCs w:val="28"/>
        </w:rPr>
        <w:t>原药为无色结晶固体</w:t>
      </w:r>
      <w:r>
        <w:rPr>
          <w:rFonts w:hint="eastAsia"/>
          <w:color w:val="auto"/>
          <w:sz w:val="28"/>
          <w:szCs w:val="28"/>
        </w:rPr>
        <w:t>，</w:t>
      </w:r>
      <w:r>
        <w:rPr>
          <w:color w:val="auto"/>
          <w:sz w:val="28"/>
          <w:szCs w:val="28"/>
        </w:rPr>
        <w:t>熔点(℃)：147～164</w:t>
      </w:r>
      <w:r>
        <w:rPr>
          <w:rFonts w:hint="eastAsia"/>
          <w:color w:val="auto"/>
          <w:sz w:val="28"/>
          <w:szCs w:val="28"/>
        </w:rPr>
        <w:t>，</w:t>
      </w:r>
      <w:r>
        <w:rPr>
          <w:color w:val="auto"/>
          <w:sz w:val="28"/>
          <w:szCs w:val="28"/>
        </w:rPr>
        <w:t>相对密度(水=1)：1.28（21.5℃）</w:t>
      </w:r>
      <w:r>
        <w:rPr>
          <w:rFonts w:hint="eastAsia"/>
          <w:color w:val="auto"/>
          <w:sz w:val="28"/>
          <w:szCs w:val="28"/>
        </w:rPr>
        <w:t>。</w:t>
      </w:r>
      <w:r>
        <w:rPr>
          <w:color w:val="auto"/>
          <w:sz w:val="28"/>
          <w:szCs w:val="28"/>
        </w:rPr>
        <w:t>分子式：c15h18cln3o</w:t>
      </w:r>
      <w:r>
        <w:rPr>
          <w:rFonts w:hint="eastAsia"/>
          <w:color w:val="auto"/>
          <w:sz w:val="28"/>
          <w:szCs w:val="28"/>
        </w:rPr>
        <w:t>，</w:t>
      </w:r>
      <w:r>
        <w:rPr>
          <w:color w:val="auto"/>
          <w:sz w:val="28"/>
          <w:szCs w:val="28"/>
        </w:rPr>
        <w:t>分子量：291.8</w:t>
      </w:r>
      <w:r>
        <w:rPr>
          <w:rFonts w:hint="eastAsia"/>
          <w:color w:val="auto"/>
          <w:sz w:val="28"/>
          <w:szCs w:val="28"/>
        </w:rPr>
        <w:t>。</w:t>
      </w:r>
      <w:r>
        <w:rPr>
          <w:color w:val="auto"/>
          <w:sz w:val="28"/>
          <w:szCs w:val="28"/>
        </w:rPr>
        <w:t>LD50：雄大白鼠急性经口2020，雌大白鼠1790，小白鼠大于600；大白鼠急性经皮大于2000。对皮肤无刺激作 用，对眼睛有轻微刺激作用，Ames试验阴性。鱼毒LC50(48h,mg/L)：金鱼大于1.0，蓝鳃6.4。</w:t>
      </w:r>
    </w:p>
    <w:p>
      <w:pPr>
        <w:pStyle w:val="49"/>
        <w:ind w:firstLine="560" w:firstLineChars="200"/>
        <w:rPr>
          <w:color w:val="auto"/>
          <w:sz w:val="28"/>
          <w:szCs w:val="28"/>
        </w:rPr>
      </w:pPr>
      <w:r>
        <w:rPr>
          <w:rFonts w:hint="eastAsia"/>
          <w:color w:val="auto"/>
          <w:sz w:val="28"/>
          <w:szCs w:val="28"/>
        </w:rPr>
        <w:t>2</w:t>
      </w:r>
      <w:r>
        <w:rPr>
          <w:color w:val="auto"/>
          <w:sz w:val="28"/>
          <w:szCs w:val="28"/>
        </w:rPr>
        <w:t>3</w:t>
      </w:r>
      <w:r>
        <w:rPr>
          <w:rFonts w:hint="eastAsia"/>
          <w:color w:val="auto"/>
          <w:sz w:val="28"/>
          <w:szCs w:val="28"/>
        </w:rPr>
        <w:t>）黄原胶</w:t>
      </w:r>
    </w:p>
    <w:p>
      <w:pPr>
        <w:pStyle w:val="49"/>
        <w:ind w:firstLine="560" w:firstLineChars="200"/>
        <w:jc w:val="both"/>
        <w:rPr>
          <w:color w:val="auto"/>
          <w:sz w:val="28"/>
          <w:szCs w:val="28"/>
        </w:rPr>
      </w:pPr>
      <w:r>
        <w:rPr>
          <w:rFonts w:hint="eastAsia"/>
          <w:color w:val="auto"/>
          <w:sz w:val="28"/>
          <w:szCs w:val="28"/>
        </w:rPr>
        <w:t>化学品名称为黄原胶或黄单孢菌多糖，外观呈浅黄褐色粉末，CAS号1</w:t>
      </w:r>
      <w:r>
        <w:rPr>
          <w:color w:val="auto"/>
          <w:sz w:val="28"/>
          <w:szCs w:val="28"/>
        </w:rPr>
        <w:t>1138-66-2</w:t>
      </w:r>
      <w:r>
        <w:rPr>
          <w:rFonts w:hint="eastAsia"/>
          <w:color w:val="auto"/>
          <w:sz w:val="28"/>
          <w:szCs w:val="28"/>
        </w:rPr>
        <w:t>，熔点6</w:t>
      </w:r>
      <w:r>
        <w:rPr>
          <w:color w:val="auto"/>
          <w:sz w:val="28"/>
          <w:szCs w:val="28"/>
        </w:rPr>
        <w:t>4.43</w:t>
      </w:r>
      <w:r>
        <w:rPr>
          <w:rFonts w:hint="eastAsia"/>
          <w:color w:val="auto"/>
          <w:sz w:val="28"/>
          <w:szCs w:val="28"/>
        </w:rPr>
        <w:t>℃，分子式</w:t>
      </w:r>
      <w:r>
        <w:rPr>
          <w:color w:val="auto"/>
          <w:sz w:val="28"/>
          <w:szCs w:val="28"/>
        </w:rPr>
        <w:t>C8H14Cl2N2O2</w:t>
      </w:r>
      <w:r>
        <w:rPr>
          <w:rFonts w:hint="eastAsia"/>
          <w:color w:val="auto"/>
          <w:sz w:val="28"/>
          <w:szCs w:val="28"/>
        </w:rPr>
        <w:t>，分子量</w:t>
      </w:r>
      <w:r>
        <w:rPr>
          <w:color w:val="auto"/>
          <w:sz w:val="28"/>
          <w:szCs w:val="28"/>
        </w:rPr>
        <w:t>241.11496</w:t>
      </w:r>
      <w:r>
        <w:rPr>
          <w:rFonts w:hint="eastAsia"/>
          <w:color w:val="auto"/>
          <w:sz w:val="28"/>
          <w:szCs w:val="28"/>
        </w:rPr>
        <w:t>。</w:t>
      </w:r>
      <w:r>
        <w:rPr>
          <w:color w:val="auto"/>
          <w:sz w:val="28"/>
          <w:szCs w:val="28"/>
        </w:rPr>
        <w:t>可溶于水，变为高粘性的溶液，几乎不溶于有机溶剂</w:t>
      </w:r>
      <w:r>
        <w:rPr>
          <w:rFonts w:hint="eastAsia"/>
          <w:color w:val="auto"/>
          <w:sz w:val="28"/>
          <w:szCs w:val="28"/>
        </w:rPr>
        <w:t>。</w:t>
      </w:r>
      <w:r>
        <w:rPr>
          <w:color w:val="auto"/>
          <w:sz w:val="28"/>
          <w:szCs w:val="28"/>
        </w:rPr>
        <w:t>用于食品工业中多目的的稳定剂、稠化剂和加工辅助剂。还可作为油田化学品，提高采收率。</w:t>
      </w:r>
    </w:p>
    <w:p>
      <w:pPr>
        <w:pStyle w:val="49"/>
        <w:ind w:firstLine="560" w:firstLineChars="200"/>
        <w:rPr>
          <w:color w:val="auto"/>
          <w:sz w:val="28"/>
          <w:szCs w:val="28"/>
        </w:rPr>
      </w:pPr>
      <w:r>
        <w:rPr>
          <w:rFonts w:hint="eastAsia"/>
          <w:color w:val="auto"/>
          <w:sz w:val="28"/>
          <w:szCs w:val="28"/>
        </w:rPr>
        <w:t>2</w:t>
      </w:r>
      <w:r>
        <w:rPr>
          <w:color w:val="auto"/>
          <w:sz w:val="28"/>
          <w:szCs w:val="28"/>
        </w:rPr>
        <w:t>4</w:t>
      </w:r>
      <w:r>
        <w:rPr>
          <w:rFonts w:hint="eastAsia"/>
          <w:color w:val="auto"/>
          <w:sz w:val="28"/>
          <w:szCs w:val="28"/>
        </w:rPr>
        <w:t>）苯甲酸钠</w:t>
      </w:r>
    </w:p>
    <w:p>
      <w:pPr>
        <w:pStyle w:val="49"/>
        <w:ind w:firstLine="560" w:firstLineChars="200"/>
        <w:rPr>
          <w:color w:val="auto"/>
          <w:sz w:val="28"/>
          <w:szCs w:val="28"/>
        </w:rPr>
      </w:pPr>
      <w:r>
        <w:rPr>
          <w:rFonts w:hint="eastAsia"/>
          <w:color w:val="auto"/>
          <w:sz w:val="28"/>
          <w:szCs w:val="28"/>
        </w:rPr>
        <w:t>CAS号5</w:t>
      </w:r>
      <w:r>
        <w:rPr>
          <w:color w:val="auto"/>
          <w:sz w:val="28"/>
          <w:szCs w:val="28"/>
        </w:rPr>
        <w:t>32-32-1</w:t>
      </w:r>
      <w:r>
        <w:rPr>
          <w:rFonts w:hint="eastAsia"/>
          <w:color w:val="auto"/>
          <w:sz w:val="28"/>
          <w:szCs w:val="28"/>
        </w:rPr>
        <w:t>，外观为白色无味晶体。分子式</w:t>
      </w:r>
      <w:r>
        <w:rPr>
          <w:color w:val="auto"/>
          <w:sz w:val="28"/>
          <w:szCs w:val="28"/>
        </w:rPr>
        <w:t>C7H5NaO2</w:t>
      </w:r>
      <w:r>
        <w:rPr>
          <w:rFonts w:hint="eastAsia"/>
          <w:color w:val="auto"/>
          <w:sz w:val="28"/>
          <w:szCs w:val="28"/>
        </w:rPr>
        <w:t>。</w:t>
      </w:r>
      <w:r>
        <w:rPr>
          <w:color w:val="auto"/>
          <w:sz w:val="28"/>
          <w:szCs w:val="28"/>
        </w:rPr>
        <w:t>大量食入会很快从体内排出；粉尘会积聚在眼睛、鼻、喉和肺中，使人心烦意乱，工作易出现危险；食入8-10克量会引起恶心、呕吐、胃疼、食欲减退；长期暴露，有过敏反应，加剧对其他物质的过敏症状</w:t>
      </w:r>
      <w:r>
        <w:rPr>
          <w:rFonts w:hint="eastAsia"/>
          <w:color w:val="auto"/>
          <w:sz w:val="28"/>
          <w:szCs w:val="28"/>
        </w:rPr>
        <w:t>。</w:t>
      </w:r>
    </w:p>
    <w:p>
      <w:pPr>
        <w:pStyle w:val="49"/>
        <w:ind w:firstLine="560" w:firstLineChars="200"/>
        <w:rPr>
          <w:color w:val="auto"/>
          <w:sz w:val="28"/>
          <w:szCs w:val="28"/>
        </w:rPr>
      </w:pPr>
      <w:r>
        <w:rPr>
          <w:rFonts w:hint="eastAsia"/>
          <w:color w:val="auto"/>
          <w:sz w:val="28"/>
          <w:szCs w:val="28"/>
        </w:rPr>
        <w:t>2</w:t>
      </w:r>
      <w:r>
        <w:rPr>
          <w:color w:val="auto"/>
          <w:sz w:val="28"/>
          <w:szCs w:val="28"/>
        </w:rPr>
        <w:t>5</w:t>
      </w:r>
      <w:r>
        <w:rPr>
          <w:rFonts w:hint="eastAsia"/>
          <w:color w:val="auto"/>
          <w:sz w:val="28"/>
          <w:szCs w:val="28"/>
        </w:rPr>
        <w:t>）乙二醇</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6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CAS：</w:t>
            </w:r>
          </w:p>
        </w:tc>
        <w:tc>
          <w:tcPr>
            <w:tcW w:w="0" w:type="auto"/>
            <w:tcBorders>
              <w:top w:val="single" w:color="auto" w:sz="4" w:space="0"/>
              <w:left w:val="single" w:color="auto" w:sz="4" w:space="0"/>
              <w:bottom w:val="single" w:color="auto" w:sz="4" w:space="0"/>
              <w:right w:val="single" w:color="auto" w:sz="4" w:space="0"/>
            </w:tcBorders>
            <w:vAlign w:val="center"/>
          </w:tcPr>
          <w:p>
            <w:pPr>
              <w:spacing w:line="260" w:lineRule="exact"/>
              <w:rPr>
                <w:rFonts w:ascii="微软雅黑" w:hAnsi="微软雅黑" w:eastAsia="微软雅黑"/>
                <w:color w:val="auto"/>
              </w:rPr>
            </w:pPr>
            <w:r>
              <w:rPr>
                <w:rFonts w:hint="eastAsia" w:ascii="微软雅黑" w:hAnsi="微软雅黑" w:eastAsia="微软雅黑"/>
                <w:color w:val="auto"/>
              </w:rPr>
              <w:t>107-21-1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名称：</w:t>
            </w:r>
          </w:p>
        </w:tc>
        <w:tc>
          <w:tcPr>
            <w:tcW w:w="0" w:type="auto"/>
            <w:tcBorders>
              <w:top w:val="single" w:color="auto" w:sz="4" w:space="0"/>
              <w:left w:val="single" w:color="auto" w:sz="4" w:space="0"/>
              <w:bottom w:val="single" w:color="auto" w:sz="4" w:space="0"/>
              <w:right w:val="single" w:color="auto" w:sz="4" w:space="0"/>
            </w:tcBorders>
            <w:vAlign w:val="center"/>
          </w:tcPr>
          <w:p>
            <w:pPr>
              <w:spacing w:line="260" w:lineRule="exact"/>
              <w:jc w:val="left"/>
              <w:rPr>
                <w:rFonts w:ascii="微软雅黑" w:hAnsi="微软雅黑" w:eastAsia="微软雅黑"/>
                <w:color w:val="auto"/>
              </w:rPr>
            </w:pPr>
            <w:r>
              <w:rPr>
                <w:rFonts w:hint="eastAsia" w:ascii="微软雅黑" w:hAnsi="微软雅黑" w:eastAsia="微软雅黑"/>
                <w:color w:val="auto"/>
              </w:rPr>
              <w:t>甘醇</w:t>
            </w:r>
          </w:p>
          <w:p>
            <w:pPr>
              <w:spacing w:line="260" w:lineRule="exact"/>
              <w:jc w:val="left"/>
              <w:rPr>
                <w:rFonts w:ascii="微软雅黑" w:hAnsi="微软雅黑" w:eastAsia="微软雅黑"/>
                <w:color w:val="auto"/>
              </w:rPr>
            </w:pPr>
            <w:r>
              <w:rPr>
                <w:rFonts w:hint="eastAsia" w:ascii="微软雅黑" w:hAnsi="微软雅黑" w:eastAsia="微软雅黑"/>
                <w:color w:val="auto"/>
              </w:rPr>
              <w:t>乙二醇</w:t>
            </w:r>
          </w:p>
          <w:p>
            <w:pPr>
              <w:spacing w:line="260" w:lineRule="exact"/>
              <w:jc w:val="left"/>
              <w:rPr>
                <w:rFonts w:ascii="微软雅黑" w:hAnsi="微软雅黑" w:eastAsia="微软雅黑"/>
                <w:color w:val="auto"/>
              </w:rPr>
            </w:pPr>
            <w:r>
              <w:rPr>
                <w:rFonts w:hint="eastAsia" w:ascii="微软雅黑" w:hAnsi="微软雅黑" w:eastAsia="微软雅黑"/>
                <w:color w:val="auto"/>
              </w:rPr>
              <w:t>ethylene glycol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分子式：</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C2H6O2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分子量：</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62.07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有害物成分：</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乙二醇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健康危害：</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国内未见本品急慢性中毒报道。国外的急性中毒多系误服引起。吸入中毒表现为反复发作性昏厥，并可有眼球震颤，淋巴细胞增多。 口服后急性中毒分三个阶段：第一阶段主要为中枢神经系统症状，轻者似乙醇中毒表现， 重者迅速产生昏迷、抽搐，最后死亡；第二阶段，心肺症状明显，严重病例可有肺水肿，支气管肺炎，心力衰竭；第三阶段主要表现为不同程度肾功能衰竭。本品一次口服致死量估计为1.4ml/kg(1.56g/kg)，即总量为70～84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燃爆危险：</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本品可燃。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皮肤接触：</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脱去污染的衣着，用大量流动清水冲洗。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眼睛接触：</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吸入：</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食入：</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饮足量温水，催吐。洗胃，导泄。就医。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危险特性：</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遇明火、高热可燃。与氧化剂可发生反应。若遇高热，容器内压增大，有开裂和爆炸的危险。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有害燃烧产物：</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灭火方法：</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尽可能将容器从火场移至空旷处。喷水保持火场容器冷却，直至灭火结束。处在火场中的容器若已变色或从安全泄压装置中产生声音，必须马上撤离。灭火剂：雾状水、泡沫、干粉、二氧化碳、砂土。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应急处理：</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迅速撤离泄漏污染区人员至安全区，并进行隔离，严格限制出入。切断火源。建议应急处理人员戴自吸过滤式防毒面具（全面罩），穿一般作业工作服。尽可能切断泄漏源。防止流入下水道、排洪沟等限制性空间。小量泄漏：用砂土、蛭石或其它惰性材料吸收。也可以用不燃性分散剂制成的乳液刷洗，洗液稀释后放入废水系统。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操作注意事项：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密闭操作，提供良好的自然通风条件。操作人员必须经过专门培训，严格遵守操作规程。建议操作人员佩戴自吸过滤式防毒面具（半面罩），戴化学安全防护眼镜，戴防化学品手套。远离火种、热源，工作场所严禁吸烟。使用防爆型的通风系统和设备。防止蒸气泄漏到工作场所空气中。避免与氧化剂、酸类接触。搬运时轻装轻卸，保持包装完整，防止洒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储存注意事项：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储存于阴凉、通风的库房。远离火种、热源。应与氧化剂、酸类分开存放，切忌混储。配备相应品种和数量的消防器材。储区应备有泄漏应急处理设备和合适的收容材料。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中国MAC(mg/m3)：</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前苏联MAC(mg/m3)：</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TLVWN：</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ACGIH 100mg/m3[上限值]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监测方法：</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工程控制：</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提供良好的自然通风条件。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呼吸系统防护：</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一般不需要特殊防护，高浓度接触时可佩戴自吸过滤式防毒面具（半面罩）。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眼睛防护：</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空气中浓度较高时，佩戴化学安全防护眼镜。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身体防护：</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穿一般作业防护服。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手防护：</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戴防化学品手套。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其他防护：</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工作完毕，淋浴更衣。避免长期反复接触。定期体检。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主要成分：</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外观与性状：</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无色、无臭、有甜味、粘稠液体。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熔点(℃)：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沸点(℃)：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197.5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相对密度(水=1)：</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相对蒸气密度(空气=1)：</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饱和蒸气压(kPa)：</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6.21(20℃)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燃烧热(kJ/mol)：</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281.9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闪点(℃)：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爆炸上限%(V/V)：</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爆炸下限%(V/V)：</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溶解性：</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与水混溶，可混溶于乙醇、醚等。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主要用途：</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用于制造树脂、增塑剂、合成纤维、化妆品和炸药, 并用作溶剂、配制发动机的抗冻剂。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禁配物：</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强氧化剂、强酸。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急性毒性：</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LD50：8000～15300 mg/kg(小鼠经口)；5900～13400 mg/kg(大鼠经口)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其它有害作用：</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废弃处置方法：</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用焚烧法处置。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包装类别：</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Z01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包装方法：</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Borders>
              <w:top w:val="single" w:color="auto" w:sz="4" w:space="0"/>
              <w:left w:val="single" w:color="auto" w:sz="4" w:space="0"/>
              <w:bottom w:val="single" w:color="auto" w:sz="4" w:space="0"/>
              <w:right w:val="single" w:color="auto" w:sz="4" w:space="0"/>
            </w:tcBorders>
          </w:tcPr>
          <w:p>
            <w:pPr>
              <w:spacing w:line="260" w:lineRule="exact"/>
              <w:jc w:val="right"/>
              <w:rPr>
                <w:rFonts w:ascii="微软雅黑" w:hAnsi="微软雅黑" w:eastAsia="微软雅黑"/>
                <w:color w:val="auto"/>
              </w:rPr>
            </w:pPr>
            <w:r>
              <w:rPr>
                <w:rFonts w:hint="eastAsia" w:ascii="微软雅黑" w:hAnsi="微软雅黑" w:eastAsia="微软雅黑"/>
                <w:color w:val="auto"/>
              </w:rPr>
              <w:t>运输注意事项：</w:t>
            </w:r>
          </w:p>
        </w:tc>
        <w:tc>
          <w:tcPr>
            <w:tcW w:w="0" w:type="auto"/>
            <w:tcBorders>
              <w:top w:val="single" w:color="auto" w:sz="4" w:space="0"/>
              <w:left w:val="single" w:color="auto" w:sz="4" w:space="0"/>
              <w:bottom w:val="single" w:color="auto" w:sz="4" w:space="0"/>
              <w:right w:val="single" w:color="auto" w:sz="4" w:space="0"/>
            </w:tcBorders>
          </w:tcPr>
          <w:p>
            <w:pPr>
              <w:spacing w:line="260" w:lineRule="exact"/>
              <w:rPr>
                <w:rFonts w:ascii="微软雅黑" w:hAnsi="微软雅黑" w:eastAsia="微软雅黑"/>
                <w:color w:val="auto"/>
              </w:rPr>
            </w:pPr>
            <w:r>
              <w:rPr>
                <w:rFonts w:hint="eastAsia" w:ascii="微软雅黑" w:hAnsi="微软雅黑" w:eastAsia="微软雅黑"/>
                <w:color w:val="auto"/>
              </w:rPr>
              <w:t>运输前应先检查包装容器是否完整、密封，运输过程中要确保容器不泄漏、不倒塌、不坠落、不损坏。严禁与氧化剂、酸类等混装混运。船运时，应与机舱、电源、火源等部位隔离。公路运输时要按规定路线行驶。</w:t>
            </w:r>
          </w:p>
        </w:tc>
      </w:tr>
    </w:tbl>
    <w:p>
      <w:pPr>
        <w:pStyle w:val="49"/>
        <w:ind w:firstLine="560" w:firstLineChars="200"/>
        <w:rPr>
          <w:color w:val="auto"/>
          <w:sz w:val="28"/>
          <w:szCs w:val="28"/>
        </w:rPr>
      </w:pPr>
    </w:p>
    <w:p>
      <w:pPr>
        <w:pStyle w:val="49"/>
        <w:ind w:firstLine="560" w:firstLineChars="200"/>
        <w:rPr>
          <w:color w:val="auto"/>
          <w:sz w:val="28"/>
          <w:szCs w:val="28"/>
        </w:rPr>
      </w:pPr>
      <w:r>
        <w:rPr>
          <w:rFonts w:hint="eastAsia"/>
          <w:color w:val="auto"/>
          <w:sz w:val="28"/>
          <w:szCs w:val="28"/>
        </w:rPr>
        <w:t>2</w:t>
      </w:r>
      <w:r>
        <w:rPr>
          <w:color w:val="auto"/>
          <w:sz w:val="28"/>
          <w:szCs w:val="28"/>
        </w:rPr>
        <w:t>6</w:t>
      </w:r>
      <w:r>
        <w:rPr>
          <w:rFonts w:hint="eastAsia"/>
          <w:color w:val="auto"/>
          <w:sz w:val="28"/>
          <w:szCs w:val="28"/>
        </w:rPr>
        <w:t>）白炭黑</w:t>
      </w:r>
    </w:p>
    <w:tbl>
      <w:tblPr>
        <w:tblStyle w:val="31"/>
        <w:tblW w:w="48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1"/>
        <w:gridCol w:w="1721"/>
        <w:gridCol w:w="802"/>
        <w:gridCol w:w="577"/>
        <w:gridCol w:w="1288"/>
        <w:gridCol w:w="786"/>
        <w:gridCol w:w="1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2404" w:type="dxa"/>
            <w:tcBorders>
              <w:top w:val="single" w:color="auto" w:sz="4" w:space="0"/>
              <w:left w:val="single" w:color="auto" w:sz="4" w:space="0"/>
              <w:bottom w:val="single" w:color="auto" w:sz="4" w:space="0"/>
              <w:right w:val="single" w:color="auto" w:sz="4" w:space="0"/>
            </w:tcBorders>
          </w:tcPr>
          <w:p>
            <w:pPr>
              <w:ind w:right="58"/>
              <w:jc w:val="right"/>
              <w:rPr>
                <w:color w:val="auto"/>
              </w:rPr>
            </w:pPr>
            <w:r>
              <w:rPr>
                <w:rFonts w:hint="eastAsia" w:ascii="宋体" w:hAnsi="宋体"/>
                <w:color w:val="auto"/>
              </w:rPr>
              <w:t>化学品中文名称：</w:t>
            </w:r>
          </w:p>
        </w:tc>
        <w:tc>
          <w:tcPr>
            <w:tcW w:w="172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白炭黑</w:t>
            </w:r>
          </w:p>
        </w:tc>
        <w:tc>
          <w:tcPr>
            <w:tcW w:w="1376" w:type="dxa"/>
            <w:gridSpan w:val="2"/>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化学品俗名：</w:t>
            </w:r>
          </w:p>
        </w:tc>
        <w:tc>
          <w:tcPr>
            <w:tcW w:w="2075"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白炭黑</w:t>
            </w: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化学品英文名称：</w:t>
            </w:r>
          </w:p>
        </w:tc>
        <w:tc>
          <w:tcPr>
            <w:tcW w:w="1721"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Silica white</w:t>
            </w:r>
            <w:r>
              <w:rPr>
                <w:rFonts w:hint="eastAsia" w:ascii="宋体" w:hAnsi="宋体"/>
                <w:color w:val="auto"/>
              </w:rPr>
              <w:t>，</w:t>
            </w:r>
            <w:r>
              <w:rPr>
                <w:rFonts w:hint="eastAsia"/>
                <w:color w:val="auto"/>
              </w:rPr>
              <w:t>white carbon black</w:t>
            </w:r>
          </w:p>
        </w:tc>
        <w:tc>
          <w:tcPr>
            <w:tcW w:w="1376" w:type="dxa"/>
            <w:gridSpan w:val="2"/>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英文名称：</w:t>
            </w:r>
          </w:p>
        </w:tc>
        <w:tc>
          <w:tcPr>
            <w:tcW w:w="2075" w:type="dxa"/>
            <w:gridSpan w:val="2"/>
            <w:tcBorders>
              <w:top w:val="single" w:color="auto" w:sz="4" w:space="0"/>
              <w:left w:val="single" w:color="auto" w:sz="4" w:space="0"/>
              <w:bottom w:val="single" w:color="auto" w:sz="4" w:space="0"/>
              <w:right w:val="single" w:color="auto" w:sz="4" w:space="0"/>
            </w:tcBorders>
          </w:tcPr>
          <w:p>
            <w:pPr>
              <w:rPr>
                <w:color w:val="auto"/>
              </w:rPr>
            </w:pP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技术说明书编码：</w:t>
            </w:r>
          </w:p>
        </w:tc>
        <w:tc>
          <w:tcPr>
            <w:tcW w:w="1721" w:type="dxa"/>
            <w:tcBorders>
              <w:top w:val="single" w:color="auto" w:sz="4" w:space="0"/>
              <w:left w:val="single" w:color="auto" w:sz="4" w:space="0"/>
              <w:bottom w:val="single" w:color="auto" w:sz="4" w:space="0"/>
              <w:right w:val="single" w:color="auto" w:sz="4" w:space="0"/>
            </w:tcBorders>
          </w:tcPr>
          <w:p>
            <w:pPr>
              <w:rPr>
                <w:color w:val="auto"/>
              </w:rPr>
            </w:pPr>
          </w:p>
        </w:tc>
        <w:tc>
          <w:tcPr>
            <w:tcW w:w="1376"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color w:val="auto"/>
              </w:rPr>
              <w:t>CAS No.</w:t>
            </w:r>
            <w:r>
              <w:rPr>
                <w:rFonts w:hint="eastAsia" w:ascii="宋体" w:hAnsi="宋体"/>
                <w:color w:val="auto"/>
              </w:rPr>
              <w:t>：</w:t>
            </w:r>
          </w:p>
        </w:tc>
        <w:tc>
          <w:tcPr>
            <w:tcW w:w="2075"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10279-57-9</w:t>
            </w: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CellMar>
            <w:top w:w="0" w:type="dxa"/>
            <w:left w:w="108" w:type="dxa"/>
            <w:bottom w:w="0" w:type="dxa"/>
            <w:right w:w="108" w:type="dxa"/>
          </w:tblCellMar>
        </w:tblPrEx>
        <w:trPr>
          <w:trHeight w:val="220"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生产企业名称：</w:t>
            </w:r>
          </w:p>
        </w:tc>
        <w:tc>
          <w:tcPr>
            <w:tcW w:w="5172"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地址：</w:t>
            </w:r>
          </w:p>
        </w:tc>
        <w:tc>
          <w:tcPr>
            <w:tcW w:w="5172"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生效日期：</w:t>
            </w:r>
          </w:p>
        </w:tc>
        <w:tc>
          <w:tcPr>
            <w:tcW w:w="5172"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5"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9081"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第二部分：成分</w:t>
            </w:r>
            <w:r>
              <w:rPr>
                <w:rFonts w:hint="eastAsia"/>
                <w:color w:val="auto"/>
              </w:rPr>
              <w:t>/</w:t>
            </w:r>
            <w:r>
              <w:rPr>
                <w:rFonts w:hint="eastAsia" w:ascii="宋体" w:hAnsi="宋体"/>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9081" w:type="dxa"/>
            <w:gridSpan w:val="7"/>
            <w:tcBorders>
              <w:top w:val="single" w:color="auto" w:sz="4" w:space="0"/>
              <w:left w:val="single" w:color="auto" w:sz="4" w:space="0"/>
              <w:bottom w:val="single" w:color="auto" w:sz="4" w:space="0"/>
              <w:right w:val="single" w:color="auto" w:sz="4" w:space="0"/>
            </w:tcBorders>
          </w:tcPr>
          <w:tbl>
            <w:tblPr>
              <w:tblStyle w:val="31"/>
              <w:tblW w:w="7537" w:type="dxa"/>
              <w:jc w:val="center"/>
              <w:tblLayout w:type="fixed"/>
              <w:tblCellMar>
                <w:top w:w="0" w:type="dxa"/>
                <w:left w:w="0" w:type="dxa"/>
                <w:bottom w:w="0" w:type="dxa"/>
                <w:right w:w="0" w:type="dxa"/>
              </w:tblCellMar>
            </w:tblPr>
            <w:tblGrid>
              <w:gridCol w:w="2800"/>
              <w:gridCol w:w="2101"/>
              <w:gridCol w:w="2222"/>
              <w:gridCol w:w="414"/>
            </w:tblGrid>
            <w:tr>
              <w:tblPrEx>
                <w:tblCellMar>
                  <w:top w:w="0" w:type="dxa"/>
                  <w:left w:w="0" w:type="dxa"/>
                  <w:bottom w:w="0" w:type="dxa"/>
                  <w:right w:w="0" w:type="dxa"/>
                </w:tblCellMar>
              </w:tblPrEx>
              <w:trPr>
                <w:trHeight w:val="218" w:hRule="atLeast"/>
                <w:jc w:val="center"/>
              </w:trPr>
              <w:tc>
                <w:tcPr>
                  <w:tcW w:w="2800" w:type="dxa"/>
                  <w:tcBorders>
                    <w:top w:val="nil"/>
                    <w:left w:val="nil"/>
                    <w:bottom w:val="nil"/>
                    <w:right w:val="nil"/>
                  </w:tcBorders>
                  <w:vAlign w:val="center"/>
                </w:tcPr>
                <w:p>
                  <w:pPr>
                    <w:jc w:val="center"/>
                    <w:rPr>
                      <w:color w:val="auto"/>
                    </w:rPr>
                  </w:pPr>
                  <w:r>
                    <w:rPr>
                      <w:rFonts w:hint="eastAsia" w:ascii="宋体" w:hAnsi="宋体"/>
                      <w:color w:val="auto"/>
                    </w:rPr>
                    <w:t>有害物成分</w:t>
                  </w:r>
                </w:p>
              </w:tc>
              <w:tc>
                <w:tcPr>
                  <w:tcW w:w="2101" w:type="dxa"/>
                  <w:tcBorders>
                    <w:top w:val="nil"/>
                    <w:left w:val="nil"/>
                    <w:bottom w:val="nil"/>
                    <w:right w:val="nil"/>
                  </w:tcBorders>
                  <w:vAlign w:val="center"/>
                </w:tcPr>
                <w:p>
                  <w:pPr>
                    <w:jc w:val="center"/>
                    <w:rPr>
                      <w:color w:val="auto"/>
                    </w:rPr>
                  </w:pPr>
                  <w:r>
                    <w:rPr>
                      <w:rFonts w:hint="eastAsia" w:ascii="宋体" w:hAnsi="宋体"/>
                      <w:color w:val="auto"/>
                    </w:rPr>
                    <w:t>含量</w:t>
                  </w:r>
                </w:p>
              </w:tc>
              <w:tc>
                <w:tcPr>
                  <w:tcW w:w="2636" w:type="dxa"/>
                  <w:gridSpan w:val="2"/>
                  <w:tcBorders>
                    <w:top w:val="nil"/>
                    <w:left w:val="nil"/>
                    <w:bottom w:val="nil"/>
                    <w:right w:val="nil"/>
                  </w:tcBorders>
                  <w:vAlign w:val="center"/>
                </w:tcPr>
                <w:p>
                  <w:pPr>
                    <w:jc w:val="center"/>
                    <w:rPr>
                      <w:color w:val="auto"/>
                    </w:rPr>
                  </w:pPr>
                  <w:r>
                    <w:rPr>
                      <w:rFonts w:hint="eastAsia"/>
                      <w:color w:val="auto"/>
                    </w:rPr>
                    <w:t>CAS No.</w:t>
                  </w:r>
                </w:p>
              </w:tc>
            </w:tr>
            <w:tr>
              <w:tblPrEx>
                <w:tblCellMar>
                  <w:top w:w="0" w:type="dxa"/>
                  <w:left w:w="0" w:type="dxa"/>
                  <w:bottom w:w="0" w:type="dxa"/>
                  <w:right w:w="0" w:type="dxa"/>
                </w:tblCellMar>
              </w:tblPrEx>
              <w:trPr>
                <w:trHeight w:val="218" w:hRule="atLeast"/>
                <w:jc w:val="center"/>
              </w:trPr>
              <w:tc>
                <w:tcPr>
                  <w:tcW w:w="2800" w:type="dxa"/>
                  <w:tcBorders>
                    <w:top w:val="nil"/>
                    <w:left w:val="nil"/>
                    <w:bottom w:val="nil"/>
                    <w:right w:val="nil"/>
                  </w:tcBorders>
                  <w:vAlign w:val="center"/>
                </w:tcPr>
                <w:p>
                  <w:pPr>
                    <w:jc w:val="center"/>
                    <w:rPr>
                      <w:color w:val="auto"/>
                    </w:rPr>
                  </w:pPr>
                  <w:r>
                    <w:rPr>
                      <w:rFonts w:hint="eastAsia" w:ascii="宋体" w:hAnsi="宋体"/>
                      <w:color w:val="auto"/>
                    </w:rPr>
                    <w:t>白炭黑</w:t>
                  </w:r>
                </w:p>
              </w:tc>
              <w:tc>
                <w:tcPr>
                  <w:tcW w:w="2101" w:type="dxa"/>
                  <w:tcBorders>
                    <w:top w:val="nil"/>
                    <w:left w:val="nil"/>
                    <w:bottom w:val="nil"/>
                    <w:right w:val="nil"/>
                  </w:tcBorders>
                  <w:vAlign w:val="center"/>
                </w:tcPr>
                <w:p>
                  <w:pPr>
                    <w:jc w:val="center"/>
                    <w:rPr>
                      <w:color w:val="auto"/>
                    </w:rPr>
                  </w:pPr>
                  <w:r>
                    <w:rPr>
                      <w:rFonts w:hint="eastAsia"/>
                      <w:color w:val="auto"/>
                    </w:rPr>
                    <w:t>≥90%</w:t>
                  </w:r>
                </w:p>
              </w:tc>
              <w:tc>
                <w:tcPr>
                  <w:tcW w:w="2222" w:type="dxa"/>
                  <w:tcBorders>
                    <w:top w:val="nil"/>
                    <w:left w:val="nil"/>
                    <w:bottom w:val="nil"/>
                    <w:right w:val="nil"/>
                  </w:tcBorders>
                  <w:vAlign w:val="center"/>
                </w:tcPr>
                <w:p>
                  <w:pPr>
                    <w:jc w:val="center"/>
                    <w:rPr>
                      <w:color w:val="auto"/>
                    </w:rPr>
                  </w:pPr>
                  <w:r>
                    <w:rPr>
                      <w:rFonts w:hint="eastAsia"/>
                      <w:color w:val="auto"/>
                    </w:rPr>
                    <w:t>10279-57-9</w:t>
                  </w:r>
                </w:p>
              </w:tc>
              <w:tc>
                <w:tcPr>
                  <w:tcW w:w="414" w:type="dxa"/>
                  <w:tcBorders>
                    <w:top w:val="nil"/>
                    <w:left w:val="nil"/>
                    <w:bottom w:val="nil"/>
                    <w:right w:val="nil"/>
                  </w:tcBorders>
                  <w:vAlign w:val="center"/>
                </w:tcPr>
                <w:p>
                  <w:pPr>
                    <w:rPr>
                      <w:rFonts w:eastAsia="Times New Roman"/>
                      <w:color w:val="auto"/>
                      <w:sz w:val="20"/>
                      <w:szCs w:val="20"/>
                    </w:rPr>
                  </w:pPr>
                </w:p>
              </w:tc>
            </w:tr>
          </w:tbl>
          <w:p>
            <w:pPr>
              <w:rPr>
                <w:rFonts w:eastAsia="等线"/>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危险性类别：</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侵入途径：</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健康危害：</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环境危害：</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燃爆危险：</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9081"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皮肤接触：</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眼睛接触：</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吸入：</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食入：</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危险特性：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有害燃烧产物：</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灭火方法：</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应急处理：</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操作注意事项：</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储存注意事项：</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第八部分：接触控制</w:t>
            </w:r>
            <w:r>
              <w:rPr>
                <w:rFonts w:hint="eastAsia"/>
                <w:color w:val="auto"/>
              </w:rPr>
              <w:t>/</w:t>
            </w:r>
            <w:r>
              <w:rPr>
                <w:rFonts w:hint="eastAsia" w:ascii="宋体" w:hAnsi="宋体"/>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中国</w:t>
            </w:r>
            <w:r>
              <w:rPr>
                <w:rFonts w:hint="eastAsia"/>
                <w:color w:val="auto"/>
              </w:rPr>
              <w:t>MAC(mg/m3)</w:t>
            </w:r>
            <w:r>
              <w:rPr>
                <w:rFonts w:hint="eastAsia" w:ascii="宋体" w:hAnsi="宋体"/>
                <w:color w:val="auto"/>
              </w:rPr>
              <w:t>：</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前苏联</w:t>
            </w:r>
            <w:r>
              <w:rPr>
                <w:rFonts w:hint="eastAsia"/>
                <w:color w:val="auto"/>
              </w:rPr>
              <w:t>MAC(mg/m3)</w:t>
            </w:r>
            <w:r>
              <w:rPr>
                <w:rFonts w:hint="eastAsia" w:ascii="宋体" w:hAnsi="宋体"/>
                <w:color w:val="auto"/>
              </w:rPr>
              <w:t>：</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TLVTN</w:t>
            </w:r>
            <w:r>
              <w:rPr>
                <w:rFonts w:hint="eastAsia" w:ascii="宋体" w:hAnsi="宋体"/>
                <w:color w:val="auto"/>
              </w:rPr>
              <w:t>：</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TLVWN</w:t>
            </w:r>
            <w:r>
              <w:rPr>
                <w:rFonts w:hint="eastAsia" w:ascii="宋体" w:hAnsi="宋体"/>
                <w:color w:val="auto"/>
              </w:rPr>
              <w:t>：</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监测方法：</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工程控制：</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呼吸系统防护：</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眼睛防护：</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身体防护：</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手防护：</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其他防护：</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外观与性状：</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白色粉末或粒状或不规则造块。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pH</w:t>
            </w:r>
            <w:r>
              <w:rPr>
                <w:rFonts w:hint="eastAsia" w:ascii="宋体" w:hAnsi="宋体"/>
                <w:color w:val="auto"/>
              </w:rPr>
              <w:t>：</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5.0-8.0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熔点</w:t>
            </w:r>
            <w:r>
              <w:rPr>
                <w:rFonts w:hint="eastAsia"/>
                <w:color w:val="auto"/>
              </w:rPr>
              <w:t>(℃)</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1610</w:t>
            </w: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2.6g/ml</w:t>
            </w:r>
            <w:r>
              <w:rPr>
                <w:rFonts w:hint="eastAsia" w:ascii="宋体" w:hAnsi="宋体"/>
                <w:color w:val="auto"/>
              </w:rPr>
              <w:t>（</w:t>
            </w:r>
            <w:r>
              <w:rPr>
                <w:rFonts w:hint="eastAsia"/>
                <w:color w:val="auto"/>
              </w:rPr>
              <w:t>25℃</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沸点</w:t>
            </w:r>
            <w:r>
              <w:rPr>
                <w:rFonts w:hint="eastAsia"/>
                <w:color w:val="auto"/>
              </w:rPr>
              <w:t>(℃)</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w:t>
            </w:r>
            <w:r>
              <w:rPr>
                <w:rFonts w:hint="eastAsia"/>
                <w:color w:val="auto"/>
              </w:rPr>
              <w:t>100</w:t>
            </w: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相对蒸气密度</w:t>
            </w:r>
          </w:p>
          <w:p>
            <w:pPr>
              <w:spacing w:line="285" w:lineRule="atLeast"/>
              <w:jc w:val="right"/>
              <w:rPr>
                <w:color w:val="auto"/>
              </w:rPr>
            </w:pP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分子式：</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SiO2·nH2O</w:t>
            </w: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分子量：</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241.11496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主要成分：</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二氧化硅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燃烧热</w:t>
            </w:r>
            <w:r>
              <w:rPr>
                <w:rFonts w:hint="eastAsia"/>
                <w:color w:val="auto"/>
              </w:rPr>
              <w:t>(kJ/mol)</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临界温度</w:t>
            </w:r>
            <w:r>
              <w:rPr>
                <w:rFonts w:hint="eastAsia"/>
                <w:color w:val="auto"/>
              </w:rPr>
              <w:t>(℃)</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临界压力</w:t>
            </w:r>
            <w:r>
              <w:rPr>
                <w:rFonts w:hint="eastAsia"/>
                <w:color w:val="auto"/>
              </w:rPr>
              <w:t>(MPa)</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闪点</w:t>
            </w:r>
            <w:r>
              <w:rPr>
                <w:rFonts w:hint="eastAsia"/>
                <w:color w:val="auto"/>
              </w:rPr>
              <w:t>(℃)</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爆炸上限</w:t>
            </w:r>
            <w:r>
              <w:rPr>
                <w:rFonts w:hint="eastAsia"/>
                <w:color w:val="auto"/>
              </w:rPr>
              <w:t>%(V/V)</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引燃温度</w:t>
            </w:r>
            <w:r>
              <w:rPr>
                <w:rFonts w:hint="eastAsia"/>
                <w:color w:val="auto"/>
              </w:rPr>
              <w:t>(℃)</w:t>
            </w:r>
            <w:r>
              <w:rPr>
                <w:rFonts w:hint="eastAsia" w:ascii="宋体" w:hAnsi="宋体"/>
                <w:color w:val="auto"/>
              </w:rPr>
              <w:t>：</w:t>
            </w:r>
          </w:p>
        </w:tc>
        <w:tc>
          <w:tcPr>
            <w:tcW w:w="252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5"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爆炸下限</w:t>
            </w:r>
            <w:r>
              <w:rPr>
                <w:rFonts w:hint="eastAsia"/>
                <w:color w:val="auto"/>
              </w:rPr>
              <w:t>%(V/V)</w:t>
            </w:r>
            <w:r>
              <w:rPr>
                <w:rFonts w:hint="eastAsia" w:ascii="宋体" w:hAnsi="宋体"/>
                <w:color w:val="auto"/>
              </w:rPr>
              <w:t>：</w:t>
            </w:r>
          </w:p>
        </w:tc>
        <w:tc>
          <w:tcPr>
            <w:tcW w:w="2291"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溶解性：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溶于</w:t>
            </w:r>
            <w:r>
              <w:rPr>
                <w:color w:val="auto"/>
              </w:rPr>
              <w:fldChar w:fldCharType="begin"/>
            </w:r>
            <w:r>
              <w:rPr>
                <w:color w:val="auto"/>
              </w:rPr>
              <w:instrText xml:space="preserve"> HYPERLINK "https://baike.baidu.com/item/%E8%8B%9B%E6%80%A7%E7%A2%B1/914711" </w:instrText>
            </w:r>
            <w:r>
              <w:rPr>
                <w:color w:val="auto"/>
              </w:rPr>
              <w:fldChar w:fldCharType="separate"/>
            </w:r>
            <w:r>
              <w:rPr>
                <w:rStyle w:val="36"/>
                <w:rFonts w:hint="eastAsia" w:ascii="宋体" w:hAnsi="宋体"/>
                <w:color w:val="auto"/>
              </w:rPr>
              <w:t>苛性碱</w:t>
            </w:r>
            <w:r>
              <w:rPr>
                <w:color w:val="auto"/>
              </w:rPr>
              <w:fldChar w:fldCharType="end"/>
            </w:r>
            <w:r>
              <w:rPr>
                <w:rFonts w:hint="eastAsia" w:ascii="宋体" w:hAnsi="宋体"/>
                <w:color w:val="auto"/>
              </w:rPr>
              <w:t>和</w:t>
            </w:r>
            <w:r>
              <w:rPr>
                <w:color w:val="auto"/>
              </w:rPr>
              <w:fldChar w:fldCharType="begin"/>
            </w:r>
            <w:r>
              <w:rPr>
                <w:color w:val="auto"/>
              </w:rPr>
              <w:instrText xml:space="preserve"> HYPERLINK "https://baike.baidu.com/item/%E6%B0%A2%E6%B0%9F%E9%85%B8/1135555" </w:instrText>
            </w:r>
            <w:r>
              <w:rPr>
                <w:color w:val="auto"/>
              </w:rPr>
              <w:fldChar w:fldCharType="separate"/>
            </w:r>
            <w:r>
              <w:rPr>
                <w:rStyle w:val="36"/>
                <w:rFonts w:hint="eastAsia" w:ascii="宋体" w:hAnsi="宋体"/>
                <w:color w:val="auto"/>
              </w:rPr>
              <w:t>氢氟酸</w:t>
            </w:r>
            <w:r>
              <w:rPr>
                <w:rStyle w:val="36"/>
                <w:rFonts w:hint="eastAsia" w:ascii="宋体" w:hAnsi="宋体"/>
                <w:color w:val="auto"/>
              </w:rPr>
              <w:fldChar w:fldCharType="end"/>
            </w:r>
            <w:r>
              <w:rPr>
                <w:rFonts w:hint="eastAsia" w:ascii="宋体" w:hAnsi="宋体"/>
                <w:color w:val="auto"/>
              </w:rPr>
              <w:t>，不溶于水、溶剂和酸（氢氟酸除外）。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主要用途：</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用在彩色橡胶制品中以替代炭黑进行补强，满足白色或半透明产品的需要。</w:t>
            </w:r>
          </w:p>
          <w:p>
            <w:pPr>
              <w:spacing w:line="285" w:lineRule="atLeast"/>
              <w:rPr>
                <w:color w:val="auto"/>
              </w:rPr>
            </w:pPr>
            <w:r>
              <w:rPr>
                <w:rFonts w:hint="eastAsia" w:ascii="宋体" w:hAnsi="宋体"/>
                <w:color w:val="auto"/>
              </w:rPr>
              <w:t>在农业化学制品中，可作为载体或稀释剂、崩解剂使用。在一些产品中，还可以作为胶结剂、抗结块剂来使用，也是造纸填料，此外还可用在消防剂、饲料、化妆品、消光剂、颜料、油漆等多种行业。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404"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其它理化性质：</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耐高温、不燃、无味、无嗅，具有很好的电绝缘性。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稳定性：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禁配物：</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避免接触的条件：</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聚合危害：</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分解产物：</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急性毒性：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亚急性和慢性毒性：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刺激性：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致敏性：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致突变性：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致畸性：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致癌性：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生态毒理毒性：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生物降解性：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非生物降解性：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生物富集或生物积累性：</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其它有害作用：</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废弃物性质：</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废弃处置方法：</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废弃注意事项：</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危险货物编号：</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UN</w:t>
            </w:r>
            <w:r>
              <w:rPr>
                <w:rFonts w:hint="eastAsia" w:ascii="宋体" w:hAnsi="宋体"/>
                <w:color w:val="auto"/>
              </w:rPr>
              <w:t>编号：</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包装标志：</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包装类别：</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包装方法：</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运输注意事项：</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法规信息</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jc w:val="left"/>
              <w:rPr>
                <w:color w:val="auto"/>
              </w:rPr>
            </w:pPr>
            <w:r>
              <w:rPr>
                <w:rFonts w:hint="eastAsia" w:ascii="宋体" w:hAnsi="宋体"/>
                <w:color w:val="auto"/>
              </w:rPr>
              <w:t>下列法律法规和标准，对化学品的安全使用、储存、运输、装卸、分类和标志等方面均作了相应的规定：</w:t>
            </w:r>
          </w:p>
          <w:p>
            <w:pPr>
              <w:spacing w:line="285" w:lineRule="atLeast"/>
              <w:jc w:val="left"/>
              <w:rPr>
                <w:color w:val="auto"/>
              </w:rPr>
            </w:pPr>
            <w:r>
              <w:rPr>
                <w:rFonts w:hint="eastAsia" w:ascii="宋体" w:hAnsi="宋体"/>
                <w:color w:val="auto"/>
              </w:rPr>
              <w:t>中华人民共和国安全生产法；</w:t>
            </w:r>
          </w:p>
          <w:p>
            <w:pPr>
              <w:spacing w:line="285" w:lineRule="atLeast"/>
              <w:jc w:val="left"/>
              <w:rPr>
                <w:color w:val="auto"/>
              </w:rPr>
            </w:pPr>
            <w:r>
              <w:rPr>
                <w:rFonts w:hint="eastAsia" w:ascii="宋体" w:hAnsi="宋体"/>
                <w:color w:val="auto"/>
              </w:rPr>
              <w:t>中华人民共和国职业病防治法；</w:t>
            </w:r>
          </w:p>
          <w:p>
            <w:pPr>
              <w:spacing w:line="285" w:lineRule="atLeast"/>
              <w:jc w:val="left"/>
              <w:rPr>
                <w:color w:val="auto"/>
              </w:rPr>
            </w:pPr>
            <w:r>
              <w:rPr>
                <w:rFonts w:hint="eastAsia" w:ascii="宋体" w:hAnsi="宋体"/>
                <w:color w:val="auto"/>
              </w:rPr>
              <w:t>中华人民共和国环境保护法；</w:t>
            </w:r>
          </w:p>
          <w:p>
            <w:pPr>
              <w:spacing w:line="285" w:lineRule="atLeast"/>
              <w:jc w:val="left"/>
              <w:rPr>
                <w:color w:val="auto"/>
              </w:rPr>
            </w:pPr>
            <w:r>
              <w:rPr>
                <w:rFonts w:hint="eastAsia" w:ascii="宋体" w:hAnsi="宋体"/>
                <w:color w:val="auto"/>
              </w:rPr>
              <w:t>危险化学品安全管理条例；</w:t>
            </w:r>
          </w:p>
          <w:p>
            <w:pPr>
              <w:spacing w:line="285" w:lineRule="atLeast"/>
              <w:jc w:val="left"/>
              <w:rPr>
                <w:color w:val="auto"/>
              </w:rPr>
            </w:pPr>
            <w:r>
              <w:rPr>
                <w:rFonts w:hint="eastAsia" w:ascii="宋体" w:hAnsi="宋体"/>
                <w:color w:val="auto"/>
              </w:rPr>
              <w:t>安全生产许可证条例；</w:t>
            </w:r>
          </w:p>
          <w:p>
            <w:pPr>
              <w:spacing w:line="285" w:lineRule="atLeast"/>
              <w:jc w:val="left"/>
              <w:rPr>
                <w:color w:val="auto"/>
              </w:rPr>
            </w:pPr>
            <w:r>
              <w:rPr>
                <w:rFonts w:hint="eastAsia" w:ascii="宋体" w:hAnsi="宋体"/>
                <w:color w:val="auto"/>
              </w:rPr>
              <w:t>化学品分类和危险性公示</w:t>
            </w:r>
            <w:r>
              <w:rPr>
                <w:rFonts w:hint="eastAsia"/>
                <w:color w:val="auto"/>
              </w:rPr>
              <w:t xml:space="preserve"> </w:t>
            </w:r>
            <w:r>
              <w:rPr>
                <w:rFonts w:hint="eastAsia" w:ascii="宋体" w:hAnsi="宋体"/>
                <w:color w:val="auto"/>
              </w:rPr>
              <w:t>通则</w:t>
            </w:r>
            <w:r>
              <w:rPr>
                <w:rFonts w:hint="eastAsia"/>
                <w:color w:val="auto"/>
              </w:rPr>
              <w:t>(GB 13690-2009)</w:t>
            </w:r>
            <w:r>
              <w:rPr>
                <w:rFonts w:hint="eastAsia" w:ascii="宋体" w:hAnsi="宋体"/>
                <w:color w:val="auto"/>
              </w:rPr>
              <w:t>；</w:t>
            </w:r>
          </w:p>
          <w:p>
            <w:pPr>
              <w:spacing w:line="285" w:lineRule="atLeast"/>
              <w:jc w:val="left"/>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9081"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参考文献：</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填表部门：</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数据审核单位：</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color w:val="auto"/>
              </w:rPr>
              <w:fldChar w:fldCharType="begin"/>
            </w:r>
            <w:r>
              <w:rPr>
                <w:color w:val="auto"/>
              </w:rPr>
              <w:instrText xml:space="preserve"> HYPERLINK "http://www.somsds.com/" </w:instrText>
            </w:r>
            <w:r>
              <w:rPr>
                <w:color w:val="auto"/>
              </w:rPr>
              <w:fldChar w:fldCharType="separate"/>
            </w:r>
            <w:r>
              <w:rPr>
                <w:rStyle w:val="36"/>
                <w:rFonts w:hint="eastAsia"/>
                <w:color w:val="auto"/>
              </w:rPr>
              <w:t>msds</w:t>
            </w:r>
            <w:r>
              <w:rPr>
                <w:rStyle w:val="36"/>
                <w:rFonts w:hint="eastAsia" w:ascii="宋体" w:hAnsi="宋体"/>
                <w:color w:val="auto"/>
              </w:rPr>
              <w:t>查询网</w:t>
            </w:r>
            <w:r>
              <w:rPr>
                <w:rStyle w:val="36"/>
                <w:rFonts w:hint="eastAsia" w:ascii="宋体" w:hAnsi="宋体"/>
                <w:color w:val="auto"/>
              </w:rPr>
              <w:fldChar w:fldCharType="end"/>
            </w:r>
            <w:r>
              <w:rPr>
                <w:rFonts w:hint="eastAsia" w:ascii="宋体" w:hAnsi="宋体"/>
                <w:color w:val="auto"/>
              </w:rPr>
              <w:t>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修改说明：</w:t>
            </w:r>
          </w:p>
        </w:tc>
        <w:tc>
          <w:tcPr>
            <w:tcW w:w="6677"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404"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其他信息：</w:t>
            </w:r>
          </w:p>
        </w:tc>
        <w:tc>
          <w:tcPr>
            <w:tcW w:w="6677" w:type="dxa"/>
            <w:gridSpan w:val="6"/>
            <w:tcBorders>
              <w:top w:val="single" w:color="auto" w:sz="4" w:space="0"/>
              <w:left w:val="single" w:color="auto" w:sz="4" w:space="0"/>
              <w:bottom w:val="single" w:color="auto" w:sz="4" w:space="0"/>
              <w:right w:val="single" w:color="auto" w:sz="4" w:space="0"/>
            </w:tcBorders>
          </w:tcPr>
          <w:p>
            <w:pPr>
              <w:rPr>
                <w:color w:val="auto"/>
              </w:rPr>
            </w:pPr>
          </w:p>
        </w:tc>
      </w:tr>
    </w:tbl>
    <w:p>
      <w:pPr>
        <w:pStyle w:val="49"/>
        <w:ind w:firstLine="560" w:firstLineChars="200"/>
        <w:rPr>
          <w:color w:val="auto"/>
          <w:sz w:val="28"/>
          <w:szCs w:val="28"/>
        </w:rPr>
      </w:pPr>
      <w:r>
        <w:rPr>
          <w:rFonts w:hint="eastAsia"/>
          <w:color w:val="auto"/>
          <w:sz w:val="28"/>
          <w:szCs w:val="28"/>
        </w:rPr>
        <w:t>2</w:t>
      </w:r>
      <w:r>
        <w:rPr>
          <w:color w:val="auto"/>
          <w:sz w:val="28"/>
          <w:szCs w:val="28"/>
        </w:rPr>
        <w:t>7</w:t>
      </w:r>
      <w:r>
        <w:rPr>
          <w:rFonts w:hint="eastAsia"/>
          <w:color w:val="auto"/>
          <w:sz w:val="28"/>
          <w:szCs w:val="28"/>
        </w:rPr>
        <w:t>）SC</w:t>
      </w:r>
      <w:r>
        <w:rPr>
          <w:color w:val="auto"/>
          <w:sz w:val="28"/>
          <w:szCs w:val="28"/>
        </w:rPr>
        <w:t>001</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化学品名称：</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苯乙基苯酚聚氧乙烯醚硫酸盐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第二部分：成分/组成信息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有效物成分及含量：</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苯乙基苯酚聚氧乙烯醚硫酸盐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Style w:val="63"/>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危险性类别：</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未列入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浸入途径：</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吸入.摄入等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健康危害：</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中毒刺激眼睛，对呼吸道可能产生过敏。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环境危害：</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未见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vAlign w:val="center"/>
          </w:tcPr>
          <w:p>
            <w:pPr>
              <w:spacing w:line="285" w:lineRule="atLeast"/>
              <w:jc w:val="center"/>
              <w:rPr>
                <w:color w:val="auto"/>
              </w:rPr>
            </w:pPr>
            <w:r>
              <w:rPr>
                <w:rStyle w:val="63"/>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皮肤接触：</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未见危险。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眼睛接触：</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立即提起眼脸，用大量流动清水或生理盐水彻底冲洗至少20分钟，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吸入：</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移患者至空气新鲜处，就医。如果患者呼吸停止，给予人工呼吸。如果呼吸困难，给予吸氧。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食入：</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用水漱口。就医。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vAlign w:val="center"/>
          </w:tcPr>
          <w:p>
            <w:pPr>
              <w:spacing w:line="285" w:lineRule="atLeast"/>
              <w:jc w:val="center"/>
              <w:rPr>
                <w:color w:val="auto"/>
              </w:rPr>
            </w:pPr>
            <w:r>
              <w:rPr>
                <w:rStyle w:val="63"/>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危险特性：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不易燃。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灭火方法：</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蒸汽比空气重，易在低处聚集。封闭区域内的蒸汽遇火能爆炸。如果该物质或被污染的流体进入水路，通知有潜在水体污染的下游用户，通知地方卫生，消防官员和污染控制部门。使用干粉.抗醇泡沫.二氧化碳。在安全防爆距离以外，使用雾状水冷却暴露的容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第六部分：泄漏处理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泄漏处置：</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建议应急处理人员穿化学防护服。在确保安全情况下堵漏，用沙土或其他惰性材料吸收，然后搜集运至废物处理场所处置，如大量泄漏，利用围梯收容，然后收集.转移.回收或无害处理后废弃。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操作注意事项：</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戴橡胶手套。远离火种.热源，工作场所严禁吸烟。搬运时要轻装轻卸，防止包装及容器损坏。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储存注意事项：</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存储于阴凉.干燥的库房。远离火种.热源。储区应备有合适的材料收容泄漏物。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ind w:right="840"/>
              <w:jc w:val="center"/>
              <w:rPr>
                <w:color w:val="auto"/>
              </w:rPr>
            </w:pPr>
            <w:r>
              <w:rPr>
                <w:rStyle w:val="63"/>
                <w:color w:val="auto"/>
              </w:rPr>
              <w:t>第八部分：接触控制/个体防护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工业卫生：</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避免与皮肤和眼睛接触，脱去被污染的衣服和鞋。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眼睛防护：</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高浓度环境中，建议佩戴防护眼睛。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手防护：</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其他防护：</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工作现场禁止吸烟.进食和饮水。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性状：</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淡黄色粘稠液体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颜色：</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淡黄色粘稠液体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rFonts w:ascii="Arial" w:hAnsi="Arial" w:cs="Arial"/>
                <w:color w:val="auto"/>
              </w:rPr>
              <w:t>PH</w:t>
            </w:r>
            <w:r>
              <w:rPr>
                <w:rStyle w:val="63"/>
                <w:color w:val="auto"/>
              </w:rPr>
              <w:t>值（</w:t>
            </w:r>
            <w:r>
              <w:rPr>
                <w:rStyle w:val="63"/>
                <w:rFonts w:ascii="Arial" w:hAnsi="Arial" w:cs="Arial"/>
                <w:color w:val="auto"/>
              </w:rPr>
              <w:t>1%</w:t>
            </w:r>
            <w:r>
              <w:rPr>
                <w:rStyle w:val="63"/>
                <w:color w:val="auto"/>
              </w:rPr>
              <w:t>水溶液）：</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rFonts w:ascii="Arial" w:hAnsi="Arial" w:cs="Arial"/>
                <w:color w:val="auto"/>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稳定性：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正常压力和温度下稳定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b/>
                <w:bCs/>
                <w:color w:val="auto"/>
              </w:rPr>
            </w:pPr>
            <w:r>
              <w:rPr>
                <w:rStyle w:val="63"/>
                <w:color w:val="auto"/>
              </w:rPr>
              <w:t>危险反应：</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急性毒性：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rFonts w:ascii="Arial" w:hAnsi="Arial" w:cs="Arial"/>
                <w:color w:val="auto"/>
              </w:rPr>
              <w:t>LD50</w:t>
            </w:r>
            <w:r>
              <w:rPr>
                <w:rStyle w:val="63"/>
                <w:color w:val="auto"/>
              </w:rPr>
              <w:t>：大于</w:t>
            </w:r>
            <w:r>
              <w:rPr>
                <w:rStyle w:val="63"/>
                <w:rFonts w:ascii="Arial" w:hAnsi="Arial" w:cs="Arial"/>
                <w:color w:val="auto"/>
              </w:rPr>
              <w:t>10000mg/kg</w:t>
            </w:r>
            <w:r>
              <w:rPr>
                <w:rStyle w:val="63"/>
                <w:color w:val="auto"/>
              </w:rPr>
              <w:t>（大鼠径口）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亚急性和慢性毒性：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轻度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刺激性：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无刺激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致癌性：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未列入致癌物质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生物降解性：</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降解性好。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废弃处置方法：</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根据国家和地方有关法规的要求按一般物质处置。或与厂商或制造商联系，确定处置方法。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运输注意事项：</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按一般化学品运输，运输过程中要确保容器不倒塌</w:t>
            </w:r>
            <w:r>
              <w:rPr>
                <w:rStyle w:val="63"/>
                <w:rFonts w:ascii="Arial" w:hAnsi="Arial" w:cs="Arial"/>
                <w:color w:val="auto"/>
              </w:rPr>
              <w:t>.</w:t>
            </w:r>
            <w:r>
              <w:rPr>
                <w:rStyle w:val="63"/>
                <w:color w:val="auto"/>
              </w:rPr>
              <w:t>不坠落</w:t>
            </w:r>
            <w:r>
              <w:rPr>
                <w:rStyle w:val="63"/>
                <w:rFonts w:ascii="Arial" w:hAnsi="Arial" w:cs="Arial"/>
                <w:color w:val="auto"/>
              </w:rPr>
              <w:t>.</w:t>
            </w:r>
            <w:r>
              <w:rPr>
                <w:rStyle w:val="63"/>
                <w:color w:val="auto"/>
              </w:rPr>
              <w:t>不损坏。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法规信息：</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不属于危险化学品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120" w:type="dxa"/>
            <w:gridSpan w:val="2"/>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Style w:val="63"/>
                <w:color w:val="auto"/>
              </w:rPr>
              <w:t>第十六部分：其它信息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Style w:val="63"/>
                <w:color w:val="auto"/>
              </w:rPr>
              <w:t>填报单位：</w:t>
            </w:r>
            <w:r>
              <w:rPr>
                <w:rFonts w:hint="eastAsia"/>
                <w:color w:val="auto"/>
              </w:rPr>
              <w:t xml:space="preserve"> </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color w:val="auto"/>
              </w:rPr>
            </w:pPr>
            <w:r>
              <w:rPr>
                <w:rStyle w:val="63"/>
                <w:color w:val="auto"/>
              </w:rPr>
              <w:t>鄄城承远化工有限公司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333" w:type="dxa"/>
            <w:tcBorders>
              <w:top w:val="single" w:color="auto" w:sz="4" w:space="0"/>
              <w:left w:val="single" w:color="auto" w:sz="4" w:space="0"/>
              <w:bottom w:val="single" w:color="auto" w:sz="4" w:space="0"/>
              <w:right w:val="single" w:color="auto" w:sz="4" w:space="0"/>
            </w:tcBorders>
          </w:tcPr>
          <w:p>
            <w:pPr>
              <w:spacing w:line="285" w:lineRule="atLeast"/>
              <w:jc w:val="right"/>
              <w:rPr>
                <w:rStyle w:val="63"/>
                <w:color w:val="auto"/>
              </w:rPr>
            </w:pPr>
            <w:r>
              <w:rPr>
                <w:rStyle w:val="63"/>
                <w:color w:val="auto"/>
              </w:rPr>
              <w:t xml:space="preserve">其它： </w:t>
            </w:r>
          </w:p>
        </w:tc>
        <w:tc>
          <w:tcPr>
            <w:tcW w:w="6787" w:type="dxa"/>
            <w:tcBorders>
              <w:top w:val="single" w:color="auto" w:sz="4" w:space="0"/>
              <w:left w:val="single" w:color="auto" w:sz="4" w:space="0"/>
              <w:bottom w:val="single" w:color="auto" w:sz="4" w:space="0"/>
              <w:right w:val="single" w:color="auto" w:sz="4" w:space="0"/>
            </w:tcBorders>
          </w:tcPr>
          <w:p>
            <w:pPr>
              <w:spacing w:line="285" w:lineRule="atLeast"/>
              <w:rPr>
                <w:rStyle w:val="63"/>
                <w:color w:val="auto"/>
              </w:rPr>
            </w:pPr>
            <w:r>
              <w:rPr>
                <w:rStyle w:val="63"/>
                <w:color w:val="auto"/>
              </w:rPr>
              <w:t>无</w:t>
            </w:r>
          </w:p>
        </w:tc>
      </w:tr>
    </w:tbl>
    <w:p>
      <w:pPr>
        <w:pStyle w:val="49"/>
        <w:ind w:firstLine="560" w:firstLineChars="200"/>
        <w:rPr>
          <w:color w:val="auto"/>
          <w:sz w:val="28"/>
          <w:szCs w:val="28"/>
        </w:rPr>
      </w:pPr>
      <w:r>
        <w:rPr>
          <w:rFonts w:hint="eastAsia"/>
          <w:color w:val="auto"/>
          <w:sz w:val="28"/>
          <w:szCs w:val="28"/>
        </w:rPr>
        <w:t>2</w:t>
      </w:r>
      <w:r>
        <w:rPr>
          <w:color w:val="auto"/>
          <w:sz w:val="28"/>
          <w:szCs w:val="28"/>
        </w:rPr>
        <w:t>8</w:t>
      </w:r>
      <w:r>
        <w:rPr>
          <w:rFonts w:hint="eastAsia"/>
          <w:color w:val="auto"/>
          <w:sz w:val="28"/>
          <w:szCs w:val="28"/>
        </w:rPr>
        <w:t>）苄氨基嘌呤</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vAlign w:val="center"/>
          </w:tcPr>
          <w:p>
            <w:pPr>
              <w:jc w:val="center"/>
              <w:rPr>
                <w:b/>
                <w:bCs/>
                <w:color w:val="auto"/>
              </w:rPr>
            </w:pPr>
            <w:r>
              <w:rPr>
                <w:rFonts w:hint="eastAsia" w:ascii="宋体" w:hAnsi="宋体"/>
                <w:b/>
                <w:bCs/>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化学品中文名称：苄氨基嘌呤</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化学品俗名：</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化学品英文名称：</w:t>
            </w:r>
            <w:r>
              <w:rPr>
                <w:rFonts w:ascii="Arial" w:hAnsi="Arial" w:cs="Arial"/>
                <w:color w:val="auto"/>
                <w:shd w:val="clear" w:color="auto" w:fill="FFFFFF"/>
              </w:rPr>
              <w:t>N-(Phenylmethyl)-9H-purin-6-amine</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英文名称：</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技术说明书编码：</w:t>
            </w:r>
            <w:r>
              <w:rPr>
                <w:rFonts w:hint="eastAsia"/>
                <w:color w:val="auto"/>
              </w:rPr>
              <w:t>008</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color w:val="auto"/>
              </w:rPr>
              <w:t>CAS No.</w:t>
            </w:r>
            <w:r>
              <w:rPr>
                <w:rFonts w:hint="eastAsia" w:ascii="宋体" w:hAnsi="宋体"/>
                <w:color w:val="auto"/>
              </w:rPr>
              <w:t>：</w:t>
            </w:r>
            <w:r>
              <w:rPr>
                <w:rFonts w:ascii="Arial" w:hAnsi="Arial" w:cs="Arial"/>
                <w:color w:val="auto"/>
                <w:shd w:val="clear" w:color="auto" w:fill="FFFFFF"/>
              </w:rPr>
              <w:t>1214-39-7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第二部分：成分</w:t>
            </w:r>
            <w:r>
              <w:rPr>
                <w:rFonts w:hint="eastAsia"/>
                <w:b/>
                <w:bCs/>
                <w:color w:val="auto"/>
              </w:rPr>
              <w:t>/</w:t>
            </w:r>
            <w:r>
              <w:rPr>
                <w:rFonts w:hint="eastAsia" w:ascii="宋体" w:hAnsi="宋体"/>
                <w:b/>
                <w:bCs/>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有害物成分</w:t>
            </w:r>
            <w:r>
              <w:rPr>
                <w:rFonts w:hint="eastAsia"/>
                <w:color w:val="auto"/>
              </w:rPr>
              <w:t xml:space="preserve">    /              </w:t>
            </w:r>
            <w:r>
              <w:rPr>
                <w:rFonts w:hint="eastAsia" w:ascii="宋体" w:hAnsi="宋体"/>
                <w:color w:val="auto"/>
              </w:rPr>
              <w:t xml:space="preserve">含量     </w:t>
            </w:r>
            <w:r>
              <w:rPr>
                <w:rFonts w:hint="eastAsia"/>
                <w:color w:val="auto"/>
              </w:rPr>
              <w:t>/           CAS 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危险性类别：</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侵入途径：</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健康危害：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环境危害：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燃爆危险：</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皮肤接触：</w:t>
            </w:r>
            <w:r>
              <w:rPr>
                <w:rFonts w:ascii="宋体" w:hAnsi="宋体"/>
                <w:color w:val="auto"/>
                <w:shd w:val="clear" w:color="auto" w:fill="FFFFFF"/>
              </w:rPr>
              <w:t>用肥皂和大量的水冲洗。</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眼睛接触：</w:t>
            </w:r>
            <w:r>
              <w:rPr>
                <w:rFonts w:ascii="宋体" w:hAnsi="宋体"/>
                <w:color w:val="auto"/>
                <w:shd w:val="clear" w:color="auto" w:fill="FFFFFF"/>
              </w:rPr>
              <w:t>用大量水彻底冲洗至少</w:t>
            </w:r>
            <w:r>
              <w:rPr>
                <w:rFonts w:ascii="Helvetica" w:hAnsi="Helvetica"/>
                <w:color w:val="auto"/>
                <w:shd w:val="clear" w:color="auto" w:fill="FFFFFF"/>
              </w:rPr>
              <w:t>15</w:t>
            </w:r>
            <w:r>
              <w:rPr>
                <w:rFonts w:ascii="宋体" w:hAnsi="宋体"/>
                <w:color w:val="auto"/>
                <w:shd w:val="clear" w:color="auto" w:fill="FFFFFF"/>
              </w:rPr>
              <w:t>分钟并请教医生。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吸入：</w:t>
            </w:r>
            <w:r>
              <w:rPr>
                <w:rFonts w:ascii="宋体" w:hAnsi="宋体"/>
                <w:color w:val="auto"/>
                <w:shd w:val="clear" w:color="auto" w:fill="FFFFFF"/>
              </w:rPr>
              <w:t>如果吸入</w:t>
            </w:r>
            <w:r>
              <w:rPr>
                <w:rFonts w:ascii="Helvetica" w:hAnsi="Helvetica"/>
                <w:color w:val="auto"/>
                <w:shd w:val="clear" w:color="auto" w:fill="FFFFFF"/>
              </w:rPr>
              <w:t>,</w:t>
            </w:r>
            <w:r>
              <w:rPr>
                <w:rFonts w:ascii="宋体" w:hAnsi="宋体"/>
                <w:color w:val="auto"/>
                <w:shd w:val="clear" w:color="auto" w:fill="FFFFFF"/>
              </w:rPr>
              <w:t>请将患者移到新鲜空气处。 如呼吸停止</w:t>
            </w:r>
            <w:r>
              <w:rPr>
                <w:rFonts w:ascii="Helvetica" w:hAnsi="Helvetica"/>
                <w:color w:val="auto"/>
                <w:shd w:val="clear" w:color="auto" w:fill="FFFFFF"/>
              </w:rPr>
              <w:t>,</w:t>
            </w:r>
            <w:r>
              <w:rPr>
                <w:rFonts w:ascii="宋体" w:hAnsi="宋体"/>
                <w:color w:val="auto"/>
                <w:shd w:val="clear" w:color="auto" w:fill="FFFFFF"/>
              </w:rPr>
              <w:t>进行人工呼吸。 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食入：</w:t>
            </w:r>
            <w:r>
              <w:rPr>
                <w:rFonts w:ascii="宋体" w:hAnsi="宋体"/>
                <w:color w:val="auto"/>
                <w:shd w:val="clear" w:color="auto" w:fill="FFFFFF"/>
              </w:rPr>
              <w:t>切勿给失去知觉者通过口喂任何东西。</w:t>
            </w:r>
            <w:r>
              <w:rPr>
                <w:rFonts w:ascii="Helvetica" w:hAnsi="Helvetica"/>
                <w:color w:val="auto"/>
                <w:shd w:val="clear" w:color="auto" w:fill="FFFFFF"/>
              </w:rPr>
              <w:t xml:space="preserve"> </w:t>
            </w:r>
            <w:r>
              <w:rPr>
                <w:rFonts w:ascii="宋体" w:hAnsi="宋体"/>
                <w:color w:val="auto"/>
                <w:shd w:val="clear" w:color="auto" w:fill="FFFFFF"/>
              </w:rPr>
              <w:t>用水漱口。</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危险特性：</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有害燃烧产物：</w:t>
            </w:r>
            <w:r>
              <w:rPr>
                <w:rFonts w:ascii="宋体" w:hAnsi="宋体"/>
                <w:color w:val="auto"/>
                <w:shd w:val="clear" w:color="auto" w:fill="FFFFFF"/>
              </w:rPr>
              <w:t>碳氧化物</w:t>
            </w:r>
            <w:r>
              <w:rPr>
                <w:rFonts w:ascii="Helvetica" w:hAnsi="Helvetica"/>
                <w:color w:val="auto"/>
                <w:shd w:val="clear" w:color="auto" w:fill="FFFFFF"/>
              </w:rPr>
              <w:t xml:space="preserve">, </w:t>
            </w:r>
            <w:r>
              <w:rPr>
                <w:rFonts w:ascii="宋体" w:hAnsi="宋体"/>
                <w:color w:val="auto"/>
                <w:shd w:val="clear" w:color="auto" w:fill="FFFFFF"/>
              </w:rPr>
              <w:t>氮氧化物</w:t>
            </w:r>
            <w:r>
              <w:rPr>
                <w:rFonts w:ascii="Helvetica" w:hAnsi="Helvetica"/>
                <w:color w:val="auto"/>
                <w:shd w:val="clear" w:color="auto" w:fill="FFFFFF"/>
              </w:rPr>
              <w:t xml:space="preserve">, </w:t>
            </w:r>
            <w:r>
              <w:rPr>
                <w:rFonts w:ascii="宋体" w:hAnsi="宋体"/>
                <w:color w:val="auto"/>
                <w:shd w:val="clear" w:color="auto" w:fill="FFFFFF"/>
              </w:rPr>
              <w:t>硫氧化物</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灭火方法：</w:t>
            </w:r>
            <w:r>
              <w:rPr>
                <w:rFonts w:hint="eastAsia"/>
                <w:color w:val="auto"/>
              </w:rPr>
              <w:t xml:space="preserve"> </w:t>
            </w:r>
            <w:r>
              <w:rPr>
                <w:rFonts w:ascii="宋体" w:hAnsi="宋体"/>
                <w:color w:val="auto"/>
                <w:shd w:val="clear" w:color="auto" w:fill="FFFFFF"/>
              </w:rPr>
              <w:t>用水雾</w:t>
            </w:r>
            <w:r>
              <w:rPr>
                <w:rFonts w:ascii="Helvetica" w:hAnsi="Helvetica"/>
                <w:color w:val="auto"/>
                <w:shd w:val="clear" w:color="auto" w:fill="FFFFFF"/>
              </w:rPr>
              <w:t>,</w:t>
            </w:r>
            <w:r>
              <w:rPr>
                <w:rFonts w:ascii="宋体" w:hAnsi="宋体"/>
                <w:color w:val="auto"/>
                <w:shd w:val="clear" w:color="auto" w:fill="FFFFFF"/>
              </w:rPr>
              <w:t>抗乙醇泡沫</w:t>
            </w:r>
            <w:r>
              <w:rPr>
                <w:rFonts w:ascii="Helvetica" w:hAnsi="Helvetica"/>
                <w:color w:val="auto"/>
                <w:shd w:val="clear" w:color="auto" w:fill="FFFFFF"/>
              </w:rPr>
              <w:t>,</w:t>
            </w:r>
            <w:r>
              <w:rPr>
                <w:rFonts w:ascii="宋体" w:hAnsi="宋体"/>
                <w:color w:val="auto"/>
                <w:shd w:val="clear" w:color="auto" w:fill="FFFFFF"/>
              </w:rPr>
              <w:t>干粉或二氧化碳灭火。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left"/>
              <w:rPr>
                <w:rFonts w:ascii="Helvetica" w:hAnsi="Helvetica"/>
                <w:color w:val="auto"/>
                <w:shd w:val="clear" w:color="auto" w:fill="FFFFFF"/>
              </w:rPr>
            </w:pPr>
            <w:r>
              <w:rPr>
                <w:rFonts w:hint="eastAsia" w:ascii="宋体" w:hAnsi="宋体"/>
                <w:color w:val="auto"/>
              </w:rPr>
              <w:t>应急处理：</w:t>
            </w:r>
            <w:r>
              <w:rPr>
                <w:rFonts w:hint="eastAsia"/>
                <w:color w:val="auto"/>
              </w:rPr>
              <w:t xml:space="preserve"> </w:t>
            </w:r>
            <w:r>
              <w:rPr>
                <w:rFonts w:ascii="宋体" w:hAnsi="宋体"/>
                <w:color w:val="auto"/>
                <w:shd w:val="clear" w:color="auto" w:fill="FFFFFF"/>
              </w:rPr>
              <w:t>使用个人防护用品。</w:t>
            </w:r>
            <w:r>
              <w:rPr>
                <w:rFonts w:ascii="Helvetica" w:hAnsi="Helvetica"/>
                <w:color w:val="auto"/>
                <w:shd w:val="clear" w:color="auto" w:fill="FFFFFF"/>
              </w:rPr>
              <w:t xml:space="preserve"> </w:t>
            </w:r>
            <w:r>
              <w:rPr>
                <w:rFonts w:ascii="宋体" w:hAnsi="宋体"/>
                <w:color w:val="auto"/>
                <w:shd w:val="clear" w:color="auto" w:fill="FFFFFF"/>
              </w:rPr>
              <w:t>避免粉尘生成。</w:t>
            </w:r>
            <w:r>
              <w:rPr>
                <w:rFonts w:ascii="Helvetica" w:hAnsi="Helvetica"/>
                <w:color w:val="auto"/>
                <w:shd w:val="clear" w:color="auto" w:fill="FFFFFF"/>
              </w:rPr>
              <w:t xml:space="preserve"> </w:t>
            </w:r>
            <w:r>
              <w:rPr>
                <w:rFonts w:ascii="宋体" w:hAnsi="宋体"/>
                <w:color w:val="auto"/>
                <w:shd w:val="clear" w:color="auto" w:fill="FFFFFF"/>
              </w:rPr>
              <w:t>避免吸入蒸气、烟雾或气体。</w:t>
            </w:r>
            <w:r>
              <w:rPr>
                <w:rFonts w:ascii="Helvetica" w:hAnsi="Helvetica"/>
                <w:color w:val="auto"/>
                <w:shd w:val="clear" w:color="auto" w:fill="FFFFFF"/>
              </w:rPr>
              <w:t xml:space="preserve"> </w:t>
            </w:r>
            <w:r>
              <w:rPr>
                <w:rFonts w:ascii="宋体" w:hAnsi="宋体"/>
                <w:color w:val="auto"/>
                <w:shd w:val="clear" w:color="auto" w:fill="FFFFFF"/>
              </w:rPr>
              <w:t>保证充分的通风。</w:t>
            </w:r>
          </w:p>
          <w:p>
            <w:pPr>
              <w:jc w:val="left"/>
              <w:rPr>
                <w:rFonts w:ascii="Helvetica" w:hAnsi="Helvetica"/>
                <w:color w:val="auto"/>
                <w:shd w:val="clear" w:color="auto" w:fill="FFFFFF"/>
              </w:rPr>
            </w:pPr>
            <w:r>
              <w:rPr>
                <w:rFonts w:ascii="宋体" w:hAnsi="宋体"/>
                <w:color w:val="auto"/>
                <w:shd w:val="clear" w:color="auto" w:fill="FFFFFF"/>
              </w:rPr>
              <w:t>人员疏散到安全区域。</w:t>
            </w:r>
            <w:r>
              <w:rPr>
                <w:rFonts w:ascii="Helvetica" w:hAnsi="Helvetica"/>
                <w:color w:val="auto"/>
                <w:shd w:val="clear" w:color="auto" w:fill="FFFFFF"/>
              </w:rPr>
              <w:t xml:space="preserve"> </w:t>
            </w:r>
            <w:r>
              <w:rPr>
                <w:rFonts w:ascii="宋体" w:hAnsi="宋体"/>
                <w:color w:val="auto"/>
                <w:shd w:val="clear" w:color="auto" w:fill="FFFFFF"/>
              </w:rPr>
              <w:t>避免吸入粉尘。</w:t>
            </w:r>
          </w:p>
          <w:p>
            <w:pPr>
              <w:jc w:val="left"/>
              <w:rPr>
                <w:rFonts w:ascii="Helvetica" w:hAnsi="Helvetica"/>
                <w:color w:val="auto"/>
                <w:shd w:val="clear" w:color="auto" w:fill="FFFFFF"/>
              </w:rPr>
            </w:pPr>
            <w:r>
              <w:rPr>
                <w:rFonts w:ascii="宋体" w:hAnsi="宋体"/>
                <w:color w:val="auto"/>
                <w:shd w:val="clear" w:color="auto" w:fill="FFFFFF"/>
              </w:rPr>
              <w:t>如能确保安全，可采取措施防止进一步的泄漏或溢出。</w:t>
            </w:r>
            <w:r>
              <w:rPr>
                <w:rFonts w:ascii="Helvetica" w:hAnsi="Helvetica"/>
                <w:color w:val="auto"/>
                <w:shd w:val="clear" w:color="auto" w:fill="FFFFFF"/>
              </w:rPr>
              <w:t xml:space="preserve"> </w:t>
            </w:r>
            <w:r>
              <w:rPr>
                <w:rFonts w:ascii="宋体" w:hAnsi="宋体"/>
                <w:color w:val="auto"/>
                <w:shd w:val="clear" w:color="auto" w:fill="FFFFFF"/>
              </w:rPr>
              <w:t>不要让产品进入下水道。</w:t>
            </w:r>
          </w:p>
          <w:p>
            <w:pPr>
              <w:jc w:val="left"/>
              <w:rPr>
                <w:rFonts w:ascii="Helvetica" w:hAnsi="Helvetica"/>
                <w:color w:val="auto"/>
                <w:shd w:val="clear" w:color="auto" w:fill="FFFFFF"/>
              </w:rPr>
            </w:pPr>
            <w:r>
              <w:rPr>
                <w:rFonts w:ascii="宋体" w:hAnsi="宋体"/>
                <w:color w:val="auto"/>
                <w:shd w:val="clear" w:color="auto" w:fill="FFFFFF"/>
              </w:rPr>
              <w:t>一定要避免排放到周围环境中。</w:t>
            </w:r>
          </w:p>
          <w:p>
            <w:pPr>
              <w:jc w:val="left"/>
              <w:rPr>
                <w:rFonts w:ascii="Helvetica" w:hAnsi="Helvetica"/>
                <w:color w:val="auto"/>
                <w:shd w:val="clear" w:color="auto" w:fill="FFFFFF"/>
              </w:rPr>
            </w:pPr>
            <w:r>
              <w:rPr>
                <w:rFonts w:ascii="宋体" w:hAnsi="宋体"/>
                <w:color w:val="auto"/>
                <w:shd w:val="clear" w:color="auto" w:fill="FFFFFF"/>
              </w:rPr>
              <w:t>收集和处置时不要产生粉尘。</w:t>
            </w:r>
            <w:r>
              <w:rPr>
                <w:rFonts w:ascii="Helvetica" w:hAnsi="Helvetica"/>
                <w:color w:val="auto"/>
                <w:shd w:val="clear" w:color="auto" w:fill="FFFFFF"/>
              </w:rPr>
              <w:t xml:space="preserve"> </w:t>
            </w:r>
            <w:r>
              <w:rPr>
                <w:rFonts w:ascii="宋体" w:hAnsi="宋体"/>
                <w:color w:val="auto"/>
                <w:shd w:val="clear" w:color="auto" w:fill="FFFFFF"/>
              </w:rPr>
              <w:t>扫掉和铲掉。</w:t>
            </w:r>
            <w:r>
              <w:rPr>
                <w:rFonts w:ascii="Helvetica" w:hAnsi="Helvetica"/>
                <w:color w:val="auto"/>
                <w:shd w:val="clear" w:color="auto" w:fill="FFFFFF"/>
              </w:rPr>
              <w:t xml:space="preserve"> </w:t>
            </w:r>
            <w:r>
              <w:rPr>
                <w:rFonts w:ascii="宋体" w:hAnsi="宋体"/>
                <w:color w:val="auto"/>
                <w:shd w:val="clear" w:color="auto" w:fill="FFFFFF"/>
              </w:rPr>
              <w:t>放入合适的封闭的容器中待处理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rFonts w:ascii="等线" w:hAnsi="等线"/>
                <w:color w:val="auto"/>
              </w:rPr>
            </w:pPr>
            <w:r>
              <w:rPr>
                <w:rFonts w:hint="eastAsia" w:ascii="宋体" w:hAnsi="宋体"/>
                <w:b/>
                <w:bCs/>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操作注意事项：</w:t>
            </w:r>
            <w:r>
              <w:rPr>
                <w:rFonts w:hint="eastAsia"/>
                <w:color w:val="auto"/>
              </w:rPr>
              <w:t xml:space="preserve"> </w:t>
            </w:r>
            <w:r>
              <w:rPr>
                <w:rFonts w:ascii="宋体" w:hAnsi="宋体"/>
                <w:color w:val="auto"/>
                <w:shd w:val="clear" w:color="auto" w:fill="FFFFFF"/>
              </w:rPr>
              <w:t>避免接触皮肤和眼睛。</w:t>
            </w:r>
            <w:r>
              <w:rPr>
                <w:rFonts w:ascii="Helvetica" w:hAnsi="Helvetica"/>
                <w:color w:val="auto"/>
                <w:shd w:val="clear" w:color="auto" w:fill="FFFFFF"/>
              </w:rPr>
              <w:t xml:space="preserve"> </w:t>
            </w:r>
            <w:r>
              <w:rPr>
                <w:rFonts w:ascii="宋体" w:hAnsi="宋体"/>
                <w:color w:val="auto"/>
                <w:shd w:val="clear" w:color="auto" w:fill="FFFFFF"/>
              </w:rPr>
              <w:t>避免形成粉尘和气溶胶。</w:t>
            </w:r>
          </w:p>
          <w:p>
            <w:pPr>
              <w:rPr>
                <w:rFonts w:ascii="等线" w:hAnsi="等线"/>
                <w:color w:val="auto"/>
              </w:rPr>
            </w:pPr>
            <w:r>
              <w:rPr>
                <w:rFonts w:ascii="宋体" w:hAnsi="宋体"/>
                <w:color w:val="auto"/>
                <w:shd w:val="clear" w:color="auto" w:fill="FFFFFF"/>
              </w:rPr>
              <w:t>在有粉尘生成的地方</w:t>
            </w:r>
            <w:r>
              <w:rPr>
                <w:rFonts w:ascii="Helvetica" w:hAnsi="Helvetica"/>
                <w:color w:val="auto"/>
                <w:shd w:val="clear" w:color="auto" w:fill="FFFFFF"/>
              </w:rPr>
              <w:t>,</w:t>
            </w:r>
            <w:r>
              <w:rPr>
                <w:rFonts w:ascii="宋体" w:hAnsi="宋体"/>
                <w:color w:val="auto"/>
                <w:shd w:val="clear" w:color="auto" w:fill="FFFFFF"/>
              </w:rPr>
              <w:t>提供合适的排风设备。一般性的防火保护措施。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储存注意事项：</w:t>
            </w:r>
            <w:r>
              <w:rPr>
                <w:rFonts w:hint="eastAsia"/>
                <w:color w:val="auto"/>
              </w:rPr>
              <w:t xml:space="preserve"> </w:t>
            </w:r>
            <w:r>
              <w:rPr>
                <w:rFonts w:hint="eastAsia" w:ascii="宋体" w:hAnsi="宋体" w:cs="Arial"/>
                <w:color w:val="auto"/>
                <w:shd w:val="clear" w:color="auto" w:fill="FFFFFF"/>
              </w:rPr>
              <w:t>贮存于阴凉通风处。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第八部分：接触控制</w:t>
            </w:r>
            <w:r>
              <w:rPr>
                <w:rFonts w:hint="eastAsia"/>
                <w:b/>
                <w:bCs/>
                <w:color w:val="auto"/>
              </w:rPr>
              <w:t>/</w:t>
            </w:r>
            <w:r>
              <w:rPr>
                <w:rFonts w:hint="eastAsia" w:ascii="宋体" w:hAnsi="宋体"/>
                <w:b/>
                <w:bCs/>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 xml:space="preserve"> </w:t>
            </w:r>
            <w:r>
              <w:rPr>
                <w:rFonts w:hint="eastAsia" w:ascii="宋体" w:hAnsi="宋体"/>
                <w:color w:val="auto"/>
              </w:rPr>
              <w:t>中国</w:t>
            </w:r>
            <w:r>
              <w:rPr>
                <w:rFonts w:hint="eastAsia"/>
                <w:color w:val="auto"/>
              </w:rPr>
              <w:t>MAC(mg/m3)</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前苏联</w:t>
            </w:r>
            <w:r>
              <w:rPr>
                <w:rFonts w:hint="eastAsia"/>
                <w:color w:val="auto"/>
              </w:rPr>
              <w:t>MAC(mg/m3)</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TLVTN</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TLVWN</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监测方法：</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工程控制：</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left"/>
              <w:rPr>
                <w:rFonts w:ascii="Helvetica" w:hAnsi="Helvetica"/>
                <w:color w:val="auto"/>
                <w:shd w:val="clear" w:color="auto" w:fill="FFFFFF"/>
              </w:rPr>
            </w:pPr>
            <w:r>
              <w:rPr>
                <w:rFonts w:hint="eastAsia" w:ascii="宋体" w:hAnsi="宋体"/>
                <w:color w:val="auto"/>
              </w:rPr>
              <w:t>呼吸系统防护：</w:t>
            </w:r>
            <w:r>
              <w:rPr>
                <w:rFonts w:ascii="宋体" w:hAnsi="宋体"/>
                <w:color w:val="auto"/>
                <w:shd w:val="clear" w:color="auto" w:fill="FFFFFF"/>
              </w:rPr>
              <w:t>如须暴露于有害环境中</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P95</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P1</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欧盟 英国</w:t>
            </w:r>
          </w:p>
          <w:p>
            <w:pPr>
              <w:jc w:val="left"/>
              <w:rPr>
                <w:rFonts w:ascii="Helvetica" w:hAnsi="Helvetica"/>
                <w:color w:val="auto"/>
                <w:shd w:val="clear" w:color="auto" w:fill="FFFFFF"/>
              </w:rPr>
            </w:pPr>
            <w:r>
              <w:rPr>
                <w:rFonts w:ascii="Helvetica" w:hAnsi="Helvetica"/>
                <w:color w:val="auto"/>
                <w:shd w:val="clear" w:color="auto" w:fill="FFFFFF"/>
              </w:rPr>
              <w:t>143)</w:t>
            </w:r>
            <w:r>
              <w:rPr>
                <w:rFonts w:ascii="宋体" w:hAnsi="宋体"/>
                <w:color w:val="auto"/>
                <w:shd w:val="clear" w:color="auto" w:fill="FFFFFF"/>
              </w:rPr>
              <w:t>防微粒呼吸器。如需更高级别防护</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OV/AG/P99</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ABEK-P2</w:t>
            </w:r>
            <w:r>
              <w:rPr>
                <w:rFonts w:ascii="宋体" w:hAnsi="宋体"/>
                <w:color w:val="auto"/>
                <w:shd w:val="clear" w:color="auto" w:fill="FFFFFF"/>
              </w:rPr>
              <w:t xml:space="preserve">型 </w:t>
            </w:r>
            <w:r>
              <w:rPr>
                <w:rFonts w:ascii="Helvetica" w:hAnsi="Helvetica"/>
                <w:color w:val="auto"/>
                <w:shd w:val="clear" w:color="auto" w:fill="FFFFFF"/>
              </w:rPr>
              <w:t>(</w:t>
            </w:r>
            <w:r>
              <w:rPr>
                <w:rFonts w:ascii="宋体" w:hAnsi="宋体"/>
                <w:color w:val="auto"/>
                <w:shd w:val="clear" w:color="auto" w:fill="FFFFFF"/>
              </w:rPr>
              <w:t xml:space="preserve">欧盟 英国 </w:t>
            </w:r>
            <w:r>
              <w:rPr>
                <w:rFonts w:ascii="Helvetica" w:hAnsi="Helvetica"/>
                <w:color w:val="auto"/>
                <w:shd w:val="clear" w:color="auto" w:fill="FFFFFF"/>
              </w:rPr>
              <w:t>143)</w:t>
            </w:r>
          </w:p>
          <w:p>
            <w:pPr>
              <w:jc w:val="left"/>
              <w:rPr>
                <w:rFonts w:ascii="Helvetica" w:hAnsi="Helvetica"/>
                <w:color w:val="auto"/>
                <w:shd w:val="clear" w:color="auto" w:fill="FFFFFF"/>
              </w:rPr>
            </w:pPr>
            <w:r>
              <w:rPr>
                <w:rFonts w:ascii="宋体" w:hAnsi="宋体"/>
                <w:color w:val="auto"/>
                <w:shd w:val="clear" w:color="auto" w:fill="FFFFFF"/>
              </w:rPr>
              <w:t>防毒罐。</w:t>
            </w:r>
          </w:p>
          <w:p>
            <w:pPr>
              <w:jc w:val="left"/>
              <w:rPr>
                <w:rFonts w:ascii="等线" w:hAnsi="等线"/>
                <w:color w:val="auto"/>
              </w:rPr>
            </w:pPr>
            <w:r>
              <w:rPr>
                <w:rFonts w:ascii="宋体" w:hAnsi="宋体"/>
                <w:color w:val="auto"/>
                <w:shd w:val="clear" w:color="auto" w:fill="FFFFFF"/>
              </w:rPr>
              <w:t>呼吸器使用经过测试并通过政府标准如</w:t>
            </w:r>
            <w:r>
              <w:rPr>
                <w:rFonts w:ascii="Helvetica" w:hAnsi="Helvetica"/>
                <w:color w:val="auto"/>
                <w:shd w:val="clear" w:color="auto" w:fill="FFFFFF"/>
              </w:rPr>
              <w:t>NIOSH</w:t>
            </w:r>
            <w:r>
              <w:rPr>
                <w:rFonts w:ascii="宋体" w:hAnsi="宋体"/>
                <w:color w:val="auto"/>
                <w:shd w:val="clear" w:color="auto" w:fill="FFFFFF"/>
              </w:rPr>
              <w:t>（</w:t>
            </w:r>
            <w:r>
              <w:rPr>
                <w:rFonts w:ascii="Helvetica" w:hAnsi="Helvetica"/>
                <w:color w:val="auto"/>
                <w:shd w:val="clear" w:color="auto" w:fill="FFFFFF"/>
              </w:rPr>
              <w:t>US</w:t>
            </w:r>
            <w:r>
              <w:rPr>
                <w:rFonts w:ascii="宋体" w:hAnsi="宋体"/>
                <w:color w:val="auto"/>
                <w:shd w:val="clear" w:color="auto" w:fill="FFFFFF"/>
              </w:rPr>
              <w:t>）或</w:t>
            </w:r>
            <w:r>
              <w:rPr>
                <w:rFonts w:ascii="Helvetica" w:hAnsi="Helvetica"/>
                <w:color w:val="auto"/>
                <w:shd w:val="clear" w:color="auto" w:fill="FFFFFF"/>
              </w:rPr>
              <w:t>CEN</w:t>
            </w:r>
            <w:r>
              <w:rPr>
                <w:rFonts w:ascii="宋体" w:hAnsi="宋体"/>
                <w:color w:val="auto"/>
                <w:shd w:val="clear" w:color="auto" w:fill="FFFFFF"/>
              </w:rPr>
              <w:t>（</w:t>
            </w:r>
            <w:r>
              <w:rPr>
                <w:rFonts w:ascii="Helvetica" w:hAnsi="Helvetica"/>
                <w:color w:val="auto"/>
                <w:shd w:val="clear" w:color="auto" w:fill="FFFFFF"/>
              </w:rPr>
              <w:t>EU</w:t>
            </w:r>
            <w:r>
              <w:rPr>
                <w:rFonts w:ascii="宋体" w:hAnsi="宋体"/>
                <w:color w:val="auto"/>
                <w:shd w:val="clear" w:color="auto" w:fill="FFFFFF"/>
              </w:rPr>
              <w:t>）的呼吸器和零件。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left"/>
              <w:rPr>
                <w:rFonts w:ascii="Helvetica" w:hAnsi="Helvetica"/>
                <w:color w:val="auto"/>
                <w:shd w:val="clear" w:color="auto" w:fill="FFFFFF"/>
              </w:rPr>
            </w:pPr>
            <w:r>
              <w:rPr>
                <w:rFonts w:hint="eastAsia" w:ascii="宋体" w:hAnsi="宋体"/>
                <w:color w:val="auto"/>
              </w:rPr>
              <w:t>眼睛防护：</w:t>
            </w:r>
            <w:r>
              <w:rPr>
                <w:rFonts w:ascii="宋体" w:hAnsi="宋体"/>
                <w:color w:val="auto"/>
                <w:shd w:val="clear" w:color="auto" w:fill="FFFFFF"/>
              </w:rPr>
              <w:t>带有防护边罩的安全眼镜符合</w:t>
            </w:r>
            <w:r>
              <w:rPr>
                <w:rFonts w:ascii="Helvetica" w:hAnsi="Helvetica"/>
                <w:color w:val="auto"/>
                <w:shd w:val="clear" w:color="auto" w:fill="FFFFFF"/>
              </w:rPr>
              <w:t xml:space="preserve"> EN166</w:t>
            </w:r>
            <w:r>
              <w:rPr>
                <w:rFonts w:ascii="宋体" w:hAnsi="宋体"/>
                <w:color w:val="auto"/>
                <w:shd w:val="clear" w:color="auto" w:fill="FFFFFF"/>
              </w:rPr>
              <w:t>要求请使用经官方标准如</w:t>
            </w:r>
            <w:r>
              <w:rPr>
                <w:rFonts w:ascii="Helvetica" w:hAnsi="Helvetica"/>
                <w:color w:val="auto"/>
                <w:shd w:val="clear" w:color="auto" w:fill="FFFFFF"/>
              </w:rPr>
              <w:t>NIOSH (</w:t>
            </w:r>
            <w:r>
              <w:rPr>
                <w:rFonts w:ascii="宋体" w:hAnsi="宋体"/>
                <w:color w:val="auto"/>
                <w:shd w:val="clear" w:color="auto" w:fill="FFFFFF"/>
              </w:rPr>
              <w:t>美国</w:t>
            </w:r>
            <w:r>
              <w:rPr>
                <w:rFonts w:ascii="Helvetica" w:hAnsi="Helvetica"/>
                <w:color w:val="auto"/>
                <w:shd w:val="clear" w:color="auto" w:fill="FFFFFF"/>
              </w:rPr>
              <w:t xml:space="preserve">) </w:t>
            </w:r>
            <w:r>
              <w:rPr>
                <w:rFonts w:ascii="宋体" w:hAnsi="宋体"/>
                <w:color w:val="auto"/>
                <w:shd w:val="clear" w:color="auto" w:fill="FFFFFF"/>
              </w:rPr>
              <w:t xml:space="preserve">或 </w:t>
            </w:r>
            <w:r>
              <w:rPr>
                <w:rFonts w:ascii="Helvetica" w:hAnsi="Helvetica"/>
                <w:color w:val="auto"/>
                <w:shd w:val="clear" w:color="auto" w:fill="FFFFFF"/>
              </w:rPr>
              <w:t>EN 166(</w:t>
            </w:r>
            <w:r>
              <w:rPr>
                <w:rFonts w:ascii="宋体" w:hAnsi="宋体"/>
                <w:color w:val="auto"/>
                <w:shd w:val="clear" w:color="auto" w:fill="FFFFFF"/>
              </w:rPr>
              <w:t>欧盟</w:t>
            </w:r>
            <w:r>
              <w:rPr>
                <w:rFonts w:ascii="Helvetica" w:hAnsi="Helvetica"/>
                <w:color w:val="auto"/>
                <w:shd w:val="clear" w:color="auto" w:fill="FFFFFF"/>
              </w:rPr>
              <w:t>)</w:t>
            </w:r>
          </w:p>
          <w:p>
            <w:pPr>
              <w:jc w:val="left"/>
              <w:rPr>
                <w:rFonts w:ascii="等线" w:hAnsi="等线"/>
                <w:color w:val="auto"/>
              </w:rPr>
            </w:pPr>
            <w:r>
              <w:rPr>
                <w:rFonts w:ascii="宋体" w:hAnsi="宋体"/>
                <w:color w:val="auto"/>
                <w:shd w:val="clear" w:color="auto" w:fill="FFFFFF"/>
              </w:rPr>
              <w:t>检测与批准的设备防护眼部。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身体防护：</w:t>
            </w:r>
            <w:r>
              <w:rPr>
                <w:rFonts w:ascii="宋体" w:hAnsi="宋体"/>
                <w:color w:val="auto"/>
                <w:shd w:val="clear" w:color="auto" w:fill="FFFFFF"/>
              </w:rPr>
              <w:t>全套防化学试剂工作服</w:t>
            </w:r>
            <w:r>
              <w:rPr>
                <w:rFonts w:ascii="Helvetica" w:hAnsi="Helvetica"/>
                <w:color w:val="auto"/>
                <w:shd w:val="clear" w:color="auto" w:fill="FFFFFF"/>
              </w:rPr>
              <w:t xml:space="preserve">, </w:t>
            </w:r>
            <w:r>
              <w:rPr>
                <w:rFonts w:ascii="宋体" w:hAnsi="宋体"/>
                <w:color w:val="auto"/>
                <w:shd w:val="clear" w:color="auto" w:fill="FFFFFF"/>
              </w:rPr>
              <w:t>防护设备的类型必须根据特定工作场所中的危险物的浓度和数量来选择。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left"/>
              <w:rPr>
                <w:rFonts w:ascii="Helvetica" w:hAnsi="Helvetica"/>
                <w:color w:val="auto"/>
                <w:shd w:val="clear" w:color="auto" w:fill="FFFFFF"/>
              </w:rPr>
            </w:pPr>
            <w:r>
              <w:rPr>
                <w:rFonts w:hint="eastAsia" w:ascii="宋体" w:hAnsi="宋体"/>
                <w:color w:val="auto"/>
              </w:rPr>
              <w:t>手防护：</w:t>
            </w:r>
            <w:r>
              <w:rPr>
                <w:rFonts w:ascii="宋体" w:hAnsi="宋体"/>
                <w:color w:val="auto"/>
                <w:shd w:val="clear" w:color="auto" w:fill="FFFFFF"/>
              </w:rPr>
              <w:t>戴手套取</w:t>
            </w:r>
            <w:r>
              <w:rPr>
                <w:rFonts w:ascii="Helvetica" w:hAnsi="Helvetica"/>
                <w:color w:val="auto"/>
                <w:shd w:val="clear" w:color="auto" w:fill="FFFFFF"/>
              </w:rPr>
              <w:t xml:space="preserve"> </w:t>
            </w:r>
            <w:r>
              <w:rPr>
                <w:rFonts w:ascii="宋体" w:hAnsi="宋体"/>
                <w:color w:val="auto"/>
                <w:shd w:val="clear" w:color="auto" w:fill="FFFFFF"/>
              </w:rPr>
              <w:t>手套在使用前必须受检查。</w:t>
            </w:r>
          </w:p>
          <w:p>
            <w:pPr>
              <w:jc w:val="left"/>
              <w:rPr>
                <w:rFonts w:ascii="Helvetica" w:hAnsi="Helvetica"/>
                <w:color w:val="auto"/>
                <w:shd w:val="clear" w:color="auto" w:fill="FFFFFF"/>
              </w:rPr>
            </w:pPr>
            <w:r>
              <w:rPr>
                <w:rFonts w:ascii="宋体" w:hAnsi="宋体"/>
                <w:color w:val="auto"/>
                <w:shd w:val="clear" w:color="auto" w:fill="FFFFFF"/>
              </w:rPr>
              <w:t>请使用合适的方法脱除手套</w:t>
            </w:r>
            <w:r>
              <w:rPr>
                <w:rFonts w:ascii="Helvetica" w:hAnsi="Helvetica"/>
                <w:color w:val="auto"/>
                <w:shd w:val="clear" w:color="auto" w:fill="FFFFFF"/>
              </w:rPr>
              <w:t>(</w:t>
            </w:r>
            <w:r>
              <w:rPr>
                <w:rFonts w:ascii="宋体" w:hAnsi="宋体"/>
                <w:color w:val="auto"/>
                <w:shd w:val="clear" w:color="auto" w:fill="FFFFFF"/>
              </w:rPr>
              <w:t>不要接触手套外部表面</w:t>
            </w:r>
            <w:r>
              <w:rPr>
                <w:rFonts w:ascii="Helvetica" w:hAnsi="Helvetica"/>
                <w:color w:val="auto"/>
                <w:shd w:val="clear" w:color="auto" w:fill="FFFFFF"/>
              </w:rPr>
              <w:t>),</w:t>
            </w:r>
            <w:r>
              <w:rPr>
                <w:rFonts w:ascii="宋体" w:hAnsi="宋体"/>
                <w:color w:val="auto"/>
                <w:shd w:val="clear" w:color="auto" w:fill="FFFFFF"/>
              </w:rPr>
              <w:t>避免任何皮肤部位接触此产品</w:t>
            </w:r>
            <w:r>
              <w:rPr>
                <w:rFonts w:ascii="Helvetica" w:hAnsi="Helvetica"/>
                <w:color w:val="auto"/>
                <w:shd w:val="clear" w:color="auto" w:fill="FFFFFF"/>
              </w:rPr>
              <w:t>.</w:t>
            </w:r>
          </w:p>
          <w:p>
            <w:pPr>
              <w:jc w:val="left"/>
              <w:rPr>
                <w:rFonts w:ascii="Helvetica" w:hAnsi="Helvetica"/>
                <w:color w:val="auto"/>
                <w:shd w:val="clear" w:color="auto" w:fill="FFFFFF"/>
              </w:rPr>
            </w:pPr>
            <w:r>
              <w:rPr>
                <w:rFonts w:ascii="宋体" w:hAnsi="宋体"/>
                <w:color w:val="auto"/>
                <w:shd w:val="clear" w:color="auto" w:fill="FFFFFF"/>
              </w:rPr>
              <w:t>使用后请将被污染过的手套根据相关法律法规和有效的实验室规章程序谨慎处理</w:t>
            </w:r>
            <w:r>
              <w:rPr>
                <w:rFonts w:ascii="Helvetica" w:hAnsi="Helvetica"/>
                <w:color w:val="auto"/>
                <w:shd w:val="clear" w:color="auto" w:fill="FFFFFF"/>
              </w:rPr>
              <w:t xml:space="preserve">. </w:t>
            </w:r>
            <w:r>
              <w:rPr>
                <w:rFonts w:ascii="宋体" w:hAnsi="宋体"/>
                <w:color w:val="auto"/>
                <w:shd w:val="clear" w:color="auto" w:fill="FFFFFF"/>
              </w:rPr>
              <w:t>请清洗并吹干双手</w:t>
            </w:r>
          </w:p>
          <w:p>
            <w:pPr>
              <w:jc w:val="left"/>
              <w:rPr>
                <w:rFonts w:ascii="等线" w:hAnsi="等线"/>
                <w:color w:val="auto"/>
              </w:rPr>
            </w:pPr>
            <w:r>
              <w:rPr>
                <w:rFonts w:ascii="宋体" w:hAnsi="宋体"/>
                <w:color w:val="auto"/>
                <w:shd w:val="clear" w:color="auto" w:fill="FFFFFF"/>
              </w:rPr>
              <w:t>所选择的保护手套必须符合</w:t>
            </w:r>
            <w:r>
              <w:rPr>
                <w:rFonts w:ascii="Helvetica" w:hAnsi="Helvetica"/>
                <w:color w:val="auto"/>
                <w:shd w:val="clear" w:color="auto" w:fill="FFFFFF"/>
              </w:rPr>
              <w:t>EU</w:t>
            </w:r>
            <w:r>
              <w:rPr>
                <w:rFonts w:ascii="宋体" w:hAnsi="宋体"/>
                <w:color w:val="auto"/>
                <w:shd w:val="clear" w:color="auto" w:fill="FFFFFF"/>
              </w:rPr>
              <w:t>的</w:t>
            </w:r>
            <w:r>
              <w:rPr>
                <w:rFonts w:ascii="Helvetica" w:hAnsi="Helvetica"/>
                <w:color w:val="auto"/>
                <w:shd w:val="clear" w:color="auto" w:fill="FFFFFF"/>
              </w:rPr>
              <w:t>89/686/EEC</w:t>
            </w:r>
            <w:r>
              <w:rPr>
                <w:rFonts w:ascii="宋体" w:hAnsi="宋体"/>
                <w:color w:val="auto"/>
                <w:shd w:val="clear" w:color="auto" w:fill="FFFFFF"/>
              </w:rPr>
              <w:t>规定和从它衍生出来的</w:t>
            </w:r>
            <w:r>
              <w:rPr>
                <w:rFonts w:ascii="Helvetica" w:hAnsi="Helvetica"/>
                <w:color w:val="auto"/>
                <w:shd w:val="clear" w:color="auto" w:fill="FFFFFF"/>
              </w:rPr>
              <w:t>EN 376</w:t>
            </w:r>
            <w:r>
              <w:rPr>
                <w:rFonts w:ascii="宋体" w:hAnsi="宋体"/>
                <w:color w:val="auto"/>
                <w:shd w:val="clear" w:color="auto" w:fill="FFFFFF"/>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其他防护：</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b/>
                <w:bCs/>
                <w:color w:val="auto"/>
              </w:rPr>
            </w:pPr>
            <w:r>
              <w:rPr>
                <w:rFonts w:hint="eastAsia" w:ascii="宋体" w:hAnsi="宋体"/>
                <w:b/>
                <w:bCs/>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外观与性状：</w:t>
            </w:r>
            <w:r>
              <w:rPr>
                <w:rStyle w:val="63"/>
                <w:rFonts w:hint="eastAsia" w:ascii="宋体" w:hAnsi="宋体"/>
                <w:bCs/>
                <w:color w:val="auto"/>
                <w:shd w:val="clear" w:color="auto" w:fill="FFFFFF"/>
              </w:rPr>
              <w:t>原药</w:t>
            </w:r>
            <w:r>
              <w:rPr>
                <w:rFonts w:hint="eastAsia" w:ascii="宋体" w:hAnsi="宋体" w:cs="Arial"/>
                <w:color w:val="auto"/>
                <w:shd w:val="clear" w:color="auto" w:fill="FFFFFF"/>
              </w:rPr>
              <w:t>白色结晶粉末，难溶于水，微溶于乙醇，在酸、碱中稳定。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pH</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熔点</w:t>
            </w:r>
            <w:r>
              <w:rPr>
                <w:rFonts w:hint="eastAsia"/>
                <w:color w:val="auto"/>
              </w:rPr>
              <w:t>(℃)</w:t>
            </w:r>
            <w:r>
              <w:rPr>
                <w:rFonts w:hint="eastAsia" w:ascii="宋体" w:hAnsi="宋体"/>
                <w:color w:val="auto"/>
              </w:rPr>
              <w:t>：</w:t>
            </w:r>
            <w:r>
              <w:rPr>
                <w:rFonts w:ascii="Arial" w:hAnsi="Arial" w:cs="Arial"/>
                <w:color w:val="auto"/>
                <w:shd w:val="clear" w:color="auto" w:fill="FFFFFF"/>
              </w:rPr>
              <w:t>222-225</w:t>
            </w:r>
            <w:r>
              <w:rPr>
                <w:rFonts w:hint="eastAsia"/>
                <w:color w:val="auto"/>
                <w:shd w:val="clear" w:color="auto" w:fill="FFFFFF"/>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沸点</w:t>
            </w:r>
            <w:r>
              <w:rPr>
                <w:rFonts w:hint="eastAsia"/>
                <w:color w:val="auto"/>
              </w:rPr>
              <w:t>(℃)</w:t>
            </w:r>
            <w:r>
              <w:rPr>
                <w:rFonts w:hint="eastAsia" w:ascii="宋体" w:hAnsi="宋体"/>
                <w:color w:val="auto"/>
              </w:rPr>
              <w:t>：</w:t>
            </w:r>
            <w:r>
              <w:rPr>
                <w:rFonts w:hint="eastAsia"/>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相对蒸气密度</w:t>
            </w: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分子式：</w:t>
            </w:r>
            <w:r>
              <w:rPr>
                <w:rFonts w:ascii="Arial" w:hAnsi="Arial" w:cs="Arial"/>
                <w:color w:val="auto"/>
                <w:shd w:val="clear" w:color="auto" w:fill="FFFFFF"/>
              </w:rPr>
              <w:t>C12H11N5</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分子量：</w:t>
            </w:r>
            <w:r>
              <w:rPr>
                <w:rFonts w:ascii="Arial" w:hAnsi="Arial" w:cs="Arial"/>
                <w:color w:val="auto"/>
                <w:shd w:val="clear" w:color="auto" w:fill="FFFFFF"/>
              </w:rPr>
              <w:t>225.25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主要成分：苄氨基嘌呤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r>
              <w:rPr>
                <w:rFonts w:ascii="Helvetica" w:hAnsi="Helvetica"/>
                <w:color w:val="auto"/>
                <w:shd w:val="clear" w:color="auto" w:fill="FFFFFF"/>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燃烧热</w:t>
            </w:r>
            <w:r>
              <w:rPr>
                <w:rFonts w:hint="eastAsia"/>
                <w:color w:val="auto"/>
              </w:rPr>
              <w:t>(kJ/mol)</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临界温度</w:t>
            </w:r>
            <w:r>
              <w:rPr>
                <w:rFonts w:hint="eastAsia"/>
                <w:color w:val="auto"/>
              </w:rPr>
              <w:t>(℃)</w:t>
            </w:r>
            <w:r>
              <w:rPr>
                <w:rFonts w:hint="eastAsia" w:ascii="宋体" w:hAnsi="宋体"/>
                <w:color w:val="auto"/>
              </w:rPr>
              <w:t>：未确定</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临界压力</w:t>
            </w:r>
            <w:r>
              <w:rPr>
                <w:rFonts w:hint="eastAsia"/>
                <w:color w:val="auto"/>
              </w:rPr>
              <w:t>(MPa)</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闪点</w:t>
            </w:r>
            <w:r>
              <w:rPr>
                <w:rFonts w:hint="eastAsia"/>
                <w:color w:val="auto"/>
              </w:rPr>
              <w:t>(℃)</w:t>
            </w:r>
            <w:r>
              <w:rPr>
                <w:rFonts w:hint="eastAsia" w:ascii="宋体" w:hAnsi="宋体"/>
                <w:color w:val="auto"/>
              </w:rPr>
              <w:t>：</w:t>
            </w:r>
            <w:r>
              <w:rPr>
                <w:rFonts w:hint="eastAsia"/>
                <w:color w:val="auto"/>
              </w:rPr>
              <w:t>/</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爆炸上限</w:t>
            </w:r>
            <w:r>
              <w:rPr>
                <w:rFonts w:hint="eastAsia"/>
                <w:color w:val="auto"/>
              </w:rPr>
              <w:t>%(V/V)</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引燃温度</w:t>
            </w:r>
            <w:r>
              <w:rPr>
                <w:rFonts w:hint="eastAsia"/>
                <w:color w:val="auto"/>
              </w:rPr>
              <w:t>(℃)</w:t>
            </w:r>
            <w:r>
              <w:rPr>
                <w:rFonts w:hint="eastAsia" w:ascii="宋体" w:hAnsi="宋体"/>
                <w:color w:val="auto"/>
              </w:rPr>
              <w:t>：未确定</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爆炸下限</w:t>
            </w:r>
            <w:r>
              <w:rPr>
                <w:rFonts w:hint="eastAsia"/>
                <w:color w:val="auto"/>
              </w:rPr>
              <w:t>%(V/V)</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溶解性：</w:t>
            </w:r>
            <w:r>
              <w:rPr>
                <w:rFonts w:hint="eastAsia" w:ascii="宋体" w:hAnsi="宋体" w:cs="Arial"/>
                <w:color w:val="auto"/>
                <w:shd w:val="clear" w:color="auto" w:fill="FFFFFF"/>
              </w:rPr>
              <w:t>难溶于水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主要用途：</w:t>
            </w:r>
            <w:r>
              <w:rPr>
                <w:rFonts w:ascii="Arial" w:hAnsi="Arial" w:cs="Arial"/>
                <w:color w:val="auto"/>
                <w:shd w:val="clear" w:color="auto" w:fill="FFFFFF"/>
              </w:rPr>
              <w:t>6-BA</w:t>
            </w:r>
            <w:r>
              <w:rPr>
                <w:rFonts w:hint="eastAsia" w:ascii="宋体" w:hAnsi="宋体" w:cs="Arial"/>
                <w:color w:val="auto"/>
                <w:shd w:val="clear" w:color="auto" w:fill="FFFFFF"/>
              </w:rPr>
              <w:t>是第一个人工合成的细胞分裂素。</w:t>
            </w:r>
            <w:r>
              <w:rPr>
                <w:rFonts w:ascii="Arial" w:hAnsi="Arial" w:cs="Arial"/>
                <w:color w:val="auto"/>
                <w:shd w:val="clear" w:color="auto" w:fill="FFFFFF"/>
              </w:rPr>
              <w:t>6-BA</w:t>
            </w:r>
            <w:r>
              <w:rPr>
                <w:rFonts w:hint="eastAsia" w:ascii="宋体" w:hAnsi="宋体" w:cs="Arial"/>
                <w:color w:val="auto"/>
                <w:shd w:val="clear" w:color="auto" w:fill="FFFFFF"/>
              </w:rPr>
              <w:t>具有抑制植物叶内叶绿素、核酸、蛋白质的分解。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其它理化性质：</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稳定性：</w:t>
            </w:r>
            <w:r>
              <w:rPr>
                <w:rFonts w:ascii="Helvetica" w:hAnsi="Helvetica"/>
                <w:color w:val="auto"/>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禁配物：</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避免接触的条件：</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聚合危害：</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分解产物：</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急性毒性：低毒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LD50</w:t>
            </w:r>
            <w:r>
              <w:rPr>
                <w:rFonts w:hint="eastAsia" w:ascii="宋体" w:hAnsi="宋体"/>
                <w:color w:val="auto"/>
              </w:rPr>
              <w:t>：</w:t>
            </w:r>
            <w:r>
              <w:rPr>
                <w:rFonts w:hint="eastAsia" w:ascii="宋体" w:hAnsi="宋体" w:cs="Arial"/>
                <w:color w:val="auto"/>
                <w:shd w:val="clear" w:color="auto" w:fill="FFFFFF"/>
              </w:rPr>
              <w:t>急性经口</w:t>
            </w:r>
            <w:r>
              <w:rPr>
                <w:rFonts w:ascii="Arial" w:hAnsi="Arial" w:cs="Arial"/>
                <w:color w:val="auto"/>
                <w:shd w:val="clear" w:color="auto" w:fill="FFFFFF"/>
              </w:rPr>
              <w:t>LD50:</w:t>
            </w:r>
            <w:r>
              <w:rPr>
                <w:rFonts w:hint="eastAsia" w:ascii="宋体" w:hAnsi="宋体" w:cs="Arial"/>
                <w:color w:val="auto"/>
                <w:shd w:val="clear" w:color="auto" w:fill="FFFFFF"/>
              </w:rPr>
              <w:t>雄大鼠</w:t>
            </w:r>
            <w:r>
              <w:rPr>
                <w:rFonts w:ascii="Arial" w:hAnsi="Arial" w:cs="Arial"/>
                <w:color w:val="auto"/>
                <w:shd w:val="clear" w:color="auto" w:fill="FFFFFF"/>
              </w:rPr>
              <w:t xml:space="preserve">2125 </w:t>
            </w:r>
            <w:r>
              <w:rPr>
                <w:rFonts w:hint="eastAsia" w:ascii="宋体" w:hAnsi="宋体" w:cs="Arial"/>
                <w:color w:val="auto"/>
                <w:shd w:val="clear" w:color="auto" w:fill="FFFFFF"/>
              </w:rPr>
              <w:t>毫克</w:t>
            </w:r>
            <w:r>
              <w:rPr>
                <w:rFonts w:ascii="Arial" w:hAnsi="Arial" w:cs="Arial"/>
                <w:color w:val="auto"/>
                <w:shd w:val="clear" w:color="auto" w:fill="FFFFFF"/>
              </w:rPr>
              <w:t>/</w:t>
            </w:r>
            <w:r>
              <w:rPr>
                <w:rFonts w:hint="eastAsia" w:ascii="宋体" w:hAnsi="宋体" w:cs="Arial"/>
                <w:color w:val="auto"/>
                <w:shd w:val="clear" w:color="auto" w:fill="FFFFFF"/>
              </w:rPr>
              <w:t>公斤</w:t>
            </w:r>
            <w:r>
              <w:rPr>
                <w:rFonts w:ascii="Arial" w:hAnsi="Arial" w:cs="Arial"/>
                <w:color w:val="auto"/>
                <w:shd w:val="clear" w:color="auto" w:fill="FFFFFF"/>
              </w:rPr>
              <w:t>,</w:t>
            </w:r>
            <w:r>
              <w:rPr>
                <w:rFonts w:hint="eastAsia" w:ascii="宋体" w:hAnsi="宋体" w:cs="Arial"/>
                <w:color w:val="auto"/>
                <w:shd w:val="clear" w:color="auto" w:fill="FFFFFF"/>
              </w:rPr>
              <w:t>雌大鼠</w:t>
            </w:r>
            <w:r>
              <w:rPr>
                <w:rFonts w:ascii="Arial" w:hAnsi="Arial" w:cs="Arial"/>
                <w:color w:val="auto"/>
                <w:shd w:val="clear" w:color="auto" w:fill="FFFFFF"/>
              </w:rPr>
              <w:t>2130</w:t>
            </w:r>
            <w:r>
              <w:rPr>
                <w:rFonts w:hint="eastAsia" w:ascii="宋体" w:hAnsi="宋体" w:cs="Arial"/>
                <w:color w:val="auto"/>
                <w:shd w:val="clear" w:color="auto" w:fill="FFFFFF"/>
              </w:rPr>
              <w:t>毫克</w:t>
            </w:r>
            <w:r>
              <w:rPr>
                <w:rFonts w:ascii="Arial" w:hAnsi="Arial" w:cs="Arial"/>
                <w:color w:val="auto"/>
                <w:shd w:val="clear" w:color="auto" w:fill="FFFFFF"/>
              </w:rPr>
              <w:t>/</w:t>
            </w:r>
            <w:r>
              <w:rPr>
                <w:rFonts w:hint="eastAsia" w:ascii="宋体" w:hAnsi="宋体" w:cs="Arial"/>
                <w:color w:val="auto"/>
                <w:shd w:val="clear" w:color="auto" w:fill="FFFFFF"/>
              </w:rPr>
              <w:t>公斤</w:t>
            </w:r>
            <w:r>
              <w:rPr>
                <w:rFonts w:hint="eastAsia" w:cs="Arial"/>
                <w:color w:val="auto"/>
                <w:shd w:val="clear" w:color="auto" w:fill="FFFFFF"/>
              </w:rPr>
              <w:t>;</w:t>
            </w:r>
            <w:r>
              <w:rPr>
                <w:color w:val="auto"/>
              </w:rPr>
              <w:fldChar w:fldCharType="begin"/>
            </w:r>
            <w:r>
              <w:rPr>
                <w:color w:val="auto"/>
              </w:rPr>
              <w:instrText xml:space="preserve"> HYPERLINK "https://baike.so.com/doc/6190634-6403886.html" </w:instrText>
            </w:r>
            <w:r>
              <w:rPr>
                <w:color w:val="auto"/>
              </w:rPr>
              <w:fldChar w:fldCharType="separate"/>
            </w:r>
            <w:r>
              <w:rPr>
                <w:rStyle w:val="36"/>
                <w:rFonts w:hint="eastAsia" w:ascii="宋体" w:hAnsi="宋体" w:cs="Arial"/>
                <w:color w:val="auto"/>
                <w:shd w:val="clear" w:color="auto" w:fill="FFFFFF"/>
              </w:rPr>
              <w:t>小鼠</w:t>
            </w:r>
            <w:r>
              <w:rPr>
                <w:rStyle w:val="36"/>
                <w:rFonts w:hint="eastAsia" w:ascii="宋体" w:hAnsi="宋体" w:cs="Arial"/>
                <w:color w:val="auto"/>
                <w:shd w:val="clear" w:color="auto" w:fill="FFFFFF"/>
              </w:rPr>
              <w:fldChar w:fldCharType="end"/>
            </w:r>
            <w:r>
              <w:rPr>
                <w:rFonts w:ascii="Arial" w:hAnsi="Arial" w:cs="Arial"/>
                <w:color w:val="auto"/>
                <w:shd w:val="clear" w:color="auto" w:fill="FFFFFF"/>
              </w:rPr>
              <w:t>(</w:t>
            </w:r>
            <w:r>
              <w:rPr>
                <w:rFonts w:hint="eastAsia" w:ascii="宋体" w:hAnsi="宋体" w:cs="Arial"/>
                <w:color w:val="auto"/>
                <w:shd w:val="clear" w:color="auto" w:fill="FFFFFF"/>
              </w:rPr>
              <w:t>雌</w:t>
            </w:r>
            <w:r>
              <w:rPr>
                <w:rFonts w:ascii="Arial" w:hAnsi="Arial" w:cs="Arial"/>
                <w:color w:val="auto"/>
                <w:shd w:val="clear" w:color="auto" w:fill="FFFFFF"/>
              </w:rPr>
              <w:t>,</w:t>
            </w:r>
            <w:r>
              <w:rPr>
                <w:rFonts w:hint="eastAsia" w:ascii="宋体" w:hAnsi="宋体" w:cs="Arial"/>
                <w:color w:val="auto"/>
                <w:shd w:val="clear" w:color="auto" w:fill="FFFFFF"/>
              </w:rPr>
              <w:t>雄</w:t>
            </w:r>
            <w:r>
              <w:rPr>
                <w:rFonts w:ascii="Arial" w:hAnsi="Arial" w:cs="Arial"/>
                <w:color w:val="auto"/>
                <w:shd w:val="clear" w:color="auto" w:fill="FFFFFF"/>
              </w:rPr>
              <w:t>)1300</w:t>
            </w:r>
            <w:r>
              <w:rPr>
                <w:rFonts w:hint="eastAsia" w:ascii="宋体" w:hAnsi="宋体" w:cs="Arial"/>
                <w:color w:val="auto"/>
                <w:shd w:val="clear" w:color="auto" w:fill="FFFFFF"/>
              </w:rPr>
              <w:t>毫克</w:t>
            </w:r>
            <w:r>
              <w:rPr>
                <w:rFonts w:ascii="Arial" w:hAnsi="Arial" w:cs="Arial"/>
                <w:color w:val="auto"/>
                <w:shd w:val="clear" w:color="auto" w:fill="FFFFFF"/>
              </w:rPr>
              <w:t>/</w:t>
            </w:r>
            <w:r>
              <w:rPr>
                <w:rFonts w:hint="eastAsia" w:ascii="宋体" w:hAnsi="宋体" w:cs="Arial"/>
                <w:color w:val="auto"/>
                <w:shd w:val="clear" w:color="auto" w:fill="FFFFFF"/>
              </w:rPr>
              <w:t>公斤</w:t>
            </w:r>
            <w:r>
              <w:rPr>
                <w:rFonts w:ascii="Arial" w:hAnsi="Arial" w:cs="Arial"/>
                <w:color w:val="auto"/>
                <w:shd w:val="clear" w:color="auto" w:fill="FFFFFF"/>
              </w:rPr>
              <w:t>;</w:t>
            </w:r>
            <w:r>
              <w:rPr>
                <w:rFonts w:hint="eastAsia" w:ascii="宋体" w:hAnsi="宋体" w:cs="Arial"/>
                <w:color w:val="auto"/>
                <w:shd w:val="clear" w:color="auto" w:fill="FFFFFF"/>
              </w:rPr>
              <w:t>小鼠</w:t>
            </w:r>
            <w:r>
              <w:rPr>
                <w:rFonts w:ascii="Arial" w:hAnsi="Arial" w:cs="Arial"/>
                <w:color w:val="auto"/>
                <w:shd w:val="clear" w:color="auto" w:fill="FFFFFF"/>
              </w:rPr>
              <w:t>(</w:t>
            </w:r>
            <w:r>
              <w:rPr>
                <w:rFonts w:hint="eastAsia" w:ascii="宋体" w:hAnsi="宋体" w:cs="Arial"/>
                <w:color w:val="auto"/>
                <w:shd w:val="clear" w:color="auto" w:fill="FFFFFF"/>
              </w:rPr>
              <w:t>雄</w:t>
            </w:r>
            <w:r>
              <w:rPr>
                <w:rFonts w:ascii="Arial" w:hAnsi="Arial" w:cs="Arial"/>
                <w:color w:val="auto"/>
                <w:shd w:val="clear" w:color="auto" w:fill="FFFFFF"/>
              </w:rPr>
              <w:t>,</w:t>
            </w:r>
            <w:r>
              <w:rPr>
                <w:rFonts w:hint="eastAsia" w:ascii="宋体" w:hAnsi="宋体" w:cs="Arial"/>
                <w:color w:val="auto"/>
                <w:shd w:val="clear" w:color="auto" w:fill="FFFFFF"/>
              </w:rPr>
              <w:t>雌</w:t>
            </w:r>
            <w:r>
              <w:rPr>
                <w:rFonts w:ascii="Arial" w:hAnsi="Arial" w:cs="Arial"/>
                <w:color w:val="auto"/>
                <w:shd w:val="clear" w:color="auto" w:fill="FFFFFF"/>
              </w:rPr>
              <w:t>)</w:t>
            </w:r>
            <w:r>
              <w:rPr>
                <w:rFonts w:hint="eastAsia" w:ascii="宋体" w:hAnsi="宋体" w:cs="Arial"/>
                <w:color w:val="auto"/>
                <w:shd w:val="clear" w:color="auto" w:fill="FFFFFF"/>
              </w:rPr>
              <w:t>急性经皮</w:t>
            </w:r>
            <w:r>
              <w:rPr>
                <w:rFonts w:ascii="Arial" w:hAnsi="Arial" w:cs="Arial"/>
                <w:color w:val="auto"/>
                <w:shd w:val="clear" w:color="auto" w:fill="FFFFFF"/>
              </w:rPr>
              <w:t>LD50&gt;5000</w:t>
            </w:r>
            <w:r>
              <w:rPr>
                <w:rFonts w:hint="eastAsia" w:ascii="宋体" w:hAnsi="宋体" w:cs="Arial"/>
                <w:color w:val="auto"/>
                <w:shd w:val="clear" w:color="auto" w:fill="FFFFFF"/>
              </w:rPr>
              <w:t>毫克</w:t>
            </w:r>
            <w:r>
              <w:rPr>
                <w:rFonts w:ascii="Arial" w:hAnsi="Arial" w:cs="Arial"/>
                <w:color w:val="auto"/>
                <w:shd w:val="clear" w:color="auto" w:fill="FFFFFF"/>
              </w:rPr>
              <w:t>/</w:t>
            </w:r>
            <w:r>
              <w:rPr>
                <w:rFonts w:hint="eastAsia" w:ascii="宋体" w:hAnsi="宋体" w:cs="Arial"/>
                <w:color w:val="auto"/>
                <w:shd w:val="clear" w:color="auto" w:fill="FFFFFF"/>
              </w:rPr>
              <w:t>公斤</w:t>
            </w:r>
            <w:r>
              <w:rPr>
                <w:rFonts w:ascii="Arial" w:hAnsi="Arial" w:cs="Arial"/>
                <w:color w:val="auto"/>
                <w:shd w:val="clear" w:color="auto" w:fill="FFFFFF"/>
              </w:rPr>
              <w:t>.</w:t>
            </w:r>
            <w:r>
              <w:rPr>
                <w:rFonts w:hint="eastAsia" w:ascii="宋体" w:hAnsi="宋体" w:cs="Arial"/>
                <w:color w:val="auto"/>
                <w:shd w:val="clear" w:color="auto" w:fill="FFFFFF"/>
              </w:rPr>
              <w:t>会伤害和刺激眼睛</w:t>
            </w:r>
            <w:r>
              <w:rPr>
                <w:rFonts w:ascii="Arial" w:hAnsi="Arial" w:cs="Arial"/>
                <w:color w:val="auto"/>
                <w:shd w:val="clear" w:color="auto" w:fill="FFFFFF"/>
              </w:rPr>
              <w:t>;</w:t>
            </w:r>
            <w:r>
              <w:rPr>
                <w:rFonts w:hint="eastAsia" w:ascii="宋体" w:hAnsi="宋体" w:cs="Arial"/>
                <w:color w:val="auto"/>
                <w:shd w:val="clear" w:color="auto" w:fill="FFFFFF"/>
              </w:rPr>
              <w:t>鲤鱼</w:t>
            </w:r>
            <w:r>
              <w:rPr>
                <w:rFonts w:ascii="Arial" w:hAnsi="Arial" w:cs="Arial"/>
                <w:color w:val="auto"/>
                <w:shd w:val="clear" w:color="auto" w:fill="FFFFFF"/>
              </w:rPr>
              <w:t>TLm(48</w:t>
            </w:r>
            <w:r>
              <w:rPr>
                <w:rFonts w:hint="eastAsia" w:ascii="宋体" w:hAnsi="宋体" w:cs="Arial"/>
                <w:color w:val="auto"/>
                <w:shd w:val="clear" w:color="auto" w:fill="FFFFFF"/>
              </w:rPr>
              <w:t>小时</w:t>
            </w:r>
            <w:r>
              <w:rPr>
                <w:rFonts w:ascii="Arial" w:hAnsi="Arial" w:cs="Arial"/>
                <w:color w:val="auto"/>
                <w:shd w:val="clear" w:color="auto" w:fill="FFFFFF"/>
              </w:rPr>
              <w:t>)400ppm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LC50</w:t>
            </w:r>
            <w:r>
              <w:rPr>
                <w:rFonts w:hint="eastAsia" w:ascii="宋体" w:hAnsi="宋体"/>
                <w:color w:val="auto"/>
              </w:rPr>
              <w:t>：</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亚急性和慢性毒性：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刺激性：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致敏性：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致突变性：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致畸性：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致癌性：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生态毒理毒性：</w:t>
            </w:r>
            <w:r>
              <w:rPr>
                <w:rFonts w:ascii="Helvetica" w:hAnsi="Helvetica"/>
                <w:color w:val="auto"/>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等线" w:hAnsi="等线"/>
                <w:color w:val="auto"/>
              </w:rPr>
            </w:pPr>
            <w:r>
              <w:rPr>
                <w:rFonts w:hint="eastAsia" w:ascii="宋体" w:hAnsi="宋体"/>
                <w:color w:val="auto"/>
              </w:rPr>
              <w:t>生物降解性：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非生物降解性：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生物富集或生物积累性：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其它有害作用：</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废弃物性质：</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废弃处置方法：</w:t>
            </w:r>
            <w:r>
              <w:rPr>
                <w:rFonts w:ascii="宋体" w:hAnsi="宋体"/>
                <w:color w:val="auto"/>
                <w:shd w:val="clear" w:color="auto" w:fill="FFFFFF"/>
              </w:rPr>
              <w:t>将剩余的和不可回收的溶液交给有许可证的公司处理。</w:t>
            </w:r>
          </w:p>
          <w:p>
            <w:pPr>
              <w:rPr>
                <w:rFonts w:ascii="Helvetica" w:hAnsi="Helvetica"/>
                <w:color w:val="auto"/>
                <w:shd w:val="clear" w:color="auto" w:fill="FFFFFF"/>
              </w:rPr>
            </w:pPr>
            <w:r>
              <w:rPr>
                <w:rFonts w:ascii="宋体" w:hAnsi="宋体"/>
                <w:color w:val="auto"/>
                <w:shd w:val="clear" w:color="auto" w:fill="FFFFFF"/>
              </w:rPr>
              <w:t>联系专业的拥有废弃物处理执照的机构来处理此物质。</w:t>
            </w:r>
          </w:p>
          <w:p>
            <w:pPr>
              <w:rPr>
                <w:rFonts w:ascii="Helvetica" w:hAnsi="Helvetica"/>
                <w:color w:val="auto"/>
                <w:shd w:val="clear" w:color="auto" w:fill="FFFFFF"/>
              </w:rPr>
            </w:pPr>
            <w:r>
              <w:rPr>
                <w:rFonts w:ascii="宋体" w:hAnsi="宋体"/>
                <w:color w:val="auto"/>
                <w:shd w:val="clear" w:color="auto" w:fill="FFFFFF"/>
              </w:rPr>
              <w:t>与易燃溶剂相溶或者相混合，在备有燃烧后处理和洗刷作用的化学焚化炉中燃烧</w:t>
            </w:r>
          </w:p>
          <w:p>
            <w:pPr>
              <w:rPr>
                <w:rFonts w:ascii="Helvetica" w:hAnsi="Helvetica"/>
                <w:color w:val="auto"/>
                <w:shd w:val="clear" w:color="auto" w:fill="FFFFFF"/>
              </w:rPr>
            </w:pPr>
            <w:r>
              <w:rPr>
                <w:rFonts w:ascii="宋体" w:hAnsi="宋体"/>
                <w:color w:val="auto"/>
                <w:shd w:val="clear" w:color="auto" w:fill="FFFFFF"/>
              </w:rPr>
              <w:t>受污染的容器和包装</w:t>
            </w:r>
          </w:p>
          <w:p>
            <w:pPr>
              <w:rPr>
                <w:rFonts w:ascii="等线" w:hAnsi="等线"/>
                <w:color w:val="auto"/>
              </w:rPr>
            </w:pPr>
            <w:r>
              <w:rPr>
                <w:rFonts w:ascii="宋体" w:hAnsi="宋体"/>
                <w:color w:val="auto"/>
                <w:shd w:val="clear" w:color="auto" w:fill="FFFFFF"/>
              </w:rPr>
              <w:t>按未用产品处置。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废弃注意事项：</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危险货物编号：</w:t>
            </w:r>
            <w:r>
              <w:rPr>
                <w:rFonts w:ascii="宋体" w:hAnsi="宋体"/>
                <w:color w:val="auto"/>
                <w:shd w:val="clear" w:color="auto" w:fill="FFFFFF"/>
              </w:rPr>
              <w:t>欧洲陆运危规</w:t>
            </w:r>
            <w:r>
              <w:rPr>
                <w:rFonts w:ascii="Helvetica" w:hAnsi="Helvetica"/>
                <w:color w:val="auto"/>
                <w:shd w:val="clear" w:color="auto" w:fill="FFFFFF"/>
              </w:rPr>
              <w:t>: -</w:t>
            </w:r>
            <w:r>
              <w:rPr>
                <w:rFonts w:ascii="宋体" w:hAnsi="宋体"/>
                <w:color w:val="auto"/>
                <w:shd w:val="clear" w:color="auto" w:fill="FFFFFF"/>
              </w:rPr>
              <w:t>国际海运危规</w:t>
            </w:r>
            <w:r>
              <w:rPr>
                <w:rFonts w:ascii="Helvetica" w:hAnsi="Helvetica"/>
                <w:color w:val="auto"/>
                <w:shd w:val="clear" w:color="auto" w:fill="FFFFFF"/>
              </w:rPr>
              <w:t>: -</w:t>
            </w:r>
            <w:r>
              <w:rPr>
                <w:rFonts w:ascii="宋体" w:hAnsi="宋体"/>
                <w:color w:val="auto"/>
                <w:shd w:val="clear" w:color="auto" w:fill="FFFFFF"/>
              </w:rPr>
              <w:t>国际空运危规</w:t>
            </w:r>
            <w:r>
              <w:rPr>
                <w:rFonts w:ascii="Helvetica" w:hAnsi="Helvetica"/>
                <w:color w:val="auto"/>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color w:val="auto"/>
              </w:rPr>
              <w:t>UN</w:t>
            </w:r>
            <w:r>
              <w:rPr>
                <w:rFonts w:hint="eastAsia" w:ascii="宋体" w:hAnsi="宋体"/>
                <w:color w:val="auto"/>
              </w:rPr>
              <w:t>编号：</w:t>
            </w:r>
            <w:r>
              <w:rPr>
                <w:rFonts w:ascii="宋体" w:hAnsi="宋体"/>
                <w:color w:val="auto"/>
                <w:shd w:val="clear" w:color="auto" w:fill="FFFFFF"/>
              </w:rPr>
              <w:t>欧洲陆运危规</w:t>
            </w:r>
            <w:r>
              <w:rPr>
                <w:rFonts w:ascii="Helvetica" w:hAnsi="Helvetica"/>
                <w:color w:val="auto"/>
                <w:shd w:val="clear" w:color="auto" w:fill="FFFFFF"/>
              </w:rPr>
              <w:t xml:space="preserve">: </w:t>
            </w:r>
            <w:r>
              <w:rPr>
                <w:rFonts w:ascii="宋体" w:hAnsi="宋体"/>
                <w:color w:val="auto"/>
                <w:shd w:val="clear" w:color="auto" w:fill="FFFFFF"/>
              </w:rPr>
              <w:t>非危险货物</w:t>
            </w:r>
          </w:p>
          <w:p>
            <w:pPr>
              <w:rPr>
                <w:rFonts w:ascii="Helvetica" w:hAnsi="Helvetica"/>
                <w:color w:val="auto"/>
                <w:shd w:val="clear" w:color="auto" w:fill="FFFFFF"/>
              </w:rPr>
            </w:pPr>
            <w:r>
              <w:rPr>
                <w:rFonts w:ascii="宋体" w:hAnsi="宋体"/>
                <w:color w:val="auto"/>
                <w:shd w:val="clear" w:color="auto" w:fill="FFFFFF"/>
              </w:rPr>
              <w:t>国际海运危规</w:t>
            </w:r>
            <w:r>
              <w:rPr>
                <w:rFonts w:ascii="Helvetica" w:hAnsi="Helvetica"/>
                <w:color w:val="auto"/>
                <w:shd w:val="clear" w:color="auto" w:fill="FFFFFF"/>
              </w:rPr>
              <w:t xml:space="preserve">: </w:t>
            </w:r>
            <w:r>
              <w:rPr>
                <w:rFonts w:ascii="宋体" w:hAnsi="宋体"/>
                <w:color w:val="auto"/>
                <w:shd w:val="clear" w:color="auto" w:fill="FFFFFF"/>
              </w:rPr>
              <w:t>非危险货物</w:t>
            </w:r>
          </w:p>
          <w:p>
            <w:pPr>
              <w:rPr>
                <w:rFonts w:ascii="等线" w:hAnsi="等线"/>
                <w:color w:val="auto"/>
              </w:rPr>
            </w:pPr>
            <w:r>
              <w:rPr>
                <w:rFonts w:ascii="宋体" w:hAnsi="宋体"/>
                <w:color w:val="auto"/>
                <w:shd w:val="clear" w:color="auto" w:fill="FFFFFF"/>
              </w:rPr>
              <w:t>国际空运危规</w:t>
            </w:r>
            <w:r>
              <w:rPr>
                <w:rFonts w:ascii="Helvetica" w:hAnsi="Helvetica"/>
                <w:color w:val="auto"/>
                <w:shd w:val="clear" w:color="auto" w:fill="FFFFFF"/>
              </w:rPr>
              <w:t xml:space="preserve">: </w:t>
            </w:r>
            <w:r>
              <w:rPr>
                <w:rFonts w:ascii="宋体" w:hAnsi="宋体"/>
                <w:color w:val="auto"/>
                <w:shd w:val="clear" w:color="auto" w:fill="FFFFFF"/>
              </w:rPr>
              <w:t>非危险货物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包装标志：</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包装类别：</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包装方法：</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运输注意事项：</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6" w:hRule="atLeast"/>
        </w:trPr>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法规信息</w:t>
            </w:r>
            <w:r>
              <w:rPr>
                <w:rFonts w:hint="eastAsia"/>
                <w:color w:val="auto"/>
              </w:rPr>
              <w:t>:</w:t>
            </w:r>
            <w:r>
              <w:rPr>
                <w:rFonts w:hint="eastAsia" w:ascii="宋体" w:hAnsi="宋体"/>
                <w:color w:val="auto"/>
              </w:rPr>
              <w:t>下列法律法规和标准，对化学品的安全使用、储存、运输、装卸、分类和标志等方面均作了相应的规定：</w:t>
            </w:r>
          </w:p>
          <w:p>
            <w:pPr>
              <w:rPr>
                <w:color w:val="auto"/>
              </w:rPr>
            </w:pPr>
            <w:r>
              <w:rPr>
                <w:rFonts w:hint="eastAsia" w:ascii="宋体" w:hAnsi="宋体"/>
                <w:color w:val="auto"/>
              </w:rPr>
              <w:t>中华人民共和国安全生产法；</w:t>
            </w:r>
          </w:p>
          <w:p>
            <w:pPr>
              <w:rPr>
                <w:color w:val="auto"/>
              </w:rPr>
            </w:pPr>
            <w:r>
              <w:rPr>
                <w:rFonts w:hint="eastAsia" w:ascii="宋体" w:hAnsi="宋体"/>
                <w:color w:val="auto"/>
              </w:rPr>
              <w:t>中华人民共和国职业病防治法；</w:t>
            </w:r>
          </w:p>
          <w:p>
            <w:pPr>
              <w:rPr>
                <w:color w:val="auto"/>
              </w:rPr>
            </w:pPr>
            <w:r>
              <w:rPr>
                <w:rFonts w:hint="eastAsia" w:ascii="宋体" w:hAnsi="宋体"/>
                <w:color w:val="auto"/>
              </w:rPr>
              <w:t>中华人民共和国环境保护法；</w:t>
            </w:r>
          </w:p>
          <w:p>
            <w:pPr>
              <w:rPr>
                <w:color w:val="auto"/>
              </w:rPr>
            </w:pPr>
            <w:r>
              <w:rPr>
                <w:rFonts w:hint="eastAsia" w:ascii="宋体" w:hAnsi="宋体"/>
                <w:color w:val="auto"/>
              </w:rPr>
              <w:t>危险化学品安全管理条例；</w:t>
            </w:r>
          </w:p>
          <w:p>
            <w:pPr>
              <w:rPr>
                <w:color w:val="auto"/>
              </w:rPr>
            </w:pPr>
            <w:r>
              <w:rPr>
                <w:rFonts w:hint="eastAsia" w:ascii="宋体" w:hAnsi="宋体"/>
                <w:color w:val="auto"/>
              </w:rPr>
              <w:t>安全生产许可证条例；</w:t>
            </w:r>
          </w:p>
          <w:p>
            <w:pPr>
              <w:rPr>
                <w:color w:val="auto"/>
              </w:rPr>
            </w:pPr>
            <w:r>
              <w:rPr>
                <w:rFonts w:hint="eastAsia" w:ascii="宋体" w:hAnsi="宋体"/>
                <w:color w:val="auto"/>
              </w:rPr>
              <w:t>化学品分类和危险性公示通则</w:t>
            </w:r>
            <w:r>
              <w:rPr>
                <w:rFonts w:hint="eastAsia"/>
                <w:color w:val="auto"/>
              </w:rPr>
              <w:t>(GB13690-2009)</w:t>
            </w:r>
            <w:r>
              <w:rPr>
                <w:rFonts w:hint="eastAsia" w:ascii="宋体" w:hAnsi="宋体"/>
                <w:color w:val="auto"/>
              </w:rPr>
              <w:t>；</w:t>
            </w:r>
          </w:p>
          <w:p>
            <w:pPr>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参考文献：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填表部门：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数据审核单位：</w:t>
            </w:r>
            <w:r>
              <w:rPr>
                <w:rFonts w:hint="eastAsia"/>
                <w:color w:val="auto"/>
              </w:rPr>
              <w:t>msds</w:t>
            </w:r>
            <w:r>
              <w:rPr>
                <w:rFonts w:hint="eastAsia" w:ascii="宋体" w:hAnsi="宋体"/>
                <w:color w:val="auto"/>
              </w:rPr>
              <w:t>查询网整理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其他信息：</w:t>
            </w:r>
            <w:r>
              <w:rPr>
                <w:rFonts w:hint="eastAsia"/>
                <w:color w:val="auto"/>
              </w:rPr>
              <w:t>/</w:t>
            </w:r>
          </w:p>
        </w:tc>
      </w:tr>
    </w:tbl>
    <w:p>
      <w:pPr>
        <w:pStyle w:val="49"/>
        <w:ind w:firstLine="560" w:firstLineChars="200"/>
        <w:rPr>
          <w:color w:val="auto"/>
          <w:sz w:val="28"/>
          <w:szCs w:val="28"/>
        </w:rPr>
      </w:pPr>
      <w:r>
        <w:rPr>
          <w:rFonts w:hint="eastAsia"/>
          <w:color w:val="auto"/>
          <w:sz w:val="28"/>
          <w:szCs w:val="28"/>
        </w:rPr>
        <w:t>2</w:t>
      </w:r>
      <w:r>
        <w:rPr>
          <w:color w:val="auto"/>
          <w:sz w:val="28"/>
          <w:szCs w:val="28"/>
        </w:rPr>
        <w:t>9</w:t>
      </w:r>
      <w:r>
        <w:rPr>
          <w:rFonts w:hint="eastAsia"/>
          <w:color w:val="auto"/>
          <w:sz w:val="28"/>
          <w:szCs w:val="28"/>
        </w:rPr>
        <w:t>）三十烷醇</w:t>
      </w:r>
    </w:p>
    <w:tbl>
      <w:tblPr>
        <w:tblStyle w:val="31"/>
        <w:tblW w:w="487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5"/>
        <w:gridCol w:w="1718"/>
        <w:gridCol w:w="799"/>
        <w:gridCol w:w="576"/>
        <w:gridCol w:w="1285"/>
        <w:gridCol w:w="784"/>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398" w:type="dxa"/>
            <w:tcBorders>
              <w:top w:val="single" w:color="auto" w:sz="4" w:space="0"/>
              <w:left w:val="single" w:color="auto" w:sz="4" w:space="0"/>
              <w:bottom w:val="single" w:color="auto" w:sz="4" w:space="0"/>
              <w:right w:val="single" w:color="auto" w:sz="4" w:space="0"/>
            </w:tcBorders>
          </w:tcPr>
          <w:p>
            <w:pPr>
              <w:ind w:right="58"/>
              <w:rPr>
                <w:color w:val="auto"/>
              </w:rPr>
            </w:pPr>
            <w:r>
              <w:rPr>
                <w:rFonts w:hint="eastAsia" w:ascii="宋体" w:hAnsi="宋体"/>
                <w:color w:val="auto"/>
              </w:rPr>
              <w:t>化学品中文名称：</w:t>
            </w:r>
          </w:p>
        </w:tc>
        <w:tc>
          <w:tcPr>
            <w:tcW w:w="1717"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三十烷醇</w:t>
            </w:r>
          </w:p>
        </w:tc>
        <w:tc>
          <w:tcPr>
            <w:tcW w:w="1373" w:type="dxa"/>
            <w:gridSpan w:val="2"/>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化学品俗名：</w:t>
            </w:r>
          </w:p>
        </w:tc>
        <w:tc>
          <w:tcPr>
            <w:tcW w:w="2070"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蜂花醇、蜂花烷醇</w:t>
            </w: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化学品英文名称：</w:t>
            </w:r>
          </w:p>
        </w:tc>
        <w:tc>
          <w:tcPr>
            <w:tcW w:w="1717" w:type="dxa"/>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triacontanol</w:t>
            </w:r>
          </w:p>
        </w:tc>
        <w:tc>
          <w:tcPr>
            <w:tcW w:w="1373" w:type="dxa"/>
            <w:gridSpan w:val="2"/>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英文名称：</w:t>
            </w:r>
          </w:p>
        </w:tc>
        <w:tc>
          <w:tcPr>
            <w:tcW w:w="2070" w:type="dxa"/>
            <w:gridSpan w:val="2"/>
            <w:tcBorders>
              <w:top w:val="single" w:color="auto" w:sz="4" w:space="0"/>
              <w:left w:val="single" w:color="auto" w:sz="4" w:space="0"/>
              <w:bottom w:val="single" w:color="auto" w:sz="4" w:space="0"/>
              <w:right w:val="single" w:color="auto" w:sz="4" w:space="0"/>
            </w:tcBorders>
          </w:tcPr>
          <w:p>
            <w:pPr>
              <w:rPr>
                <w:color w:val="auto"/>
              </w:rPr>
            </w:pP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技术说明书编码：</w:t>
            </w:r>
          </w:p>
        </w:tc>
        <w:tc>
          <w:tcPr>
            <w:tcW w:w="1717" w:type="dxa"/>
            <w:tcBorders>
              <w:top w:val="single" w:color="auto" w:sz="4" w:space="0"/>
              <w:left w:val="single" w:color="auto" w:sz="4" w:space="0"/>
              <w:bottom w:val="single" w:color="auto" w:sz="4" w:space="0"/>
              <w:right w:val="single" w:color="auto" w:sz="4" w:space="0"/>
            </w:tcBorders>
          </w:tcPr>
          <w:p>
            <w:pPr>
              <w:rPr>
                <w:color w:val="auto"/>
              </w:rPr>
            </w:pPr>
          </w:p>
        </w:tc>
        <w:tc>
          <w:tcPr>
            <w:tcW w:w="1373"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color w:val="auto"/>
              </w:rPr>
              <w:t>CAS No.</w:t>
            </w:r>
            <w:r>
              <w:rPr>
                <w:rFonts w:hint="eastAsia" w:ascii="宋体" w:hAnsi="宋体"/>
                <w:color w:val="auto"/>
              </w:rPr>
              <w:t>：</w:t>
            </w:r>
          </w:p>
        </w:tc>
        <w:tc>
          <w:tcPr>
            <w:tcW w:w="2070"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593-50-0</w:t>
            </w: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生产企业名称：</w:t>
            </w:r>
          </w:p>
        </w:tc>
        <w:tc>
          <w:tcPr>
            <w:tcW w:w="5160"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地址：</w:t>
            </w:r>
          </w:p>
        </w:tc>
        <w:tc>
          <w:tcPr>
            <w:tcW w:w="5160"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生效日期：</w:t>
            </w:r>
          </w:p>
        </w:tc>
        <w:tc>
          <w:tcPr>
            <w:tcW w:w="5160" w:type="dxa"/>
            <w:gridSpan w:val="5"/>
            <w:tcBorders>
              <w:top w:val="single" w:color="auto" w:sz="4" w:space="0"/>
              <w:left w:val="single" w:color="auto" w:sz="4" w:space="0"/>
              <w:bottom w:val="single" w:color="auto" w:sz="4" w:space="0"/>
              <w:right w:val="single" w:color="auto" w:sz="4" w:space="0"/>
            </w:tcBorders>
          </w:tcPr>
          <w:p>
            <w:pPr>
              <w:rPr>
                <w:color w:val="auto"/>
              </w:rPr>
            </w:pPr>
          </w:p>
        </w:tc>
        <w:tc>
          <w:tcPr>
            <w:tcW w:w="1502" w:type="dxa"/>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第二部分：成分</w:t>
            </w:r>
            <w:r>
              <w:rPr>
                <w:rFonts w:hint="eastAsia"/>
                <w:color w:val="auto"/>
              </w:rPr>
              <w:t>/</w:t>
            </w:r>
            <w:r>
              <w:rPr>
                <w:rFonts w:hint="eastAsia" w:ascii="宋体" w:hAnsi="宋体"/>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9060" w:type="dxa"/>
            <w:gridSpan w:val="7"/>
            <w:tcBorders>
              <w:top w:val="single" w:color="auto" w:sz="4" w:space="0"/>
              <w:left w:val="single" w:color="auto" w:sz="4" w:space="0"/>
              <w:bottom w:val="single" w:color="auto" w:sz="4" w:space="0"/>
              <w:right w:val="single" w:color="auto" w:sz="4" w:space="0"/>
            </w:tcBorders>
          </w:tcPr>
          <w:tbl>
            <w:tblPr>
              <w:tblStyle w:val="31"/>
              <w:tblW w:w="7520" w:type="dxa"/>
              <w:jc w:val="center"/>
              <w:tblLayout w:type="fixed"/>
              <w:tblCellMar>
                <w:top w:w="0" w:type="dxa"/>
                <w:left w:w="0" w:type="dxa"/>
                <w:bottom w:w="0" w:type="dxa"/>
                <w:right w:w="0" w:type="dxa"/>
              </w:tblCellMar>
            </w:tblPr>
            <w:tblGrid>
              <w:gridCol w:w="2794"/>
              <w:gridCol w:w="2096"/>
              <w:gridCol w:w="2217"/>
              <w:gridCol w:w="413"/>
            </w:tblGrid>
            <w:tr>
              <w:tblPrEx>
                <w:tblCellMar>
                  <w:top w:w="0" w:type="dxa"/>
                  <w:left w:w="0" w:type="dxa"/>
                  <w:bottom w:w="0" w:type="dxa"/>
                  <w:right w:w="0" w:type="dxa"/>
                </w:tblCellMar>
              </w:tblPrEx>
              <w:trPr>
                <w:trHeight w:val="217" w:hRule="atLeast"/>
                <w:jc w:val="center"/>
              </w:trPr>
              <w:tc>
                <w:tcPr>
                  <w:tcW w:w="2794" w:type="dxa"/>
                  <w:tcBorders>
                    <w:top w:val="nil"/>
                    <w:left w:val="nil"/>
                    <w:bottom w:val="nil"/>
                    <w:right w:val="nil"/>
                  </w:tcBorders>
                  <w:vAlign w:val="center"/>
                </w:tcPr>
                <w:p>
                  <w:pPr>
                    <w:jc w:val="center"/>
                    <w:rPr>
                      <w:color w:val="auto"/>
                    </w:rPr>
                  </w:pPr>
                  <w:r>
                    <w:rPr>
                      <w:rFonts w:hint="eastAsia" w:ascii="宋体" w:hAnsi="宋体"/>
                      <w:color w:val="auto"/>
                    </w:rPr>
                    <w:t>有害物成分</w:t>
                  </w:r>
                </w:p>
              </w:tc>
              <w:tc>
                <w:tcPr>
                  <w:tcW w:w="2096" w:type="dxa"/>
                  <w:tcBorders>
                    <w:top w:val="nil"/>
                    <w:left w:val="nil"/>
                    <w:bottom w:val="nil"/>
                    <w:right w:val="nil"/>
                  </w:tcBorders>
                  <w:vAlign w:val="center"/>
                </w:tcPr>
                <w:p>
                  <w:pPr>
                    <w:jc w:val="center"/>
                    <w:rPr>
                      <w:color w:val="auto"/>
                    </w:rPr>
                  </w:pPr>
                  <w:r>
                    <w:rPr>
                      <w:rFonts w:hint="eastAsia" w:ascii="宋体" w:hAnsi="宋体"/>
                      <w:color w:val="auto"/>
                    </w:rPr>
                    <w:t>含量</w:t>
                  </w:r>
                </w:p>
              </w:tc>
              <w:tc>
                <w:tcPr>
                  <w:tcW w:w="2630" w:type="dxa"/>
                  <w:gridSpan w:val="2"/>
                  <w:tcBorders>
                    <w:top w:val="nil"/>
                    <w:left w:val="nil"/>
                    <w:bottom w:val="nil"/>
                    <w:right w:val="nil"/>
                  </w:tcBorders>
                  <w:vAlign w:val="center"/>
                </w:tcPr>
                <w:p>
                  <w:pPr>
                    <w:jc w:val="center"/>
                    <w:rPr>
                      <w:color w:val="auto"/>
                    </w:rPr>
                  </w:pPr>
                  <w:r>
                    <w:rPr>
                      <w:rFonts w:hint="eastAsia"/>
                      <w:color w:val="auto"/>
                    </w:rPr>
                    <w:t>CAS No.</w:t>
                  </w:r>
                </w:p>
              </w:tc>
            </w:tr>
            <w:tr>
              <w:tblPrEx>
                <w:tblCellMar>
                  <w:top w:w="0" w:type="dxa"/>
                  <w:left w:w="0" w:type="dxa"/>
                  <w:bottom w:w="0" w:type="dxa"/>
                  <w:right w:w="0" w:type="dxa"/>
                </w:tblCellMar>
              </w:tblPrEx>
              <w:trPr>
                <w:trHeight w:val="217" w:hRule="atLeast"/>
                <w:jc w:val="center"/>
              </w:trPr>
              <w:tc>
                <w:tcPr>
                  <w:tcW w:w="2794" w:type="dxa"/>
                  <w:tcBorders>
                    <w:top w:val="nil"/>
                    <w:left w:val="nil"/>
                    <w:bottom w:val="nil"/>
                    <w:right w:val="nil"/>
                  </w:tcBorders>
                  <w:vAlign w:val="center"/>
                </w:tcPr>
                <w:p>
                  <w:pPr>
                    <w:jc w:val="center"/>
                    <w:rPr>
                      <w:color w:val="auto"/>
                    </w:rPr>
                  </w:pPr>
                  <w:r>
                    <w:rPr>
                      <w:rFonts w:hint="eastAsia" w:ascii="宋体" w:hAnsi="宋体"/>
                      <w:color w:val="auto"/>
                    </w:rPr>
                    <w:t>三十烷醇</w:t>
                  </w:r>
                </w:p>
              </w:tc>
              <w:tc>
                <w:tcPr>
                  <w:tcW w:w="2096" w:type="dxa"/>
                  <w:tcBorders>
                    <w:top w:val="nil"/>
                    <w:left w:val="nil"/>
                    <w:bottom w:val="nil"/>
                    <w:right w:val="nil"/>
                  </w:tcBorders>
                  <w:vAlign w:val="center"/>
                </w:tcPr>
                <w:p>
                  <w:pPr>
                    <w:jc w:val="center"/>
                    <w:rPr>
                      <w:color w:val="auto"/>
                    </w:rPr>
                  </w:pPr>
                </w:p>
              </w:tc>
              <w:tc>
                <w:tcPr>
                  <w:tcW w:w="2217" w:type="dxa"/>
                  <w:tcBorders>
                    <w:top w:val="nil"/>
                    <w:left w:val="nil"/>
                    <w:bottom w:val="nil"/>
                    <w:right w:val="nil"/>
                  </w:tcBorders>
                  <w:vAlign w:val="center"/>
                </w:tcPr>
                <w:p>
                  <w:pPr>
                    <w:jc w:val="center"/>
                    <w:rPr>
                      <w:color w:val="auto"/>
                    </w:rPr>
                  </w:pPr>
                  <w:r>
                    <w:rPr>
                      <w:rFonts w:hint="eastAsia"/>
                      <w:color w:val="auto"/>
                    </w:rPr>
                    <w:t>593-50-0</w:t>
                  </w:r>
                </w:p>
              </w:tc>
              <w:tc>
                <w:tcPr>
                  <w:tcW w:w="413" w:type="dxa"/>
                  <w:tcBorders>
                    <w:top w:val="nil"/>
                    <w:left w:val="nil"/>
                    <w:bottom w:val="nil"/>
                    <w:right w:val="nil"/>
                  </w:tcBorders>
                  <w:vAlign w:val="center"/>
                </w:tcPr>
                <w:p>
                  <w:pPr>
                    <w:rPr>
                      <w:rFonts w:eastAsia="Times New Roman"/>
                      <w:color w:val="auto"/>
                    </w:rPr>
                  </w:pPr>
                </w:p>
              </w:tc>
            </w:tr>
          </w:tbl>
          <w:p>
            <w:pPr>
              <w:rPr>
                <w:rFonts w:eastAsia="等线"/>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9060"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危险性类别：</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侵入途径：</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健康危害：</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环境危害：</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燃爆危险：</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9060" w:type="dxa"/>
            <w:gridSpan w:val="7"/>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皮肤接触：</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眼睛接触：</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吸入：</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食入：</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危险特性：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有害燃烧产物：</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灭火方法：</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应急处理：</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操作注意事项：</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储存注意事项：</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第八部分：接触控制</w:t>
            </w:r>
            <w:r>
              <w:rPr>
                <w:rFonts w:hint="eastAsia"/>
                <w:color w:val="auto"/>
              </w:rPr>
              <w:t>/</w:t>
            </w:r>
            <w:r>
              <w:rPr>
                <w:rFonts w:hint="eastAsia" w:ascii="宋体" w:hAnsi="宋体"/>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中国</w:t>
            </w:r>
            <w:r>
              <w:rPr>
                <w:rFonts w:hint="eastAsia"/>
                <w:color w:val="auto"/>
              </w:rPr>
              <w:t>MAC(mg/m3)</w:t>
            </w:r>
            <w:r>
              <w:rPr>
                <w:rFonts w:hint="eastAsia" w:ascii="宋体" w:hAnsi="宋体"/>
                <w:color w:val="auto"/>
              </w:rPr>
              <w:t>：</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前苏联</w:t>
            </w:r>
            <w:r>
              <w:rPr>
                <w:rFonts w:hint="eastAsia"/>
                <w:color w:val="auto"/>
              </w:rPr>
              <w:t>MAC(mg/m3)</w:t>
            </w:r>
            <w:r>
              <w:rPr>
                <w:rFonts w:hint="eastAsia" w:ascii="宋体" w:hAnsi="宋体"/>
                <w:color w:val="auto"/>
              </w:rPr>
              <w:t>：</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TLVTN</w:t>
            </w:r>
            <w:r>
              <w:rPr>
                <w:rFonts w:hint="eastAsia" w:ascii="宋体" w:hAnsi="宋体"/>
                <w:color w:val="auto"/>
              </w:rPr>
              <w:t>：</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TLVWN</w:t>
            </w:r>
            <w:r>
              <w:rPr>
                <w:rFonts w:hint="eastAsia" w:ascii="宋体" w:hAnsi="宋体"/>
                <w:color w:val="auto"/>
              </w:rPr>
              <w:t>：</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监测方法：</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工程控制：</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呼吸系统防护：</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眼睛防护：</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身体防护：</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手防护：</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其他防护：</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外观与性状：</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白色鳞片状结晶体。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pH</w:t>
            </w:r>
            <w:r>
              <w:rPr>
                <w:rFonts w:hint="eastAsia" w:ascii="宋体" w:hAnsi="宋体"/>
                <w:color w:val="auto"/>
              </w:rPr>
              <w:t>：</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熔点</w:t>
            </w:r>
            <w:r>
              <w:rPr>
                <w:rFonts w:hint="eastAsia"/>
                <w:color w:val="auto"/>
              </w:rPr>
              <w:t>(℃)</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86-87</w:t>
            </w: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0.777</w:t>
            </w:r>
            <w:r>
              <w:rPr>
                <w:rFonts w:hint="eastAsia" w:ascii="宋体" w:hAnsi="宋体"/>
                <w:color w:val="auto"/>
              </w:rPr>
              <w:t>（</w:t>
            </w:r>
            <w:r>
              <w:rPr>
                <w:rFonts w:hint="eastAsia"/>
                <w:color w:val="auto"/>
              </w:rPr>
              <w:t>95℃</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沸点</w:t>
            </w:r>
            <w:r>
              <w:rPr>
                <w:rFonts w:hint="eastAsia"/>
                <w:color w:val="auto"/>
              </w:rPr>
              <w:t>(℃)</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443.3</w:t>
            </w:r>
            <w:r>
              <w:rPr>
                <w:rFonts w:hint="eastAsia" w:ascii="宋体" w:hAnsi="宋体"/>
                <w:color w:val="auto"/>
              </w:rPr>
              <w:t>（</w:t>
            </w:r>
            <w:r>
              <w:rPr>
                <w:rFonts w:hint="eastAsia"/>
                <w:color w:val="auto"/>
              </w:rPr>
              <w:t>at 760 mmHg</w:t>
            </w:r>
            <w:r>
              <w:rPr>
                <w:rFonts w:hint="eastAsia" w:ascii="宋体" w:hAnsi="宋体"/>
                <w:color w:val="auto"/>
              </w:rPr>
              <w:t>）</w:t>
            </w: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相对蒸气密度</w:t>
            </w:r>
          </w:p>
          <w:p>
            <w:pPr>
              <w:spacing w:line="285" w:lineRule="atLeast"/>
              <w:jc w:val="right"/>
              <w:rPr>
                <w:color w:val="auto"/>
              </w:rPr>
            </w:pP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分子式：</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C30H62O</w:t>
            </w: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分子量：</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438.82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主要成分：</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1.01</w:t>
            </w:r>
            <w:r>
              <w:rPr>
                <w:rFonts w:hint="eastAsia" w:ascii="宋体" w:hAnsi="宋体"/>
                <w:color w:val="auto"/>
              </w:rPr>
              <w:t>（</w:t>
            </w:r>
            <w:r>
              <w:rPr>
                <w:rFonts w:hint="eastAsia"/>
                <w:color w:val="auto"/>
              </w:rPr>
              <w:t>E-09mmHg at 25 ℃</w:t>
            </w:r>
            <w:r>
              <w:rPr>
                <w:rFonts w:hint="eastAsia" w:ascii="宋体" w:hAnsi="宋体"/>
                <w:color w:val="auto"/>
              </w:rPr>
              <w:t>）</w:t>
            </w: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燃烧热</w:t>
            </w:r>
            <w:r>
              <w:rPr>
                <w:rFonts w:hint="eastAsia"/>
                <w:color w:val="auto"/>
              </w:rPr>
              <w:t>(kJ/mol)</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临界温度</w:t>
            </w:r>
            <w:r>
              <w:rPr>
                <w:rFonts w:hint="eastAsia"/>
                <w:color w:val="auto"/>
              </w:rPr>
              <w:t>(℃)</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临界压力</w:t>
            </w:r>
            <w:r>
              <w:rPr>
                <w:rFonts w:hint="eastAsia"/>
                <w:color w:val="auto"/>
              </w:rPr>
              <w:t>(MPa)</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闪点</w:t>
            </w:r>
            <w:r>
              <w:rPr>
                <w:rFonts w:hint="eastAsia"/>
                <w:color w:val="auto"/>
              </w:rPr>
              <w:t>(℃)</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爆炸上限</w:t>
            </w:r>
            <w:r>
              <w:rPr>
                <w:rFonts w:hint="eastAsia"/>
                <w:color w:val="auto"/>
              </w:rPr>
              <w:t>%(V/V)</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引燃温度</w:t>
            </w:r>
            <w:r>
              <w:rPr>
                <w:rFonts w:hint="eastAsia"/>
                <w:color w:val="auto"/>
              </w:rPr>
              <w:t>(℃)</w:t>
            </w:r>
            <w:r>
              <w:rPr>
                <w:rFonts w:hint="eastAsia" w:ascii="宋体" w:hAnsi="宋体"/>
                <w:color w:val="auto"/>
              </w:rPr>
              <w:t>：</w:t>
            </w:r>
          </w:p>
        </w:tc>
        <w:tc>
          <w:tcPr>
            <w:tcW w:w="2515"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c>
          <w:tcPr>
            <w:tcW w:w="1861" w:type="dxa"/>
            <w:gridSpan w:val="2"/>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爆炸下限</w:t>
            </w:r>
            <w:r>
              <w:rPr>
                <w:rFonts w:hint="eastAsia"/>
                <w:color w:val="auto"/>
              </w:rPr>
              <w:t>%(V/V)</w:t>
            </w:r>
            <w:r>
              <w:rPr>
                <w:rFonts w:hint="eastAsia" w:ascii="宋体" w:hAnsi="宋体"/>
                <w:color w:val="auto"/>
              </w:rPr>
              <w:t>：</w:t>
            </w:r>
          </w:p>
        </w:tc>
        <w:tc>
          <w:tcPr>
            <w:tcW w:w="2286" w:type="dxa"/>
            <w:gridSpan w:val="2"/>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溶解性：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不溶于水，难溶于冷甲醇、乙醇、丙酮，易溶于乙醚、氯仿、四氯化碳。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主要用途：</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植物生长调节剂，对水田作物及作物的增产均有效；也可用于果树及蔬菜，对水稻、棉花、麦类、大豆、玉米、高粱、烟草、甜菜、花生、蔬菜、花卉、甘蔗均有较大幅度增产效果。本制剂用量不可盲目加大，浸种浓度大大有抑制发芽作用。也是高级脂肪醇酯的原料，可用作乳化剂、润滑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398" w:type="dxa"/>
            <w:tcBorders>
              <w:top w:val="single" w:color="auto" w:sz="4" w:space="0"/>
              <w:left w:val="single" w:color="auto" w:sz="4" w:space="0"/>
              <w:bottom w:val="single" w:color="auto" w:sz="4" w:space="0"/>
              <w:right w:val="single" w:color="auto" w:sz="4" w:space="0"/>
            </w:tcBorders>
          </w:tcPr>
          <w:p>
            <w:pPr>
              <w:jc w:val="right"/>
              <w:rPr>
                <w:color w:val="auto"/>
              </w:rPr>
            </w:pPr>
            <w:r>
              <w:rPr>
                <w:rFonts w:hint="eastAsia" w:ascii="宋体" w:hAnsi="宋体"/>
                <w:color w:val="auto"/>
              </w:rPr>
              <w:t>其它理化性质：</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稳定性：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产品性能稳定，在常温可以长期安全保存。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禁配物：</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避免接触的条件：</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聚合危害：</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分解产物：</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急性毒性：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ascii="宋体" w:hAnsi="宋体"/>
                <w:color w:val="auto"/>
              </w:rPr>
              <w:t>多以酯的形式存在于多种植物和昆虫的蜡质中，对人畜和有益生物未发现有毒害作用。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亚急性和慢性毒性：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刺激性：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致敏性：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致突变性：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致畸性：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致癌性：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生态毒理毒性：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生物降解性：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非生物降解性：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生物富集或生物积累性：</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其它有害作用：</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废弃物性质：</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废弃处置方法：</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废弃注意事项：</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危险货物编号：</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color w:val="auto"/>
              </w:rPr>
              <w:t>UN</w:t>
            </w:r>
            <w:r>
              <w:rPr>
                <w:rFonts w:hint="eastAsia" w:ascii="宋体" w:hAnsi="宋体"/>
                <w:color w:val="auto"/>
              </w:rPr>
              <w:t>编号：</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包装标志：</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包装类别：</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包装方法：</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rFonts w:hint="eastAsia"/>
                <w:color w:val="auto"/>
              </w:rPr>
              <w:t>100ml</w:t>
            </w:r>
            <w:r>
              <w:rPr>
                <w:rFonts w:hint="eastAsia" w:ascii="宋体" w:hAnsi="宋体"/>
                <w:color w:val="auto"/>
              </w:rPr>
              <w:t>塑料瓶装，应贮存在阴凉干燥处，不宜受冻；贮存期有微量沉淀时，用前请摇匀。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运输注意事项：</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法规信息</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jc w:val="left"/>
              <w:rPr>
                <w:color w:val="auto"/>
              </w:rPr>
            </w:pPr>
            <w:r>
              <w:rPr>
                <w:rFonts w:hint="eastAsia" w:ascii="宋体" w:hAnsi="宋体"/>
                <w:color w:val="auto"/>
              </w:rPr>
              <w:t>下列法律法规和标准，对化学品的安全使用、储存、运输、装卸、分类和标志等方面均作了相应的规定：</w:t>
            </w:r>
          </w:p>
          <w:p>
            <w:pPr>
              <w:spacing w:line="285" w:lineRule="atLeast"/>
              <w:jc w:val="left"/>
              <w:rPr>
                <w:color w:val="auto"/>
              </w:rPr>
            </w:pPr>
            <w:r>
              <w:rPr>
                <w:rFonts w:hint="eastAsia" w:ascii="宋体" w:hAnsi="宋体"/>
                <w:color w:val="auto"/>
              </w:rPr>
              <w:t>中华人民共和国安全生产法；</w:t>
            </w:r>
          </w:p>
          <w:p>
            <w:pPr>
              <w:spacing w:line="285" w:lineRule="atLeast"/>
              <w:jc w:val="left"/>
              <w:rPr>
                <w:color w:val="auto"/>
              </w:rPr>
            </w:pPr>
            <w:r>
              <w:rPr>
                <w:rFonts w:hint="eastAsia" w:ascii="宋体" w:hAnsi="宋体"/>
                <w:color w:val="auto"/>
              </w:rPr>
              <w:t>中华人民共和国职业病防治法；</w:t>
            </w:r>
          </w:p>
          <w:p>
            <w:pPr>
              <w:spacing w:line="285" w:lineRule="atLeast"/>
              <w:jc w:val="left"/>
              <w:rPr>
                <w:color w:val="auto"/>
              </w:rPr>
            </w:pPr>
            <w:r>
              <w:rPr>
                <w:rFonts w:hint="eastAsia" w:ascii="宋体" w:hAnsi="宋体"/>
                <w:color w:val="auto"/>
              </w:rPr>
              <w:t>中华人民共和国环境保护法；</w:t>
            </w:r>
          </w:p>
          <w:p>
            <w:pPr>
              <w:spacing w:line="285" w:lineRule="atLeast"/>
              <w:jc w:val="left"/>
              <w:rPr>
                <w:color w:val="auto"/>
              </w:rPr>
            </w:pPr>
            <w:r>
              <w:rPr>
                <w:rFonts w:hint="eastAsia" w:ascii="宋体" w:hAnsi="宋体"/>
                <w:color w:val="auto"/>
              </w:rPr>
              <w:t>危险化学品安全管理条例；</w:t>
            </w:r>
          </w:p>
          <w:p>
            <w:pPr>
              <w:spacing w:line="285" w:lineRule="atLeast"/>
              <w:jc w:val="left"/>
              <w:rPr>
                <w:color w:val="auto"/>
              </w:rPr>
            </w:pPr>
            <w:r>
              <w:rPr>
                <w:rFonts w:hint="eastAsia" w:ascii="宋体" w:hAnsi="宋体"/>
                <w:color w:val="auto"/>
              </w:rPr>
              <w:t>安全生产许可证条例；</w:t>
            </w:r>
          </w:p>
          <w:p>
            <w:pPr>
              <w:spacing w:line="285" w:lineRule="atLeast"/>
              <w:jc w:val="left"/>
              <w:rPr>
                <w:color w:val="auto"/>
              </w:rPr>
            </w:pPr>
            <w:r>
              <w:rPr>
                <w:rFonts w:hint="eastAsia" w:ascii="宋体" w:hAnsi="宋体"/>
                <w:color w:val="auto"/>
              </w:rPr>
              <w:t>化学品分类和危险性公示</w:t>
            </w:r>
            <w:r>
              <w:rPr>
                <w:rFonts w:hint="eastAsia"/>
                <w:color w:val="auto"/>
              </w:rPr>
              <w:t xml:space="preserve"> </w:t>
            </w:r>
            <w:r>
              <w:rPr>
                <w:rFonts w:hint="eastAsia" w:ascii="宋体" w:hAnsi="宋体"/>
                <w:color w:val="auto"/>
              </w:rPr>
              <w:t>通则</w:t>
            </w:r>
            <w:r>
              <w:rPr>
                <w:rFonts w:hint="eastAsia"/>
                <w:color w:val="auto"/>
              </w:rPr>
              <w:t>(GB 13690-2009)</w:t>
            </w:r>
            <w:r>
              <w:rPr>
                <w:rFonts w:hint="eastAsia" w:ascii="宋体" w:hAnsi="宋体"/>
                <w:color w:val="auto"/>
              </w:rPr>
              <w:t>；</w:t>
            </w:r>
          </w:p>
          <w:p>
            <w:pPr>
              <w:spacing w:line="285" w:lineRule="atLeast"/>
              <w:jc w:val="left"/>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060" w:type="dxa"/>
            <w:gridSpan w:val="7"/>
            <w:tcBorders>
              <w:top w:val="single" w:color="auto" w:sz="4" w:space="0"/>
              <w:left w:val="single" w:color="auto" w:sz="4" w:space="0"/>
              <w:bottom w:val="single" w:color="auto" w:sz="4" w:space="0"/>
              <w:right w:val="single" w:color="auto" w:sz="4" w:space="0"/>
            </w:tcBorders>
          </w:tcPr>
          <w:p>
            <w:pPr>
              <w:spacing w:line="285" w:lineRule="atLeast"/>
              <w:jc w:val="center"/>
              <w:rPr>
                <w:color w:val="auto"/>
              </w:rPr>
            </w:pPr>
            <w:r>
              <w:rPr>
                <w:rFonts w:hint="eastAsia" w:ascii="宋体" w:hAnsi="宋体"/>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参考文献：</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填表部门：</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数据审核单位：</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r>
              <w:rPr>
                <w:color w:val="auto"/>
              </w:rPr>
              <w:fldChar w:fldCharType="begin"/>
            </w:r>
            <w:r>
              <w:rPr>
                <w:color w:val="auto"/>
              </w:rPr>
              <w:instrText xml:space="preserve"> HYPERLINK "http://www.somsds.com/" </w:instrText>
            </w:r>
            <w:r>
              <w:rPr>
                <w:color w:val="auto"/>
              </w:rPr>
              <w:fldChar w:fldCharType="separate"/>
            </w:r>
            <w:r>
              <w:rPr>
                <w:rStyle w:val="36"/>
                <w:rFonts w:hint="eastAsia"/>
                <w:color w:val="auto"/>
              </w:rPr>
              <w:t>msds</w:t>
            </w:r>
            <w:r>
              <w:rPr>
                <w:rStyle w:val="36"/>
                <w:rFonts w:hint="eastAsia" w:ascii="宋体" w:hAnsi="宋体"/>
                <w:color w:val="auto"/>
              </w:rPr>
              <w:t>查询网</w:t>
            </w:r>
            <w:r>
              <w:rPr>
                <w:rStyle w:val="36"/>
                <w:rFonts w:hint="eastAsia" w:ascii="宋体" w:hAnsi="宋体"/>
                <w:color w:val="auto"/>
              </w:rPr>
              <w:fldChar w:fldCharType="end"/>
            </w:r>
            <w:r>
              <w:rPr>
                <w:rFonts w:hint="eastAsia" w:ascii="宋体" w:hAnsi="宋体"/>
                <w:color w:val="auto"/>
              </w:rPr>
              <w:t>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修改说明：</w:t>
            </w:r>
          </w:p>
        </w:tc>
        <w:tc>
          <w:tcPr>
            <w:tcW w:w="6662" w:type="dxa"/>
            <w:gridSpan w:val="6"/>
            <w:tcBorders>
              <w:top w:val="single" w:color="auto" w:sz="4" w:space="0"/>
              <w:left w:val="single" w:color="auto" w:sz="4" w:space="0"/>
              <w:bottom w:val="single" w:color="auto" w:sz="4" w:space="0"/>
              <w:right w:val="single" w:color="auto" w:sz="4" w:space="0"/>
            </w:tcBorders>
          </w:tcPr>
          <w:p>
            <w:pPr>
              <w:spacing w:line="285" w:lineRule="atLeast"/>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398" w:type="dxa"/>
            <w:tcBorders>
              <w:top w:val="single" w:color="auto" w:sz="4" w:space="0"/>
              <w:left w:val="single" w:color="auto" w:sz="4" w:space="0"/>
              <w:bottom w:val="single" w:color="auto" w:sz="4" w:space="0"/>
              <w:right w:val="single" w:color="auto" w:sz="4" w:space="0"/>
            </w:tcBorders>
          </w:tcPr>
          <w:p>
            <w:pPr>
              <w:spacing w:line="285" w:lineRule="atLeast"/>
              <w:jc w:val="right"/>
              <w:rPr>
                <w:color w:val="auto"/>
              </w:rPr>
            </w:pPr>
            <w:r>
              <w:rPr>
                <w:rFonts w:hint="eastAsia" w:ascii="宋体" w:hAnsi="宋体"/>
                <w:color w:val="auto"/>
              </w:rPr>
              <w:t>其他信息：</w:t>
            </w:r>
          </w:p>
        </w:tc>
        <w:tc>
          <w:tcPr>
            <w:tcW w:w="6662" w:type="dxa"/>
            <w:gridSpan w:val="6"/>
            <w:tcBorders>
              <w:top w:val="single" w:color="auto" w:sz="4" w:space="0"/>
              <w:left w:val="single" w:color="auto" w:sz="4" w:space="0"/>
              <w:bottom w:val="single" w:color="auto" w:sz="4" w:space="0"/>
              <w:right w:val="single" w:color="auto" w:sz="4" w:space="0"/>
            </w:tcBorders>
          </w:tcPr>
          <w:p>
            <w:pPr>
              <w:rPr>
                <w:color w:val="auto"/>
              </w:rPr>
            </w:pPr>
          </w:p>
        </w:tc>
      </w:tr>
    </w:tbl>
    <w:p>
      <w:pPr>
        <w:pStyle w:val="49"/>
        <w:ind w:firstLine="560" w:firstLineChars="200"/>
        <w:rPr>
          <w:color w:val="auto"/>
          <w:sz w:val="28"/>
          <w:szCs w:val="28"/>
        </w:rPr>
      </w:pPr>
      <w:r>
        <w:rPr>
          <w:rFonts w:hint="eastAsia"/>
          <w:color w:val="auto"/>
          <w:sz w:val="28"/>
          <w:szCs w:val="28"/>
        </w:rPr>
        <w:t>3</w:t>
      </w:r>
      <w:r>
        <w:rPr>
          <w:color w:val="auto"/>
          <w:sz w:val="28"/>
          <w:szCs w:val="28"/>
        </w:rPr>
        <w:t>0</w:t>
      </w:r>
      <w:r>
        <w:rPr>
          <w:rFonts w:hint="eastAsia"/>
          <w:color w:val="auto"/>
          <w:sz w:val="28"/>
          <w:szCs w:val="28"/>
        </w:rPr>
        <w:t>）氯吡脲</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vAlign w:val="center"/>
          </w:tcPr>
          <w:p>
            <w:pPr>
              <w:jc w:val="center"/>
              <w:rPr>
                <w:b/>
                <w:bCs/>
                <w:color w:val="auto"/>
              </w:rPr>
            </w:pPr>
            <w:r>
              <w:rPr>
                <w:rFonts w:hint="eastAsia" w:ascii="宋体" w:hAnsi="宋体"/>
                <w:b/>
                <w:bCs/>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化学品中文名称：氯吡脲</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化学品俗名：</w:t>
            </w:r>
            <w:r>
              <w:rPr>
                <w:rFonts w:hint="eastAsia"/>
                <w:color w:val="auto"/>
              </w:rPr>
              <w:t>[</w:t>
            </w:r>
            <w:r>
              <w:rPr>
                <w:rFonts w:hint="eastAsia" w:ascii="宋体" w:hAnsi="宋体"/>
                <w:color w:val="auto"/>
              </w:rPr>
              <w:t>苯基</w:t>
            </w:r>
            <w:r>
              <w:rPr>
                <w:rFonts w:hint="eastAsia"/>
                <w:color w:val="auto"/>
              </w:rPr>
              <w:t>-2H5]-</w:t>
            </w:r>
            <w:r>
              <w:rPr>
                <w:rFonts w:hint="eastAsia" w:ascii="宋体" w:hAnsi="宋体"/>
                <w:color w:val="auto"/>
              </w:rPr>
              <w:t>氯吡脲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化学品英文名称：</w:t>
            </w:r>
            <w:r>
              <w:rPr>
                <w:rFonts w:hint="eastAsia"/>
                <w:color w:val="auto"/>
              </w:rPr>
              <w:t>Forchlorfenuron</w:t>
            </w:r>
          </w:p>
          <w:p>
            <w:pPr>
              <w:rPr>
                <w:color w:val="auto"/>
              </w:rPr>
            </w:pP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英文名称：</w:t>
            </w:r>
            <w:r>
              <w:rPr>
                <w:rFonts w:hint="eastAsia"/>
                <w:color w:val="auto"/>
              </w:rPr>
              <w:t>[phenyl-2H5]-Forchlorfenuron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技术说明书编码：</w:t>
            </w:r>
            <w:r>
              <w:rPr>
                <w:rFonts w:hint="eastAsia"/>
                <w:color w:val="auto"/>
              </w:rPr>
              <w:t>004</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color w:val="auto"/>
              </w:rPr>
              <w:t>CASNo.</w:t>
            </w:r>
            <w:r>
              <w:rPr>
                <w:rFonts w:hint="eastAsia" w:ascii="宋体" w:hAnsi="宋体"/>
                <w:color w:val="auto"/>
              </w:rPr>
              <w:t>：</w:t>
            </w:r>
            <w:r>
              <w:rPr>
                <w:color w:val="auto"/>
              </w:rPr>
              <w:fldChar w:fldCharType="begin"/>
            </w:r>
            <w:r>
              <w:rPr>
                <w:color w:val="auto"/>
              </w:rPr>
              <w:instrText xml:space="preserve"> HYPERLINK "https://www.chemsrc.com/baike/1154234.html" </w:instrText>
            </w:r>
            <w:r>
              <w:rPr>
                <w:color w:val="auto"/>
              </w:rPr>
              <w:fldChar w:fldCharType="separate"/>
            </w:r>
            <w:r>
              <w:rPr>
                <w:rStyle w:val="36"/>
                <w:rFonts w:hint="eastAsia"/>
                <w:color w:val="auto"/>
              </w:rPr>
              <w:t>68157-60-8</w:t>
            </w:r>
            <w:r>
              <w:rPr>
                <w:color w:val="auto"/>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第二部分：成分</w:t>
            </w:r>
            <w:r>
              <w:rPr>
                <w:rFonts w:hint="eastAsia"/>
                <w:b/>
                <w:bCs/>
                <w:color w:val="auto"/>
              </w:rPr>
              <w:t>/</w:t>
            </w:r>
            <w:r>
              <w:rPr>
                <w:rFonts w:hint="eastAsia" w:ascii="宋体" w:hAnsi="宋体"/>
                <w:b/>
                <w:bCs/>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有害物成分</w:t>
            </w:r>
            <w:r>
              <w:rPr>
                <w:rFonts w:hint="eastAsia"/>
                <w:color w:val="auto"/>
              </w:rPr>
              <w:t xml:space="preserve">  /                </w:t>
            </w:r>
            <w:r>
              <w:rPr>
                <w:rFonts w:hint="eastAsia" w:ascii="宋体" w:hAnsi="宋体"/>
                <w:color w:val="auto"/>
              </w:rPr>
              <w:t xml:space="preserve">含量      </w:t>
            </w:r>
            <w:r>
              <w:rPr>
                <w:rFonts w:hint="eastAsia"/>
                <w:color w:val="auto"/>
              </w:rPr>
              <w:t>/          CASNo.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危险性类别：</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侵入途径：口鼻吸入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健康危害：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环境危害：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燃爆危险：暂无资料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皮肤接触：</w:t>
            </w:r>
            <w:r>
              <w:rPr>
                <w:rFonts w:ascii="宋体" w:hAnsi="宋体"/>
                <w:color w:val="auto"/>
                <w:shd w:val="clear" w:color="auto" w:fill="FFFFFF"/>
              </w:rPr>
              <w:t>用肥皂和大量的水冲洗。</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眼睛接触：</w:t>
            </w:r>
            <w:r>
              <w:rPr>
                <w:rFonts w:ascii="宋体" w:hAnsi="宋体"/>
                <w:color w:val="auto"/>
                <w:shd w:val="clear" w:color="auto" w:fill="FFFFFF"/>
              </w:rPr>
              <w:t>用水冲洗眼睛作为预防措施。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吸入：</w:t>
            </w:r>
            <w:r>
              <w:rPr>
                <w:rFonts w:ascii="宋体" w:hAnsi="宋体"/>
                <w:color w:val="auto"/>
                <w:shd w:val="clear" w:color="auto" w:fill="FFFFFF"/>
              </w:rPr>
              <w:t>请将患者移到新鲜空气处。</w:t>
            </w:r>
            <w:r>
              <w:rPr>
                <w:rFonts w:ascii="Helvetica" w:hAnsi="Helvetica"/>
                <w:color w:val="auto"/>
                <w:shd w:val="clear" w:color="auto" w:fill="FFFFFF"/>
              </w:rPr>
              <w:t xml:space="preserve"> </w:t>
            </w:r>
            <w:r>
              <w:rPr>
                <w:rFonts w:ascii="宋体" w:hAnsi="宋体"/>
                <w:color w:val="auto"/>
                <w:shd w:val="clear" w:color="auto" w:fill="FFFFFF"/>
              </w:rPr>
              <w:t>如呼吸停止</w:t>
            </w:r>
            <w:r>
              <w:rPr>
                <w:rFonts w:ascii="Helvetica" w:hAnsi="Helvetica"/>
                <w:color w:val="auto"/>
                <w:shd w:val="clear" w:color="auto" w:fill="FFFFFF"/>
              </w:rPr>
              <w:t>,</w:t>
            </w:r>
            <w:r>
              <w:rPr>
                <w:rFonts w:ascii="宋体" w:hAnsi="宋体"/>
                <w:color w:val="auto"/>
                <w:shd w:val="clear" w:color="auto" w:fill="FFFFFF"/>
              </w:rPr>
              <w:t>进行人工呼吸。 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食入：</w:t>
            </w:r>
            <w:r>
              <w:rPr>
                <w:rFonts w:ascii="宋体" w:hAnsi="宋体"/>
                <w:color w:val="auto"/>
                <w:shd w:val="clear" w:color="auto" w:fill="FFFFFF"/>
              </w:rPr>
              <w:t>切勿给失去知觉者通过口喂任何东西。</w:t>
            </w:r>
            <w:r>
              <w:rPr>
                <w:rFonts w:ascii="Helvetica" w:hAnsi="Helvetica"/>
                <w:color w:val="auto"/>
                <w:shd w:val="clear" w:color="auto" w:fill="FFFFFF"/>
              </w:rPr>
              <w:t xml:space="preserve"> </w:t>
            </w:r>
            <w:r>
              <w:rPr>
                <w:rFonts w:ascii="宋体" w:hAnsi="宋体"/>
                <w:color w:val="auto"/>
                <w:shd w:val="clear" w:color="auto" w:fill="FFFFFF"/>
              </w:rPr>
              <w:t>用水漱口。</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危险特性：</w:t>
            </w:r>
            <w:r>
              <w:rPr>
                <w:rFonts w:hint="eastAsia"/>
                <w:color w:val="auto"/>
              </w:rPr>
              <w:t xml:space="preserve"> </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有害燃烧产物：</w:t>
            </w:r>
            <w:r>
              <w:rPr>
                <w:rFonts w:hint="eastAsia"/>
                <w:color w:val="auto"/>
              </w:rPr>
              <w:t xml:space="preserve"> </w:t>
            </w:r>
            <w:r>
              <w:rPr>
                <w:rFonts w:ascii="宋体" w:hAnsi="宋体"/>
                <w:color w:val="auto"/>
                <w:shd w:val="clear" w:color="auto" w:fill="FFFFFF"/>
              </w:rPr>
              <w:t>碳氧化物</w:t>
            </w:r>
            <w:r>
              <w:rPr>
                <w:rFonts w:ascii="Helvetica" w:hAnsi="Helvetica"/>
                <w:color w:val="auto"/>
                <w:shd w:val="clear" w:color="auto" w:fill="FFFFFF"/>
              </w:rPr>
              <w:t xml:space="preserve">, </w:t>
            </w:r>
            <w:r>
              <w:rPr>
                <w:rFonts w:ascii="宋体" w:hAnsi="宋体"/>
                <w:color w:val="auto"/>
                <w:shd w:val="clear" w:color="auto" w:fill="FFFFFF"/>
              </w:rPr>
              <w:t>氮氧化物</w:t>
            </w:r>
            <w:r>
              <w:rPr>
                <w:rFonts w:ascii="Helvetica" w:hAnsi="Helvetica"/>
                <w:color w:val="auto"/>
                <w:shd w:val="clear" w:color="auto" w:fill="FFFFFF"/>
              </w:rPr>
              <w:t xml:space="preserve">, </w:t>
            </w:r>
            <w:r>
              <w:rPr>
                <w:rFonts w:ascii="宋体" w:hAnsi="宋体"/>
                <w:color w:val="auto"/>
                <w:shd w:val="clear" w:color="auto" w:fill="FFFFFF"/>
              </w:rPr>
              <w:t>氯化氢气体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灭火方法：</w:t>
            </w:r>
            <w:r>
              <w:rPr>
                <w:rFonts w:hint="eastAsia"/>
                <w:color w:val="auto"/>
              </w:rPr>
              <w:t xml:space="preserve"> </w:t>
            </w:r>
            <w:r>
              <w:rPr>
                <w:rFonts w:ascii="宋体" w:hAnsi="宋体"/>
                <w:color w:val="auto"/>
                <w:shd w:val="clear" w:color="auto" w:fill="FFFFFF"/>
              </w:rPr>
              <w:t>用水雾</w:t>
            </w:r>
            <w:r>
              <w:rPr>
                <w:rFonts w:ascii="Helvetica" w:hAnsi="Helvetica"/>
                <w:color w:val="auto"/>
                <w:shd w:val="clear" w:color="auto" w:fill="FFFFFF"/>
              </w:rPr>
              <w:t>,</w:t>
            </w:r>
            <w:r>
              <w:rPr>
                <w:rFonts w:ascii="宋体" w:hAnsi="宋体"/>
                <w:color w:val="auto"/>
                <w:shd w:val="clear" w:color="auto" w:fill="FFFFFF"/>
              </w:rPr>
              <w:t>抗乙醇泡沫</w:t>
            </w:r>
            <w:r>
              <w:rPr>
                <w:rFonts w:ascii="Helvetica" w:hAnsi="Helvetica"/>
                <w:color w:val="auto"/>
                <w:shd w:val="clear" w:color="auto" w:fill="FFFFFF"/>
              </w:rPr>
              <w:t>,</w:t>
            </w:r>
            <w:r>
              <w:rPr>
                <w:rFonts w:ascii="宋体" w:hAnsi="宋体"/>
                <w:color w:val="auto"/>
                <w:shd w:val="clear" w:color="auto" w:fill="FFFFFF"/>
              </w:rPr>
              <w:t>干粉或二氧化碳灭火。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应急处理：</w:t>
            </w:r>
            <w:r>
              <w:rPr>
                <w:rFonts w:hint="eastAsia"/>
                <w:color w:val="auto"/>
              </w:rPr>
              <w:t xml:space="preserve"> </w:t>
            </w:r>
            <w:r>
              <w:rPr>
                <w:rFonts w:ascii="宋体" w:hAnsi="宋体"/>
                <w:color w:val="auto"/>
                <w:shd w:val="clear" w:color="auto" w:fill="FFFFFF"/>
              </w:rPr>
              <w:t>使用个人防护用品。</w:t>
            </w:r>
            <w:r>
              <w:rPr>
                <w:rFonts w:ascii="Helvetica" w:hAnsi="Helvetica"/>
                <w:color w:val="auto"/>
                <w:shd w:val="clear" w:color="auto" w:fill="FFFFFF"/>
              </w:rPr>
              <w:t xml:space="preserve"> </w:t>
            </w:r>
            <w:r>
              <w:rPr>
                <w:rFonts w:ascii="宋体" w:hAnsi="宋体"/>
                <w:color w:val="auto"/>
                <w:shd w:val="clear" w:color="auto" w:fill="FFFFFF"/>
              </w:rPr>
              <w:t>避免粉尘生成。</w:t>
            </w:r>
            <w:r>
              <w:rPr>
                <w:rFonts w:ascii="Helvetica" w:hAnsi="Helvetica"/>
                <w:color w:val="auto"/>
                <w:shd w:val="clear" w:color="auto" w:fill="FFFFFF"/>
              </w:rPr>
              <w:t xml:space="preserve"> </w:t>
            </w:r>
            <w:r>
              <w:rPr>
                <w:rFonts w:ascii="宋体" w:hAnsi="宋体"/>
                <w:color w:val="auto"/>
                <w:shd w:val="clear" w:color="auto" w:fill="FFFFFF"/>
              </w:rPr>
              <w:t>避免吸入蒸气、烟雾或气体。</w:t>
            </w:r>
            <w:r>
              <w:rPr>
                <w:rFonts w:ascii="Helvetica" w:hAnsi="Helvetica"/>
                <w:color w:val="auto"/>
                <w:shd w:val="clear" w:color="auto" w:fill="FFFFFF"/>
              </w:rPr>
              <w:t xml:space="preserve"> </w:t>
            </w:r>
            <w:r>
              <w:rPr>
                <w:rFonts w:ascii="宋体" w:hAnsi="宋体"/>
                <w:color w:val="auto"/>
                <w:shd w:val="clear" w:color="auto" w:fill="FFFFFF"/>
              </w:rPr>
              <w:t>保证充分的通风。</w:t>
            </w:r>
            <w:r>
              <w:rPr>
                <w:rFonts w:ascii="Helvetica" w:hAnsi="Helvetica"/>
                <w:color w:val="auto"/>
                <w:shd w:val="clear" w:color="auto" w:fill="FFFFFF"/>
              </w:rPr>
              <w:t xml:space="preserve"> </w:t>
            </w:r>
            <w:r>
              <w:rPr>
                <w:rFonts w:ascii="宋体" w:hAnsi="宋体"/>
                <w:color w:val="auto"/>
                <w:shd w:val="clear" w:color="auto" w:fill="FFFFFF"/>
              </w:rPr>
              <w:t>避免吸入粉尘。</w:t>
            </w:r>
          </w:p>
          <w:p>
            <w:pPr>
              <w:rPr>
                <w:rFonts w:ascii="Helvetica" w:hAnsi="Helvetica"/>
                <w:color w:val="auto"/>
                <w:shd w:val="clear" w:color="auto" w:fill="FFFFFF"/>
              </w:rPr>
            </w:pPr>
            <w:r>
              <w:rPr>
                <w:rFonts w:ascii="宋体" w:hAnsi="宋体"/>
                <w:color w:val="auto"/>
                <w:shd w:val="clear" w:color="auto" w:fill="FFFFFF"/>
              </w:rPr>
              <w:t>如能确保安全，可采取措施防止进一步的泄漏或溢出。</w:t>
            </w:r>
            <w:r>
              <w:rPr>
                <w:rFonts w:ascii="Helvetica" w:hAnsi="Helvetica"/>
                <w:color w:val="auto"/>
                <w:shd w:val="clear" w:color="auto" w:fill="FFFFFF"/>
              </w:rPr>
              <w:t xml:space="preserve"> </w:t>
            </w:r>
            <w:r>
              <w:rPr>
                <w:rFonts w:ascii="宋体" w:hAnsi="宋体"/>
                <w:color w:val="auto"/>
                <w:shd w:val="clear" w:color="auto" w:fill="FFFFFF"/>
              </w:rPr>
              <w:t>不要让产品进入下水道。</w:t>
            </w:r>
          </w:p>
          <w:p>
            <w:pPr>
              <w:rPr>
                <w:rFonts w:ascii="Helvetica" w:hAnsi="Helvetica"/>
                <w:color w:val="auto"/>
                <w:shd w:val="clear" w:color="auto" w:fill="FFFFFF"/>
              </w:rPr>
            </w:pPr>
            <w:r>
              <w:rPr>
                <w:rFonts w:ascii="宋体" w:hAnsi="宋体"/>
                <w:color w:val="auto"/>
                <w:shd w:val="clear" w:color="auto" w:fill="FFFFFF"/>
              </w:rPr>
              <w:t>一定要避免排放到周围环境中。</w:t>
            </w:r>
          </w:p>
          <w:p>
            <w:pPr>
              <w:rPr>
                <w:rFonts w:ascii="等线" w:hAnsi="等线"/>
                <w:color w:val="auto"/>
              </w:rPr>
            </w:pPr>
            <w:r>
              <w:rPr>
                <w:rFonts w:ascii="宋体" w:hAnsi="宋体"/>
                <w:color w:val="auto"/>
                <w:shd w:val="clear" w:color="auto" w:fill="FFFFFF"/>
              </w:rPr>
              <w:t>收集和处置时不要产生粉尘。</w:t>
            </w:r>
            <w:r>
              <w:rPr>
                <w:rFonts w:ascii="Helvetica" w:hAnsi="Helvetica"/>
                <w:color w:val="auto"/>
                <w:shd w:val="clear" w:color="auto" w:fill="FFFFFF"/>
              </w:rPr>
              <w:t xml:space="preserve"> </w:t>
            </w:r>
            <w:r>
              <w:rPr>
                <w:rFonts w:ascii="宋体" w:hAnsi="宋体"/>
                <w:color w:val="auto"/>
                <w:shd w:val="clear" w:color="auto" w:fill="FFFFFF"/>
              </w:rPr>
              <w:t>扫掉和铲掉。</w:t>
            </w:r>
            <w:r>
              <w:rPr>
                <w:rFonts w:ascii="Helvetica" w:hAnsi="Helvetica"/>
                <w:color w:val="auto"/>
                <w:shd w:val="clear" w:color="auto" w:fill="FFFFFF"/>
              </w:rPr>
              <w:t xml:space="preserve"> </w:t>
            </w:r>
            <w:r>
              <w:rPr>
                <w:rFonts w:ascii="宋体" w:hAnsi="宋体"/>
                <w:color w:val="auto"/>
                <w:shd w:val="clear" w:color="auto" w:fill="FFFFFF"/>
              </w:rPr>
              <w:t>放入合适的封闭的容器中待处理。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操作注意事项：</w:t>
            </w:r>
            <w:r>
              <w:rPr>
                <w:rFonts w:hint="eastAsia"/>
                <w:color w:val="auto"/>
              </w:rPr>
              <w:t xml:space="preserve"> </w:t>
            </w:r>
            <w:r>
              <w:rPr>
                <w:rFonts w:ascii="宋体" w:hAnsi="宋体"/>
                <w:color w:val="auto"/>
                <w:shd w:val="clear" w:color="auto" w:fill="FFFFFF"/>
              </w:rPr>
              <w:t>避免接触皮肤和眼睛。</w:t>
            </w:r>
            <w:r>
              <w:rPr>
                <w:rFonts w:ascii="Helvetica" w:hAnsi="Helvetica"/>
                <w:color w:val="auto"/>
                <w:shd w:val="clear" w:color="auto" w:fill="FFFFFF"/>
              </w:rPr>
              <w:t xml:space="preserve"> </w:t>
            </w:r>
            <w:r>
              <w:rPr>
                <w:rFonts w:ascii="宋体" w:hAnsi="宋体"/>
                <w:color w:val="auto"/>
                <w:shd w:val="clear" w:color="auto" w:fill="FFFFFF"/>
              </w:rPr>
              <w:t>避免形成粉尘和气溶胶。</w:t>
            </w:r>
          </w:p>
          <w:p>
            <w:pPr>
              <w:rPr>
                <w:rFonts w:ascii="等线" w:hAnsi="等线"/>
                <w:color w:val="auto"/>
              </w:rPr>
            </w:pPr>
            <w:r>
              <w:rPr>
                <w:rFonts w:ascii="宋体" w:hAnsi="宋体"/>
                <w:color w:val="auto"/>
                <w:shd w:val="clear" w:color="auto" w:fill="FFFFFF"/>
              </w:rPr>
              <w:t>在有粉尘生成的地方</w:t>
            </w:r>
            <w:r>
              <w:rPr>
                <w:rFonts w:ascii="Helvetica" w:hAnsi="Helvetica"/>
                <w:color w:val="auto"/>
                <w:shd w:val="clear" w:color="auto" w:fill="FFFFFF"/>
              </w:rPr>
              <w:t>,</w:t>
            </w:r>
            <w:r>
              <w:rPr>
                <w:rFonts w:ascii="宋体" w:hAnsi="宋体"/>
                <w:color w:val="auto"/>
                <w:shd w:val="clear" w:color="auto" w:fill="FFFFFF"/>
              </w:rPr>
              <w:t>提供合适的排风设备。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储存注意事项：</w:t>
            </w:r>
            <w:r>
              <w:rPr>
                <w:rFonts w:hint="eastAsia"/>
                <w:color w:val="auto"/>
              </w:rPr>
              <w:t xml:space="preserve"> </w:t>
            </w:r>
            <w:r>
              <w:rPr>
                <w:rFonts w:ascii="宋体" w:hAnsi="宋体"/>
                <w:color w:val="auto"/>
                <w:shd w:val="clear" w:color="auto" w:fill="FFFFFF"/>
              </w:rPr>
              <w:t>存放在密封容器内，并放在阴凉，干燥处。储存的地方必须远离氧化剂。</w:t>
            </w:r>
            <w:r>
              <w:rPr>
                <w:rFonts w:ascii="Helvetica" w:hAnsi="Helvetica"/>
                <w:color w:val="auto"/>
                <w:shd w:val="clear" w:color="auto" w:fill="FFFFFF"/>
              </w:rPr>
              <w:t>2-8 ºC</w:t>
            </w:r>
            <w:r>
              <w:rPr>
                <w:rFonts w:ascii="宋体" w:hAnsi="宋体"/>
                <w:color w:val="auto"/>
                <w:shd w:val="clear" w:color="auto" w:fill="FFFFFF"/>
              </w:rPr>
              <w:t>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第八部分：接触控制</w:t>
            </w:r>
            <w:r>
              <w:rPr>
                <w:rFonts w:hint="eastAsia"/>
                <w:b/>
                <w:bCs/>
                <w:color w:val="auto"/>
              </w:rPr>
              <w:t>/</w:t>
            </w:r>
            <w:r>
              <w:rPr>
                <w:rFonts w:hint="eastAsia" w:ascii="宋体" w:hAnsi="宋体"/>
                <w:b/>
                <w:bCs/>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 xml:space="preserve"> </w:t>
            </w:r>
            <w:r>
              <w:rPr>
                <w:rFonts w:hint="eastAsia" w:ascii="宋体" w:hAnsi="宋体"/>
                <w:color w:val="auto"/>
              </w:rPr>
              <w:t>中国</w:t>
            </w:r>
            <w:r>
              <w:rPr>
                <w:rFonts w:hint="eastAsia"/>
                <w:color w:val="auto"/>
              </w:rPr>
              <w:t>MAC(mg/m3)</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前苏联</w:t>
            </w:r>
            <w:r>
              <w:rPr>
                <w:rFonts w:hint="eastAsia"/>
                <w:color w:val="auto"/>
              </w:rPr>
              <w:t>MAC(mg/m3)</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TLVTN</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TLVWN</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监测方法：暂无资料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工程控制：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呼吸系统防护：</w:t>
            </w:r>
            <w:r>
              <w:rPr>
                <w:rFonts w:ascii="宋体" w:hAnsi="宋体"/>
                <w:color w:val="auto"/>
                <w:shd w:val="clear" w:color="auto" w:fill="FFFFFF"/>
              </w:rPr>
              <w:t>如须暴露于有害环境中</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P95</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P1</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欧盟 英国</w:t>
            </w:r>
          </w:p>
          <w:p>
            <w:pPr>
              <w:rPr>
                <w:rFonts w:ascii="Helvetica" w:hAnsi="Helvetica"/>
                <w:color w:val="auto"/>
                <w:shd w:val="clear" w:color="auto" w:fill="FFFFFF"/>
              </w:rPr>
            </w:pPr>
            <w:r>
              <w:rPr>
                <w:rFonts w:ascii="Helvetica" w:hAnsi="Helvetica"/>
                <w:color w:val="auto"/>
                <w:shd w:val="clear" w:color="auto" w:fill="FFFFFF"/>
              </w:rPr>
              <w:t>143)</w:t>
            </w:r>
            <w:r>
              <w:rPr>
                <w:rFonts w:ascii="宋体" w:hAnsi="宋体"/>
                <w:color w:val="auto"/>
                <w:shd w:val="clear" w:color="auto" w:fill="FFFFFF"/>
              </w:rPr>
              <w:t>防微粒呼吸器。如需更高级别防护</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OV/AG/P99</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ABEK-P2</w:t>
            </w:r>
            <w:r>
              <w:rPr>
                <w:rFonts w:ascii="宋体" w:hAnsi="宋体"/>
                <w:color w:val="auto"/>
                <w:shd w:val="clear" w:color="auto" w:fill="FFFFFF"/>
              </w:rPr>
              <w:t xml:space="preserve">型 </w:t>
            </w:r>
            <w:r>
              <w:rPr>
                <w:rFonts w:ascii="Helvetica" w:hAnsi="Helvetica"/>
                <w:color w:val="auto"/>
                <w:shd w:val="clear" w:color="auto" w:fill="FFFFFF"/>
              </w:rPr>
              <w:t>(</w:t>
            </w:r>
            <w:r>
              <w:rPr>
                <w:rFonts w:ascii="宋体" w:hAnsi="宋体"/>
                <w:color w:val="auto"/>
                <w:shd w:val="clear" w:color="auto" w:fill="FFFFFF"/>
              </w:rPr>
              <w:t xml:space="preserve">欧盟 英国 </w:t>
            </w:r>
            <w:r>
              <w:rPr>
                <w:rFonts w:ascii="Helvetica" w:hAnsi="Helvetica"/>
                <w:color w:val="auto"/>
                <w:shd w:val="clear" w:color="auto" w:fill="FFFFFF"/>
              </w:rPr>
              <w:t>143)</w:t>
            </w:r>
          </w:p>
          <w:p>
            <w:pPr>
              <w:rPr>
                <w:rFonts w:ascii="Helvetica" w:hAnsi="Helvetica"/>
                <w:color w:val="auto"/>
                <w:shd w:val="clear" w:color="auto" w:fill="FFFFFF"/>
              </w:rPr>
            </w:pPr>
            <w:r>
              <w:rPr>
                <w:rFonts w:ascii="宋体" w:hAnsi="宋体"/>
                <w:color w:val="auto"/>
                <w:shd w:val="clear" w:color="auto" w:fill="FFFFFF"/>
              </w:rPr>
              <w:t>防毒罐。</w:t>
            </w:r>
          </w:p>
          <w:p>
            <w:pPr>
              <w:rPr>
                <w:rFonts w:ascii="等线" w:hAnsi="等线"/>
                <w:color w:val="auto"/>
              </w:rPr>
            </w:pPr>
            <w:r>
              <w:rPr>
                <w:rFonts w:ascii="宋体" w:hAnsi="宋体"/>
                <w:color w:val="auto"/>
                <w:shd w:val="clear" w:color="auto" w:fill="FFFFFF"/>
              </w:rPr>
              <w:t>呼吸器使用经过测试并通过政府标准如</w:t>
            </w:r>
            <w:r>
              <w:rPr>
                <w:rFonts w:ascii="Helvetica" w:hAnsi="Helvetica"/>
                <w:color w:val="auto"/>
                <w:shd w:val="clear" w:color="auto" w:fill="FFFFFF"/>
              </w:rPr>
              <w:t>NIOSH</w:t>
            </w:r>
            <w:r>
              <w:rPr>
                <w:rFonts w:ascii="宋体" w:hAnsi="宋体"/>
                <w:color w:val="auto"/>
                <w:shd w:val="clear" w:color="auto" w:fill="FFFFFF"/>
              </w:rPr>
              <w:t>（</w:t>
            </w:r>
            <w:r>
              <w:rPr>
                <w:rFonts w:ascii="Helvetica" w:hAnsi="Helvetica"/>
                <w:color w:val="auto"/>
                <w:shd w:val="clear" w:color="auto" w:fill="FFFFFF"/>
              </w:rPr>
              <w:t>US</w:t>
            </w:r>
            <w:r>
              <w:rPr>
                <w:rFonts w:ascii="宋体" w:hAnsi="宋体"/>
                <w:color w:val="auto"/>
                <w:shd w:val="clear" w:color="auto" w:fill="FFFFFF"/>
              </w:rPr>
              <w:t>）或</w:t>
            </w:r>
            <w:r>
              <w:rPr>
                <w:rFonts w:ascii="Helvetica" w:hAnsi="Helvetica"/>
                <w:color w:val="auto"/>
                <w:shd w:val="clear" w:color="auto" w:fill="FFFFFF"/>
              </w:rPr>
              <w:t>CEN</w:t>
            </w:r>
            <w:r>
              <w:rPr>
                <w:rFonts w:ascii="宋体" w:hAnsi="宋体"/>
                <w:color w:val="auto"/>
                <w:shd w:val="clear" w:color="auto" w:fill="FFFFFF"/>
              </w:rPr>
              <w:t>（</w:t>
            </w:r>
            <w:r>
              <w:rPr>
                <w:rFonts w:ascii="Helvetica" w:hAnsi="Helvetica"/>
                <w:color w:val="auto"/>
                <w:shd w:val="clear" w:color="auto" w:fill="FFFFFF"/>
              </w:rPr>
              <w:t>EU</w:t>
            </w:r>
            <w:r>
              <w:rPr>
                <w:rFonts w:ascii="宋体" w:hAnsi="宋体"/>
                <w:color w:val="auto"/>
                <w:shd w:val="clear" w:color="auto" w:fill="FFFFFF"/>
              </w:rPr>
              <w:t>）的呼吸器和零件。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眼睛防护：</w:t>
            </w:r>
            <w:r>
              <w:rPr>
                <w:rFonts w:ascii="宋体" w:hAnsi="宋体"/>
                <w:color w:val="auto"/>
                <w:shd w:val="clear" w:color="auto" w:fill="FFFFFF"/>
              </w:rPr>
              <w:t>带有防护边罩的安全眼镜符合</w:t>
            </w:r>
            <w:r>
              <w:rPr>
                <w:rFonts w:ascii="Helvetica" w:hAnsi="Helvetica"/>
                <w:color w:val="auto"/>
                <w:shd w:val="clear" w:color="auto" w:fill="FFFFFF"/>
              </w:rPr>
              <w:t xml:space="preserve"> EN166</w:t>
            </w:r>
            <w:r>
              <w:rPr>
                <w:rFonts w:ascii="宋体" w:hAnsi="宋体"/>
                <w:color w:val="auto"/>
                <w:shd w:val="clear" w:color="auto" w:fill="FFFFFF"/>
              </w:rPr>
              <w:t>要求请使用经官方标准如</w:t>
            </w:r>
            <w:r>
              <w:rPr>
                <w:rFonts w:ascii="Helvetica" w:hAnsi="Helvetica"/>
                <w:color w:val="auto"/>
                <w:shd w:val="clear" w:color="auto" w:fill="FFFFFF"/>
              </w:rPr>
              <w:t>NIOSH (</w:t>
            </w:r>
            <w:r>
              <w:rPr>
                <w:rFonts w:ascii="宋体" w:hAnsi="宋体"/>
                <w:color w:val="auto"/>
                <w:shd w:val="clear" w:color="auto" w:fill="FFFFFF"/>
              </w:rPr>
              <w:t>美国</w:t>
            </w:r>
            <w:r>
              <w:rPr>
                <w:rFonts w:ascii="Helvetica" w:hAnsi="Helvetica"/>
                <w:color w:val="auto"/>
                <w:shd w:val="clear" w:color="auto" w:fill="FFFFFF"/>
              </w:rPr>
              <w:t xml:space="preserve">) </w:t>
            </w:r>
            <w:r>
              <w:rPr>
                <w:rFonts w:ascii="宋体" w:hAnsi="宋体"/>
                <w:color w:val="auto"/>
                <w:shd w:val="clear" w:color="auto" w:fill="FFFFFF"/>
              </w:rPr>
              <w:t xml:space="preserve">或 </w:t>
            </w:r>
            <w:r>
              <w:rPr>
                <w:rFonts w:ascii="Helvetica" w:hAnsi="Helvetica"/>
                <w:color w:val="auto"/>
                <w:shd w:val="clear" w:color="auto" w:fill="FFFFFF"/>
              </w:rPr>
              <w:t>EN 166(</w:t>
            </w:r>
            <w:r>
              <w:rPr>
                <w:rFonts w:ascii="宋体" w:hAnsi="宋体"/>
                <w:color w:val="auto"/>
                <w:shd w:val="clear" w:color="auto" w:fill="FFFFFF"/>
              </w:rPr>
              <w:t>欧盟</w:t>
            </w:r>
            <w:r>
              <w:rPr>
                <w:rFonts w:ascii="Helvetica" w:hAnsi="Helvetica"/>
                <w:color w:val="auto"/>
                <w:shd w:val="clear" w:color="auto" w:fill="FFFFFF"/>
              </w:rPr>
              <w:t>)</w:t>
            </w:r>
          </w:p>
          <w:p>
            <w:pPr>
              <w:rPr>
                <w:rFonts w:ascii="等线" w:hAnsi="等线"/>
                <w:color w:val="auto"/>
              </w:rPr>
            </w:pPr>
            <w:r>
              <w:rPr>
                <w:rFonts w:ascii="宋体" w:hAnsi="宋体"/>
                <w:color w:val="auto"/>
                <w:shd w:val="clear" w:color="auto" w:fill="FFFFFF"/>
              </w:rPr>
              <w:t>检测与批准的设备防护眼部。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身体防护：</w:t>
            </w:r>
            <w:r>
              <w:rPr>
                <w:rFonts w:ascii="宋体" w:hAnsi="宋体"/>
                <w:color w:val="auto"/>
                <w:shd w:val="clear" w:color="auto" w:fill="FFFFFF"/>
              </w:rPr>
              <w:t>全套防化学试剂工作服</w:t>
            </w:r>
            <w:r>
              <w:rPr>
                <w:rFonts w:ascii="Helvetica" w:hAnsi="Helvetica"/>
                <w:color w:val="auto"/>
                <w:shd w:val="clear" w:color="auto" w:fill="FFFFFF"/>
              </w:rPr>
              <w:t xml:space="preserve">, </w:t>
            </w:r>
            <w:r>
              <w:rPr>
                <w:rFonts w:ascii="宋体" w:hAnsi="宋体"/>
                <w:color w:val="auto"/>
                <w:shd w:val="clear" w:color="auto" w:fill="FFFFFF"/>
              </w:rPr>
              <w:t>防护设备的类型必须根据特定工作场所中的危险物的浓度和数量来选择。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手防护：</w:t>
            </w:r>
            <w:r>
              <w:rPr>
                <w:rFonts w:ascii="宋体" w:hAnsi="宋体"/>
                <w:color w:val="auto"/>
                <w:shd w:val="clear" w:color="auto" w:fill="FFFFFF"/>
              </w:rPr>
              <w:t>戴手套取</w:t>
            </w:r>
            <w:r>
              <w:rPr>
                <w:rFonts w:ascii="Helvetica" w:hAnsi="Helvetica"/>
                <w:color w:val="auto"/>
                <w:shd w:val="clear" w:color="auto" w:fill="FFFFFF"/>
              </w:rPr>
              <w:t xml:space="preserve"> </w:t>
            </w:r>
            <w:r>
              <w:rPr>
                <w:rFonts w:ascii="宋体" w:hAnsi="宋体"/>
                <w:color w:val="auto"/>
                <w:shd w:val="clear" w:color="auto" w:fill="FFFFFF"/>
              </w:rPr>
              <w:t>手套在使用前必须受检查。</w:t>
            </w:r>
          </w:p>
          <w:p>
            <w:pPr>
              <w:rPr>
                <w:rFonts w:ascii="Helvetica" w:hAnsi="Helvetica"/>
                <w:color w:val="auto"/>
                <w:shd w:val="clear" w:color="auto" w:fill="FFFFFF"/>
              </w:rPr>
            </w:pPr>
            <w:r>
              <w:rPr>
                <w:rFonts w:ascii="宋体" w:hAnsi="宋体"/>
                <w:color w:val="auto"/>
                <w:shd w:val="clear" w:color="auto" w:fill="FFFFFF"/>
              </w:rPr>
              <w:t>请使用合适的方法脱除手套</w:t>
            </w:r>
            <w:r>
              <w:rPr>
                <w:rFonts w:ascii="Helvetica" w:hAnsi="Helvetica"/>
                <w:color w:val="auto"/>
                <w:shd w:val="clear" w:color="auto" w:fill="FFFFFF"/>
              </w:rPr>
              <w:t>(</w:t>
            </w:r>
            <w:r>
              <w:rPr>
                <w:rFonts w:ascii="宋体" w:hAnsi="宋体"/>
                <w:color w:val="auto"/>
                <w:shd w:val="clear" w:color="auto" w:fill="FFFFFF"/>
              </w:rPr>
              <w:t>不要接触手套外部表面</w:t>
            </w:r>
            <w:r>
              <w:rPr>
                <w:rFonts w:ascii="Helvetica" w:hAnsi="Helvetica"/>
                <w:color w:val="auto"/>
                <w:shd w:val="clear" w:color="auto" w:fill="FFFFFF"/>
              </w:rPr>
              <w:t>),</w:t>
            </w:r>
            <w:r>
              <w:rPr>
                <w:rFonts w:ascii="宋体" w:hAnsi="宋体"/>
                <w:color w:val="auto"/>
                <w:shd w:val="clear" w:color="auto" w:fill="FFFFFF"/>
              </w:rPr>
              <w:t>避免任何皮肤部位接触此产品</w:t>
            </w:r>
            <w:r>
              <w:rPr>
                <w:rFonts w:ascii="Helvetica" w:hAnsi="Helvetica"/>
                <w:color w:val="auto"/>
                <w:shd w:val="clear" w:color="auto" w:fill="FFFFFF"/>
              </w:rPr>
              <w:t>.</w:t>
            </w:r>
          </w:p>
          <w:p>
            <w:pPr>
              <w:rPr>
                <w:rFonts w:ascii="Helvetica" w:hAnsi="Helvetica"/>
                <w:color w:val="auto"/>
                <w:shd w:val="clear" w:color="auto" w:fill="FFFFFF"/>
              </w:rPr>
            </w:pPr>
            <w:r>
              <w:rPr>
                <w:rFonts w:ascii="宋体" w:hAnsi="宋体"/>
                <w:color w:val="auto"/>
                <w:shd w:val="clear" w:color="auto" w:fill="FFFFFF"/>
              </w:rPr>
              <w:t>使用后请将被污染过的手套根据相关法律法规和有效的实验室规章程序谨慎处理</w:t>
            </w:r>
            <w:r>
              <w:rPr>
                <w:rFonts w:ascii="Helvetica" w:hAnsi="Helvetica"/>
                <w:color w:val="auto"/>
                <w:shd w:val="clear" w:color="auto" w:fill="FFFFFF"/>
              </w:rPr>
              <w:t xml:space="preserve">. </w:t>
            </w:r>
            <w:r>
              <w:rPr>
                <w:rFonts w:ascii="宋体" w:hAnsi="宋体"/>
                <w:color w:val="auto"/>
                <w:shd w:val="clear" w:color="auto" w:fill="FFFFFF"/>
              </w:rPr>
              <w:t>请清洗并吹干双手</w:t>
            </w:r>
          </w:p>
          <w:p>
            <w:pPr>
              <w:rPr>
                <w:rFonts w:ascii="等线" w:hAnsi="等线"/>
                <w:color w:val="auto"/>
              </w:rPr>
            </w:pPr>
            <w:r>
              <w:rPr>
                <w:rFonts w:ascii="宋体" w:hAnsi="宋体"/>
                <w:color w:val="auto"/>
                <w:shd w:val="clear" w:color="auto" w:fill="FFFFFF"/>
              </w:rPr>
              <w:t>所选择的保护手套必须符合</w:t>
            </w:r>
            <w:r>
              <w:rPr>
                <w:rFonts w:ascii="Helvetica" w:hAnsi="Helvetica"/>
                <w:color w:val="auto"/>
                <w:shd w:val="clear" w:color="auto" w:fill="FFFFFF"/>
              </w:rPr>
              <w:t>EU</w:t>
            </w:r>
            <w:r>
              <w:rPr>
                <w:rFonts w:ascii="宋体" w:hAnsi="宋体"/>
                <w:color w:val="auto"/>
                <w:shd w:val="clear" w:color="auto" w:fill="FFFFFF"/>
              </w:rPr>
              <w:t>的</w:t>
            </w:r>
            <w:r>
              <w:rPr>
                <w:rFonts w:ascii="Helvetica" w:hAnsi="Helvetica"/>
                <w:color w:val="auto"/>
                <w:shd w:val="clear" w:color="auto" w:fill="FFFFFF"/>
              </w:rPr>
              <w:t>89/686/EEC</w:t>
            </w:r>
            <w:r>
              <w:rPr>
                <w:rFonts w:ascii="宋体" w:hAnsi="宋体"/>
                <w:color w:val="auto"/>
                <w:shd w:val="clear" w:color="auto" w:fill="FFFFFF"/>
              </w:rPr>
              <w:t>规定和从它衍生出来的</w:t>
            </w:r>
            <w:r>
              <w:rPr>
                <w:rFonts w:ascii="Helvetica" w:hAnsi="Helvetica"/>
                <w:color w:val="auto"/>
                <w:shd w:val="clear" w:color="auto" w:fill="FFFFFF"/>
              </w:rPr>
              <w:t>EN 376</w:t>
            </w:r>
            <w:r>
              <w:rPr>
                <w:rFonts w:ascii="宋体" w:hAnsi="宋体"/>
                <w:color w:val="auto"/>
                <w:shd w:val="clear" w:color="auto" w:fill="FFFFFF"/>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其他防护：暂无资料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b/>
                <w:bCs/>
                <w:color w:val="auto"/>
              </w:rPr>
            </w:pPr>
            <w:r>
              <w:rPr>
                <w:rFonts w:hint="eastAsia" w:ascii="宋体" w:hAnsi="宋体"/>
                <w:b/>
                <w:bCs/>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外观与性状：</w:t>
            </w:r>
            <w:r>
              <w:rPr>
                <w:rFonts w:ascii="宋体" w:hAnsi="宋体"/>
                <w:color w:val="auto"/>
                <w:shd w:val="clear" w:color="auto" w:fill="FFFFFF"/>
              </w:rPr>
              <w:t>白色至灰白色晶体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pH</w:t>
            </w:r>
            <w:r>
              <w:rPr>
                <w:rFonts w:hint="eastAsia" w:ascii="宋体" w:hAnsi="宋体"/>
                <w:color w:val="auto"/>
              </w:rPr>
              <w:t>：</w:t>
            </w:r>
            <w:r>
              <w:rPr>
                <w:rFonts w:ascii="Helvetica" w:hAnsi="Helvetica"/>
                <w:color w:val="auto"/>
                <w:shd w:val="clear" w:color="auto" w:fill="FFFFFF"/>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熔点</w:t>
            </w:r>
            <w:r>
              <w:rPr>
                <w:rFonts w:hint="eastAsia"/>
                <w:color w:val="auto"/>
              </w:rPr>
              <w:t>(℃)</w:t>
            </w:r>
            <w:r>
              <w:rPr>
                <w:rFonts w:hint="eastAsia" w:ascii="宋体" w:hAnsi="宋体"/>
                <w:color w:val="auto"/>
              </w:rPr>
              <w:t>：</w:t>
            </w:r>
            <w:r>
              <w:rPr>
                <w:rFonts w:ascii="Helvetica" w:hAnsi="Helvetica"/>
                <w:color w:val="auto"/>
                <w:shd w:val="clear" w:color="auto" w:fill="FFFFFF"/>
              </w:rPr>
              <w:t>170-172°C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r>
              <w:rPr>
                <w:rFonts w:ascii="Helvetica" w:hAnsi="Helvetica"/>
                <w:color w:val="auto"/>
                <w:shd w:val="clear" w:color="auto" w:fill="FFFFFF"/>
              </w:rPr>
              <w:t>1.3±0.1 g/cm3</w:t>
            </w:r>
            <w:r>
              <w:rPr>
                <w:rFonts w:ascii="Arial" w:hAnsi="Arial" w:cs="Arial"/>
                <w:color w:val="auto"/>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沸点</w:t>
            </w:r>
            <w:r>
              <w:rPr>
                <w:rFonts w:hint="eastAsia"/>
                <w:color w:val="auto"/>
              </w:rPr>
              <w:t>(℃)</w:t>
            </w:r>
            <w:r>
              <w:rPr>
                <w:rFonts w:hint="eastAsia" w:ascii="宋体" w:hAnsi="宋体"/>
                <w:color w:val="auto"/>
              </w:rPr>
              <w:t>：</w:t>
            </w:r>
            <w:r>
              <w:rPr>
                <w:rFonts w:ascii="Helvetica" w:hAnsi="Helvetica"/>
                <w:color w:val="auto"/>
                <w:shd w:val="clear" w:color="auto" w:fill="FFFFFF"/>
              </w:rPr>
              <w:t>426.5±55.0 °C at 760 mmHg</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相对蒸气密度</w:t>
            </w: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w:t>
            </w:r>
            <w:r>
              <w:rPr>
                <w:rFonts w:ascii="Helvetica" w:hAnsi="Helvetica"/>
                <w:color w:val="auto"/>
                <w:shd w:val="clear" w:color="auto" w:fill="FFFFFF"/>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分子式：</w:t>
            </w:r>
            <w:r>
              <w:rPr>
                <w:rFonts w:ascii="Helvetica" w:hAnsi="Helvetica"/>
                <w:color w:val="auto"/>
                <w:shd w:val="clear" w:color="auto" w:fill="FFFFFF"/>
              </w:rPr>
              <w:t>C</w:t>
            </w:r>
            <w:r>
              <w:rPr>
                <w:rFonts w:ascii="Helvetica" w:hAnsi="Helvetica"/>
                <w:color w:val="auto"/>
              </w:rPr>
              <w:t>12</w:t>
            </w:r>
            <w:r>
              <w:rPr>
                <w:rFonts w:ascii="Helvetica" w:hAnsi="Helvetica"/>
                <w:color w:val="auto"/>
                <w:shd w:val="clear" w:color="auto" w:fill="FFFFFF"/>
              </w:rPr>
              <w:t>H</w:t>
            </w:r>
            <w:r>
              <w:rPr>
                <w:rFonts w:ascii="Helvetica" w:hAnsi="Helvetica"/>
                <w:color w:val="auto"/>
              </w:rPr>
              <w:t>10</w:t>
            </w:r>
            <w:r>
              <w:rPr>
                <w:rFonts w:ascii="Helvetica" w:hAnsi="Helvetica"/>
                <w:color w:val="auto"/>
                <w:shd w:val="clear" w:color="auto" w:fill="FFFFFF"/>
              </w:rPr>
              <w:t>ClN</w:t>
            </w:r>
            <w:r>
              <w:rPr>
                <w:rFonts w:ascii="Helvetica" w:hAnsi="Helvetica"/>
                <w:color w:val="auto"/>
              </w:rPr>
              <w:t>3</w:t>
            </w:r>
            <w:r>
              <w:rPr>
                <w:rFonts w:ascii="Helvetica" w:hAnsi="Helvetica"/>
                <w:color w:val="auto"/>
                <w:shd w:val="clear" w:color="auto" w:fill="FFFFFF"/>
              </w:rPr>
              <w:t>O</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分子量：</w:t>
            </w:r>
            <w:r>
              <w:rPr>
                <w:rFonts w:ascii="Helvetica" w:hAnsi="Helvetica"/>
                <w:color w:val="auto"/>
                <w:shd w:val="clear" w:color="auto" w:fill="FFFFFF"/>
              </w:rPr>
              <w:t>247.680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主要成分：氯吡脲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r>
              <w:rPr>
                <w:rFonts w:ascii="Helvetica" w:hAnsi="Helvetica"/>
                <w:color w:val="auto"/>
                <w:shd w:val="clear" w:color="auto" w:fill="FFFFFF"/>
              </w:rPr>
              <w:t>0.0±1.1 mmHg at 25°C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燃烧热</w:t>
            </w:r>
            <w:r>
              <w:rPr>
                <w:rFonts w:hint="eastAsia"/>
                <w:color w:val="auto"/>
              </w:rPr>
              <w:t>(kJ/mol)</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临界温度</w:t>
            </w:r>
            <w:r>
              <w:rPr>
                <w:rFonts w:hint="eastAsia"/>
                <w:color w:val="auto"/>
              </w:rPr>
              <w:t>(℃)</w:t>
            </w:r>
            <w:r>
              <w:rPr>
                <w:rFonts w:hint="eastAsia" w:ascii="宋体" w:hAnsi="宋体"/>
                <w:color w:val="auto"/>
              </w:rPr>
              <w:t>：暂无资料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临界压力</w:t>
            </w:r>
            <w:r>
              <w:rPr>
                <w:rFonts w:hint="eastAsia"/>
                <w:color w:val="auto"/>
              </w:rPr>
              <w:t>(MPa)</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w:t>
            </w:r>
            <w:r>
              <w:rPr>
                <w:rFonts w:ascii="Helvetica" w:hAnsi="Helvetica"/>
                <w:color w:val="auto"/>
                <w:shd w:val="clear" w:color="auto" w:fill="FFFFFF"/>
              </w:rPr>
              <w:t xml:space="preserve"> 3.2 </w:t>
            </w:r>
            <w:r>
              <w:rPr>
                <w:rFonts w:ascii="宋体" w:hAnsi="宋体"/>
                <w:color w:val="auto"/>
                <w:shd w:val="clear" w:color="auto" w:fill="FFFFFF"/>
              </w:rPr>
              <w:t xml:space="preserve">在 </w:t>
            </w:r>
            <w:r>
              <w:rPr>
                <w:rFonts w:ascii="Helvetica" w:hAnsi="Helvetica"/>
                <w:color w:val="auto"/>
                <w:shd w:val="clear" w:color="auto" w:fill="FFFFFF"/>
              </w:rPr>
              <w:t>20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闪点</w:t>
            </w:r>
            <w:r>
              <w:rPr>
                <w:rFonts w:hint="eastAsia"/>
                <w:color w:val="auto"/>
              </w:rPr>
              <w:t>(℃)</w:t>
            </w:r>
            <w:r>
              <w:rPr>
                <w:rFonts w:hint="eastAsia" w:ascii="宋体" w:hAnsi="宋体"/>
                <w:color w:val="auto"/>
              </w:rPr>
              <w:t>：</w:t>
            </w:r>
            <w:r>
              <w:rPr>
                <w:rFonts w:ascii="Helvetica" w:hAnsi="Helvetica"/>
                <w:color w:val="auto"/>
                <w:shd w:val="clear" w:color="auto" w:fill="FFFFFF"/>
              </w:rPr>
              <w:t>211.7±31.5 °C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爆炸上限</w:t>
            </w:r>
            <w:r>
              <w:rPr>
                <w:rFonts w:hint="eastAsia"/>
                <w:color w:val="auto"/>
              </w:rPr>
              <w:t>%(V/V)</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引燃温度</w:t>
            </w:r>
            <w:r>
              <w:rPr>
                <w:rFonts w:hint="eastAsia"/>
                <w:color w:val="auto"/>
              </w:rPr>
              <w:t>(℃)</w:t>
            </w:r>
            <w:r>
              <w:rPr>
                <w:rFonts w:hint="eastAsia" w:ascii="宋体" w:hAnsi="宋体"/>
                <w:color w:val="auto"/>
              </w:rPr>
              <w:t>：暂无资料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爆炸下限</w:t>
            </w:r>
            <w:r>
              <w:rPr>
                <w:rFonts w:hint="eastAsia"/>
                <w:color w:val="auto"/>
              </w:rPr>
              <w:t>%(V/V)</w:t>
            </w:r>
            <w:r>
              <w:rPr>
                <w:rFonts w:hint="eastAsia" w:ascii="宋体" w:hAnsi="宋体"/>
                <w:color w:val="auto"/>
              </w:rPr>
              <w:t>：暂无资料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溶解性：</w:t>
            </w:r>
            <w:r>
              <w:rPr>
                <w:rFonts w:ascii="Helvetica" w:hAnsi="Helvetica"/>
                <w:color w:val="auto"/>
                <w:shd w:val="clear" w:color="auto" w:fill="FFFFFF"/>
              </w:rPr>
              <w:t xml:space="preserve">0.039 g/l </w:t>
            </w:r>
            <w:r>
              <w:rPr>
                <w:rFonts w:ascii="宋体" w:hAnsi="宋体"/>
                <w:color w:val="auto"/>
                <w:shd w:val="clear" w:color="auto" w:fill="FFFFFF"/>
              </w:rPr>
              <w:t xml:space="preserve">在 </w:t>
            </w:r>
            <w:r>
              <w:rPr>
                <w:rFonts w:ascii="Helvetica" w:hAnsi="Helvetica"/>
                <w:color w:val="auto"/>
                <w:shd w:val="clear" w:color="auto" w:fill="FFFFFF"/>
              </w:rPr>
              <w:t>21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主要用途：</w:t>
            </w:r>
            <w:r>
              <w:rPr>
                <w:rFonts w:ascii="宋体" w:hAnsi="宋体"/>
                <w:color w:val="auto"/>
                <w:shd w:val="clear" w:color="auto" w:fill="FFFFFF"/>
              </w:rPr>
              <w:t>仅用于研发。不作为药品、家庭或其它用途。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其它理化性质：暂无资料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稳定性：</w:t>
            </w:r>
            <w:r>
              <w:rPr>
                <w:rFonts w:ascii="宋体" w:hAnsi="宋体"/>
                <w:color w:val="auto"/>
                <w:shd w:val="clear" w:color="auto" w:fill="FFFFFF"/>
              </w:rPr>
              <w:t>远离氧化物。对兔皮肤有轻度刺激性。</w:t>
            </w:r>
            <w:r>
              <w:rPr>
                <w:rFonts w:ascii="Helvetica" w:hAnsi="Helvetica"/>
                <w:color w:val="auto"/>
                <w:shd w:val="clear" w:color="auto" w:fill="FFFFFF"/>
              </w:rPr>
              <w:t>Ames</w:t>
            </w:r>
            <w:r>
              <w:rPr>
                <w:rFonts w:ascii="宋体" w:hAnsi="宋体"/>
                <w:color w:val="auto"/>
                <w:shd w:val="clear" w:color="auto" w:fill="FFFFFF"/>
              </w:rPr>
              <w:t>、试验和微核试验显示无致突变作用。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禁配物：强氧化剂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避免接触的条件：暂无资料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聚合危害：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分解产物：</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急性毒性：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LD50</w:t>
            </w:r>
            <w:r>
              <w:rPr>
                <w:rFonts w:hint="eastAsia" w:ascii="宋体" w:hAnsi="宋体"/>
                <w:color w:val="auto"/>
              </w:rPr>
              <w:t>：</w:t>
            </w:r>
            <w:r>
              <w:rPr>
                <w:rFonts w:ascii="宋体" w:hAnsi="宋体"/>
                <w:color w:val="auto"/>
                <w:shd w:val="clear" w:color="auto" w:fill="FFFFFF"/>
              </w:rPr>
              <w:t>经口</w:t>
            </w:r>
            <w:r>
              <w:rPr>
                <w:rFonts w:ascii="Helvetica" w:hAnsi="Helvetica"/>
                <w:color w:val="auto"/>
                <w:shd w:val="clear" w:color="auto" w:fill="FFFFFF"/>
              </w:rPr>
              <w:t xml:space="preserve"> - </w:t>
            </w:r>
            <w:r>
              <w:rPr>
                <w:rFonts w:ascii="宋体" w:hAnsi="宋体"/>
                <w:color w:val="auto"/>
                <w:shd w:val="clear" w:color="auto" w:fill="FFFFFF"/>
              </w:rPr>
              <w:t xml:space="preserve">大鼠 </w:t>
            </w:r>
            <w:r>
              <w:rPr>
                <w:rFonts w:ascii="Helvetica" w:hAnsi="Helvetica"/>
                <w:color w:val="auto"/>
                <w:shd w:val="clear" w:color="auto" w:fill="FFFFFF"/>
              </w:rPr>
              <w:t xml:space="preserve">- </w:t>
            </w:r>
            <w:r>
              <w:rPr>
                <w:rFonts w:ascii="宋体" w:hAnsi="宋体"/>
                <w:color w:val="auto"/>
                <w:shd w:val="clear" w:color="auto" w:fill="FFFFFF"/>
              </w:rPr>
              <w:t xml:space="preserve">雄性 </w:t>
            </w:r>
            <w:r>
              <w:rPr>
                <w:rFonts w:ascii="Helvetica" w:hAnsi="Helvetica"/>
                <w:color w:val="auto"/>
                <w:shd w:val="clear" w:color="auto" w:fill="FFFFFF"/>
              </w:rPr>
              <w:t>- 2,787 mg/kg</w:t>
            </w:r>
            <w:r>
              <w:rPr>
                <w:rFonts w:hint="eastAsia" w:ascii="宋体" w:hAnsi="宋体" w:cs="Helvetica"/>
                <w:color w:val="auto"/>
                <w:shd w:val="clear" w:color="auto" w:fill="FFFFFF"/>
              </w:rPr>
              <w:t>；</w:t>
            </w:r>
            <w:r>
              <w:rPr>
                <w:rFonts w:ascii="宋体" w:hAnsi="宋体"/>
                <w:color w:val="auto"/>
                <w:shd w:val="clear" w:color="auto" w:fill="FFFFFF"/>
              </w:rPr>
              <w:t>经口</w:t>
            </w:r>
            <w:r>
              <w:rPr>
                <w:rFonts w:ascii="Helvetica" w:hAnsi="Helvetica"/>
                <w:color w:val="auto"/>
                <w:shd w:val="clear" w:color="auto" w:fill="FFFFFF"/>
              </w:rPr>
              <w:t xml:space="preserve"> - </w:t>
            </w:r>
            <w:r>
              <w:rPr>
                <w:rFonts w:ascii="宋体" w:hAnsi="宋体"/>
                <w:color w:val="auto"/>
                <w:shd w:val="clear" w:color="auto" w:fill="FFFFFF"/>
              </w:rPr>
              <w:t xml:space="preserve">大鼠 </w:t>
            </w:r>
            <w:r>
              <w:rPr>
                <w:rFonts w:ascii="Helvetica" w:hAnsi="Helvetica"/>
                <w:color w:val="auto"/>
                <w:shd w:val="clear" w:color="auto" w:fill="FFFFFF"/>
              </w:rPr>
              <w:t xml:space="preserve">- </w:t>
            </w:r>
            <w:r>
              <w:rPr>
                <w:rFonts w:ascii="宋体" w:hAnsi="宋体"/>
                <w:color w:val="auto"/>
                <w:shd w:val="clear" w:color="auto" w:fill="FFFFFF"/>
              </w:rPr>
              <w:t xml:space="preserve">雌性 </w:t>
            </w:r>
            <w:r>
              <w:rPr>
                <w:rFonts w:ascii="Helvetica" w:hAnsi="Helvetica"/>
                <w:color w:val="auto"/>
                <w:shd w:val="clear" w:color="auto" w:fill="FFFFFF"/>
              </w:rPr>
              <w:t>- 1,568 mg/kg</w:t>
            </w:r>
            <w:r>
              <w:rPr>
                <w:rFonts w:hint="eastAsia" w:ascii="宋体" w:hAnsi="宋体" w:cs="Helvetica"/>
                <w:color w:val="auto"/>
                <w:shd w:val="clear" w:color="auto" w:fill="FFFFFF"/>
              </w:rPr>
              <w:t>；</w:t>
            </w:r>
            <w:r>
              <w:rPr>
                <w:rFonts w:ascii="宋体" w:hAnsi="宋体"/>
                <w:color w:val="auto"/>
                <w:shd w:val="clear" w:color="auto" w:fill="FFFFFF"/>
              </w:rPr>
              <w:t>经口</w:t>
            </w:r>
            <w:r>
              <w:rPr>
                <w:rFonts w:ascii="Helvetica" w:hAnsi="Helvetica"/>
                <w:color w:val="auto"/>
                <w:shd w:val="clear" w:color="auto" w:fill="FFFFFF"/>
              </w:rPr>
              <w:t xml:space="preserve"> - </w:t>
            </w:r>
            <w:r>
              <w:rPr>
                <w:rFonts w:ascii="宋体" w:hAnsi="宋体"/>
                <w:color w:val="auto"/>
                <w:shd w:val="clear" w:color="auto" w:fill="FFFFFF"/>
              </w:rPr>
              <w:t xml:space="preserve">小鼠 </w:t>
            </w:r>
            <w:r>
              <w:rPr>
                <w:rFonts w:ascii="Helvetica" w:hAnsi="Helvetica"/>
                <w:color w:val="auto"/>
                <w:shd w:val="clear" w:color="auto" w:fill="FFFFFF"/>
              </w:rPr>
              <w:t xml:space="preserve">- </w:t>
            </w:r>
            <w:r>
              <w:rPr>
                <w:rFonts w:ascii="宋体" w:hAnsi="宋体"/>
                <w:color w:val="auto"/>
                <w:shd w:val="clear" w:color="auto" w:fill="FFFFFF"/>
              </w:rPr>
              <w:t xml:space="preserve">雄性 </w:t>
            </w:r>
            <w:r>
              <w:rPr>
                <w:rFonts w:ascii="Helvetica" w:hAnsi="Helvetica"/>
                <w:color w:val="auto"/>
                <w:shd w:val="clear" w:color="auto" w:fill="FFFFFF"/>
              </w:rPr>
              <w:t>- 2,218 mg/kg</w:t>
            </w:r>
            <w:r>
              <w:rPr>
                <w:rFonts w:hint="eastAsia" w:ascii="宋体" w:hAnsi="宋体" w:cs="Helvetica"/>
                <w:color w:val="auto"/>
                <w:shd w:val="clear" w:color="auto" w:fill="FFFFFF"/>
              </w:rPr>
              <w:t>；</w:t>
            </w:r>
            <w:r>
              <w:rPr>
                <w:rFonts w:ascii="宋体" w:hAnsi="宋体"/>
                <w:color w:val="auto"/>
                <w:shd w:val="clear" w:color="auto" w:fill="FFFFFF"/>
              </w:rPr>
              <w:t>经口</w:t>
            </w:r>
            <w:r>
              <w:rPr>
                <w:rFonts w:ascii="Helvetica" w:hAnsi="Helvetica"/>
                <w:color w:val="auto"/>
                <w:shd w:val="clear" w:color="auto" w:fill="FFFFFF"/>
              </w:rPr>
              <w:t xml:space="preserve"> - </w:t>
            </w:r>
            <w:r>
              <w:rPr>
                <w:rFonts w:ascii="宋体" w:hAnsi="宋体"/>
                <w:color w:val="auto"/>
                <w:shd w:val="clear" w:color="auto" w:fill="FFFFFF"/>
              </w:rPr>
              <w:t xml:space="preserve">小鼠 </w:t>
            </w:r>
            <w:r>
              <w:rPr>
                <w:rFonts w:ascii="Helvetica" w:hAnsi="Helvetica"/>
                <w:color w:val="auto"/>
                <w:shd w:val="clear" w:color="auto" w:fill="FFFFFF"/>
              </w:rPr>
              <w:t xml:space="preserve">- </w:t>
            </w:r>
            <w:r>
              <w:rPr>
                <w:rFonts w:ascii="宋体" w:hAnsi="宋体"/>
                <w:color w:val="auto"/>
                <w:shd w:val="clear" w:color="auto" w:fill="FFFFFF"/>
              </w:rPr>
              <w:t xml:space="preserve">雌性 </w:t>
            </w:r>
            <w:r>
              <w:rPr>
                <w:rFonts w:ascii="Helvetica" w:hAnsi="Helvetica"/>
                <w:color w:val="auto"/>
                <w:shd w:val="clear" w:color="auto" w:fill="FFFFFF"/>
              </w:rPr>
              <w:t>- 2,783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LC50</w:t>
            </w:r>
            <w:r>
              <w:rPr>
                <w:rFonts w:hint="eastAsia" w:ascii="宋体" w:hAnsi="宋体"/>
                <w:color w:val="auto"/>
              </w:rPr>
              <w:t>：</w:t>
            </w:r>
            <w:r>
              <w:rPr>
                <w:rFonts w:ascii="Helvetica" w:hAnsi="Helvetica"/>
                <w:color w:val="auto"/>
                <w:shd w:val="clear" w:color="auto" w:fill="FFFFFF"/>
              </w:rPr>
              <w:t> </w:t>
            </w:r>
            <w:r>
              <w:rPr>
                <w:rFonts w:ascii="宋体" w:hAnsi="宋体"/>
                <w:color w:val="auto"/>
                <w:shd w:val="clear" w:color="auto" w:fill="FFFFFF"/>
              </w:rPr>
              <w:t xml:space="preserve">虹鳟 </w:t>
            </w:r>
            <w:r>
              <w:rPr>
                <w:rFonts w:ascii="Helvetica" w:hAnsi="Helvetica"/>
                <w:color w:val="auto"/>
                <w:shd w:val="clear" w:color="auto" w:fill="FFFFFF"/>
              </w:rPr>
              <w:t>(</w:t>
            </w:r>
            <w:r>
              <w:rPr>
                <w:rFonts w:ascii="宋体" w:hAnsi="宋体"/>
                <w:color w:val="auto"/>
                <w:shd w:val="clear" w:color="auto" w:fill="FFFFFF"/>
              </w:rPr>
              <w:t>红鳟鱼</w:t>
            </w:r>
            <w:r>
              <w:rPr>
                <w:rFonts w:ascii="Helvetica" w:hAnsi="Helvetica"/>
                <w:color w:val="auto"/>
                <w:shd w:val="clear" w:color="auto" w:fill="FFFFFF"/>
              </w:rPr>
              <w:t>) - 9.2 mg/l</w:t>
            </w:r>
            <w:r>
              <w:rPr>
                <w:rFonts w:hint="eastAsia" w:ascii="宋体" w:hAnsi="宋体" w:cs="Helvetica"/>
                <w:color w:val="auto"/>
                <w:shd w:val="clear" w:color="auto" w:fill="FFFFFF"/>
              </w:rPr>
              <w:t>；</w:t>
            </w:r>
            <w:r>
              <w:rPr>
                <w:rFonts w:ascii="Helvetica" w:hAnsi="Helvetica"/>
                <w:color w:val="auto"/>
                <w:shd w:val="clear" w:color="auto" w:fill="FFFFFF"/>
              </w:rPr>
              <w:t> </w:t>
            </w:r>
            <w:r>
              <w:rPr>
                <w:rFonts w:ascii="宋体" w:hAnsi="宋体"/>
                <w:color w:val="auto"/>
                <w:shd w:val="clear" w:color="auto" w:fill="FFFFFF"/>
              </w:rPr>
              <w:t>鲫鱼</w:t>
            </w:r>
            <w:r>
              <w:rPr>
                <w:rFonts w:ascii="Helvetica" w:hAnsi="Helvetica"/>
                <w:color w:val="auto"/>
                <w:shd w:val="clear" w:color="auto" w:fill="FFFFFF"/>
              </w:rPr>
              <w:t>(</w:t>
            </w:r>
            <w:r>
              <w:rPr>
                <w:rFonts w:ascii="宋体" w:hAnsi="宋体"/>
                <w:color w:val="auto"/>
                <w:shd w:val="clear" w:color="auto" w:fill="FFFFFF"/>
              </w:rPr>
              <w:t>金鱼</w:t>
            </w:r>
            <w:r>
              <w:rPr>
                <w:rFonts w:ascii="Helvetica" w:hAnsi="Helvetica"/>
                <w:color w:val="auto"/>
                <w:shd w:val="clear" w:color="auto" w:fill="FFFFFF"/>
              </w:rPr>
              <w:t>) - 10 - 40 mg/l</w:t>
            </w:r>
            <w:r>
              <w:rPr>
                <w:rFonts w:hint="eastAsia" w:ascii="宋体" w:hAnsi="宋体" w:cs="Helvetica"/>
                <w:color w:val="auto"/>
                <w:shd w:val="clear" w:color="auto" w:fill="FFFFFF"/>
              </w:rPr>
              <w:t>；</w:t>
            </w:r>
            <w:r>
              <w:rPr>
                <w:rFonts w:ascii="Helvetica" w:hAnsi="Helvetica"/>
                <w:color w:val="auto"/>
                <w:shd w:val="clear" w:color="auto" w:fill="FFFFFF"/>
              </w:rPr>
              <w:t> </w:t>
            </w:r>
            <w:r>
              <w:rPr>
                <w:rFonts w:ascii="宋体" w:hAnsi="宋体"/>
                <w:color w:val="auto"/>
                <w:shd w:val="clear" w:color="auto" w:fill="FFFFFF"/>
              </w:rPr>
              <w:t xml:space="preserve">鲫属 </w:t>
            </w:r>
            <w:r>
              <w:rPr>
                <w:rFonts w:ascii="Helvetica" w:hAnsi="Helvetica"/>
                <w:color w:val="auto"/>
                <w:shd w:val="clear" w:color="auto" w:fill="FFFFFF"/>
              </w:rPr>
              <w:t>(</w:t>
            </w:r>
            <w:r>
              <w:rPr>
                <w:rFonts w:ascii="宋体" w:hAnsi="宋体"/>
                <w:color w:val="auto"/>
                <w:shd w:val="clear" w:color="auto" w:fill="FFFFFF"/>
              </w:rPr>
              <w:t>鲤鱼</w:t>
            </w:r>
            <w:r>
              <w:rPr>
                <w:rFonts w:ascii="Helvetica" w:hAnsi="Helvetica"/>
                <w:color w:val="auto"/>
                <w:shd w:val="clear" w:color="auto" w:fill="FFFFFF"/>
              </w:rPr>
              <w:t>) - 8.6 mg/l</w:t>
            </w:r>
            <w:r>
              <w:rPr>
                <w:rFonts w:hint="eastAsia" w:ascii="宋体" w:hAnsi="宋体" w:cs="Helvetica"/>
                <w:color w:val="auto"/>
                <w:shd w:val="clear" w:color="auto" w:fill="FFFFFF"/>
              </w:rPr>
              <w:t>；</w:t>
            </w:r>
            <w:r>
              <w:rPr>
                <w:rFonts w:ascii="Helvetica" w:hAnsi="Helvetica"/>
                <w:color w:val="auto"/>
                <w:shd w:val="clear" w:color="auto" w:fill="FFFFFF"/>
              </w:rPr>
              <w:t> </w:t>
            </w:r>
            <w:r>
              <w:rPr>
                <w:rFonts w:ascii="宋体" w:hAnsi="宋体"/>
                <w:color w:val="auto"/>
                <w:shd w:val="clear" w:color="auto" w:fill="FFFFFF"/>
              </w:rPr>
              <w:t xml:space="preserve">水蚤 </w:t>
            </w:r>
            <w:r>
              <w:rPr>
                <w:rFonts w:ascii="Helvetica" w:hAnsi="Helvetica"/>
                <w:color w:val="auto"/>
                <w:shd w:val="clear" w:color="auto" w:fill="FFFFFF"/>
              </w:rPr>
              <w:t>- 8.0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亚急性和慢性毒性：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刺激性：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致敏性：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致突变性：</w:t>
            </w:r>
            <w:r>
              <w:rPr>
                <w:rFonts w:ascii="宋体" w:hAnsi="宋体"/>
                <w:color w:val="auto"/>
                <w:shd w:val="clear" w:color="auto" w:fill="FFFFFF"/>
              </w:rPr>
              <w:t>细胞突变性</w:t>
            </w:r>
            <w:r>
              <w:rPr>
                <w:rFonts w:ascii="Helvetica" w:hAnsi="Helvetica"/>
                <w:color w:val="auto"/>
                <w:shd w:val="clear" w:color="auto" w:fill="FFFFFF"/>
              </w:rPr>
              <w:t>-</w:t>
            </w:r>
            <w:r>
              <w:rPr>
                <w:rFonts w:ascii="宋体" w:hAnsi="宋体"/>
                <w:color w:val="auto"/>
                <w:shd w:val="clear" w:color="auto" w:fill="FFFFFF"/>
              </w:rPr>
              <w:t xml:space="preserve">体外试验 </w:t>
            </w:r>
            <w:r>
              <w:rPr>
                <w:rFonts w:ascii="Helvetica" w:hAnsi="Helvetica"/>
                <w:color w:val="auto"/>
                <w:shd w:val="clear" w:color="auto" w:fill="FFFFFF"/>
              </w:rPr>
              <w:t xml:space="preserve">- Ames </w:t>
            </w:r>
            <w:r>
              <w:rPr>
                <w:rFonts w:ascii="宋体" w:hAnsi="宋体"/>
                <w:color w:val="auto"/>
                <w:shd w:val="clear" w:color="auto" w:fill="FFFFFF"/>
              </w:rPr>
              <w:t xml:space="preserve">试验（艾姆斯试验） </w:t>
            </w:r>
            <w:r>
              <w:rPr>
                <w:rFonts w:ascii="Helvetica" w:hAnsi="Helvetica"/>
                <w:color w:val="auto"/>
                <w:shd w:val="clear" w:color="auto" w:fill="FFFFFF"/>
              </w:rPr>
              <w:t xml:space="preserve">- </w:t>
            </w:r>
            <w:r>
              <w:rPr>
                <w:rFonts w:ascii="宋体" w:hAnsi="宋体"/>
                <w:color w:val="auto"/>
                <w:shd w:val="clear" w:color="auto" w:fill="FFFFFF"/>
              </w:rPr>
              <w:t xml:space="preserve">鼠伤寒沙门氏菌 </w:t>
            </w:r>
            <w:r>
              <w:rPr>
                <w:rFonts w:ascii="Helvetica" w:hAnsi="Helvetica"/>
                <w:color w:val="auto"/>
                <w:shd w:val="clear" w:color="auto" w:fill="FFFFFF"/>
              </w:rPr>
              <w:t xml:space="preserve">- </w:t>
            </w:r>
            <w:r>
              <w:rPr>
                <w:rFonts w:ascii="宋体" w:hAnsi="宋体"/>
                <w:color w:val="auto"/>
                <w:shd w:val="clear" w:color="auto" w:fill="FFFFFF"/>
              </w:rPr>
              <w:t>阳性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致畸性：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致癌性：</w:t>
            </w:r>
            <w:r>
              <w:rPr>
                <w:rFonts w:ascii="宋体" w:hAnsi="宋体"/>
                <w:color w:val="auto"/>
                <w:shd w:val="clear" w:color="auto" w:fill="FFFFFF"/>
              </w:rPr>
              <w:t>此产品中没有大于或等于</w:t>
            </w:r>
            <w:r>
              <w:rPr>
                <w:rFonts w:ascii="Helvetica" w:hAnsi="Helvetica"/>
                <w:color w:val="auto"/>
                <w:shd w:val="clear" w:color="auto" w:fill="FFFFFF"/>
              </w:rPr>
              <w:t xml:space="preserve"> 0</w:t>
            </w:r>
            <w:r>
              <w:rPr>
                <w:rFonts w:ascii="宋体" w:hAnsi="宋体"/>
                <w:color w:val="auto"/>
                <w:shd w:val="clear" w:color="auto" w:fill="FFFFFF"/>
              </w:rPr>
              <w:t>。</w:t>
            </w:r>
            <w:r>
              <w:rPr>
                <w:rFonts w:ascii="Helvetica" w:hAnsi="Helvetica"/>
                <w:color w:val="auto"/>
                <w:shd w:val="clear" w:color="auto" w:fill="FFFFFF"/>
              </w:rPr>
              <w:t>1%</w:t>
            </w:r>
            <w:r>
              <w:rPr>
                <w:rFonts w:ascii="宋体" w:hAnsi="宋体"/>
                <w:color w:val="auto"/>
                <w:shd w:val="clear" w:color="auto" w:fill="FFFFFF"/>
              </w:rPr>
              <w:t xml:space="preserve">含量的组分被 </w:t>
            </w:r>
            <w:r>
              <w:rPr>
                <w:rFonts w:ascii="Helvetica" w:hAnsi="Helvetica"/>
                <w:color w:val="auto"/>
                <w:shd w:val="clear" w:color="auto" w:fill="FFFFFF"/>
              </w:rPr>
              <w:t>IARC</w:t>
            </w:r>
            <w:r>
              <w:rPr>
                <w:rFonts w:ascii="宋体" w:hAnsi="宋体"/>
                <w:color w:val="auto"/>
                <w:shd w:val="clear" w:color="auto" w:fill="FFFFFF"/>
              </w:rPr>
              <w:t>鉴别为可能的或肯定的人类致癌物。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生态毒理毒性：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生物降解性：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非生物降解性：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生物富集或生物积累性：</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其它有害作用：</w:t>
            </w:r>
            <w:r>
              <w:rPr>
                <w:rFonts w:ascii="宋体" w:hAnsi="宋体"/>
                <w:color w:val="auto"/>
                <w:shd w:val="clear" w:color="auto" w:fill="FFFFFF"/>
              </w:rPr>
              <w:t>对水生生物有毒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废弃物性质：</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废弃处置方法：</w:t>
            </w:r>
            <w:r>
              <w:rPr>
                <w:rFonts w:ascii="宋体" w:hAnsi="宋体"/>
                <w:color w:val="auto"/>
                <w:shd w:val="clear" w:color="auto" w:fill="FFFFFF"/>
              </w:rPr>
              <w:t>将剩余的和不可回收的溶液交给有许可证的公司处理。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废弃注意事项：</w:t>
            </w:r>
            <w:r>
              <w:rPr>
                <w:rFonts w:ascii="宋体" w:hAnsi="宋体"/>
                <w:color w:val="auto"/>
                <w:shd w:val="clear" w:color="auto" w:fill="FFFFFF"/>
              </w:rPr>
              <w:t>与易燃溶剂相溶或者相混合，在备有燃烧后处理和洗刷作用的化学焚化炉中燃烧</w:t>
            </w:r>
          </w:p>
          <w:p>
            <w:pPr>
              <w:rPr>
                <w:rFonts w:ascii="Helvetica" w:hAnsi="Helvetica"/>
                <w:color w:val="auto"/>
                <w:shd w:val="clear" w:color="auto" w:fill="FFFFFF"/>
              </w:rPr>
            </w:pPr>
            <w:r>
              <w:rPr>
                <w:rFonts w:ascii="宋体" w:hAnsi="宋体"/>
                <w:color w:val="auto"/>
                <w:shd w:val="clear" w:color="auto" w:fill="FFFFFF"/>
              </w:rPr>
              <w:t>受污染的容器和包装</w:t>
            </w:r>
          </w:p>
          <w:p>
            <w:pPr>
              <w:rPr>
                <w:rFonts w:ascii="等线" w:hAnsi="等线"/>
                <w:color w:val="auto"/>
              </w:rPr>
            </w:pPr>
            <w:r>
              <w:rPr>
                <w:rFonts w:ascii="宋体" w:hAnsi="宋体"/>
                <w:color w:val="auto"/>
                <w:shd w:val="clear" w:color="auto" w:fill="FFFFFF"/>
              </w:rPr>
              <w:t>按未用产品处置。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危险货物编号：</w:t>
            </w:r>
            <w:r>
              <w:rPr>
                <w:rFonts w:ascii="宋体" w:hAnsi="宋体"/>
                <w:color w:val="auto"/>
                <w:shd w:val="clear" w:color="auto" w:fill="FFFFFF"/>
              </w:rPr>
              <w:t>欧洲陆运危规</w:t>
            </w:r>
            <w:r>
              <w:rPr>
                <w:rFonts w:ascii="Helvetica" w:hAnsi="Helvetica"/>
                <w:color w:val="auto"/>
                <w:shd w:val="clear" w:color="auto" w:fill="FFFFFF"/>
              </w:rPr>
              <w:t>: 3077</w:t>
            </w:r>
            <w:r>
              <w:rPr>
                <w:rFonts w:ascii="宋体" w:hAnsi="宋体"/>
                <w:color w:val="auto"/>
                <w:shd w:val="clear" w:color="auto" w:fill="FFFFFF"/>
              </w:rPr>
              <w:t>国际海运危规</w:t>
            </w:r>
            <w:r>
              <w:rPr>
                <w:rFonts w:ascii="Helvetica" w:hAnsi="Helvetica"/>
                <w:color w:val="auto"/>
                <w:shd w:val="clear" w:color="auto" w:fill="FFFFFF"/>
              </w:rPr>
              <w:t>: 3077</w:t>
            </w:r>
            <w:r>
              <w:rPr>
                <w:rFonts w:ascii="宋体" w:hAnsi="宋体"/>
                <w:color w:val="auto"/>
                <w:shd w:val="clear" w:color="auto" w:fill="FFFFFF"/>
              </w:rPr>
              <w:t>国际空运危规</w:t>
            </w:r>
            <w:r>
              <w:rPr>
                <w:rFonts w:ascii="Helvetica" w:hAnsi="Helvetica"/>
                <w:color w:val="auto"/>
                <w:shd w:val="clear" w:color="auto" w:fill="FFFFFF"/>
              </w:rPr>
              <w:t>: 3077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color w:val="auto"/>
              </w:rPr>
              <w:t>UN</w:t>
            </w:r>
            <w:r>
              <w:rPr>
                <w:rFonts w:hint="eastAsia" w:ascii="宋体" w:hAnsi="宋体"/>
                <w:color w:val="auto"/>
              </w:rPr>
              <w:t>编号：</w:t>
            </w:r>
            <w:r>
              <w:rPr>
                <w:rFonts w:ascii="宋体" w:hAnsi="宋体"/>
                <w:color w:val="auto"/>
                <w:shd w:val="clear" w:color="auto" w:fill="FFFFFF"/>
              </w:rPr>
              <w:t>欧洲陆运危规</w:t>
            </w:r>
            <w:r>
              <w:rPr>
                <w:rFonts w:ascii="Helvetica" w:hAnsi="Helvetica"/>
                <w:color w:val="auto"/>
                <w:shd w:val="clear" w:color="auto" w:fill="FFFFFF"/>
              </w:rPr>
              <w:t>: ENVIRONMENTALLY HAZARDOUS SUBSTANCE, SOLID, N.O.S. (Urea, N-(2-chloro-4-</w:t>
            </w:r>
          </w:p>
          <w:p>
            <w:pPr>
              <w:rPr>
                <w:rFonts w:ascii="Helvetica" w:hAnsi="Helvetica"/>
                <w:color w:val="auto"/>
                <w:shd w:val="clear" w:color="auto" w:fill="FFFFFF"/>
              </w:rPr>
            </w:pPr>
            <w:r>
              <w:rPr>
                <w:rFonts w:ascii="Helvetica" w:hAnsi="Helvetica"/>
                <w:color w:val="auto"/>
                <w:shd w:val="clear" w:color="auto" w:fill="FFFFFF"/>
              </w:rPr>
              <w:t>pyridinyl)-N'-phenyl-)</w:t>
            </w:r>
          </w:p>
          <w:p>
            <w:pPr>
              <w:rPr>
                <w:rFonts w:ascii="Helvetica" w:hAnsi="Helvetica"/>
                <w:color w:val="auto"/>
                <w:shd w:val="clear" w:color="auto" w:fill="FFFFFF"/>
              </w:rPr>
            </w:pPr>
            <w:r>
              <w:rPr>
                <w:rFonts w:ascii="宋体" w:hAnsi="宋体"/>
                <w:color w:val="auto"/>
                <w:shd w:val="clear" w:color="auto" w:fill="FFFFFF"/>
              </w:rPr>
              <w:t>国际海运危规</w:t>
            </w:r>
            <w:r>
              <w:rPr>
                <w:rFonts w:ascii="Helvetica" w:hAnsi="Helvetica"/>
                <w:color w:val="auto"/>
                <w:shd w:val="clear" w:color="auto" w:fill="FFFFFF"/>
              </w:rPr>
              <w:t>: ENVIRONMENTALLY HAZARDOUS SUBSTANCE, SOLID, N.O.S. (Urea, N-(2-chloro-4-</w:t>
            </w:r>
          </w:p>
          <w:p>
            <w:pPr>
              <w:rPr>
                <w:rFonts w:ascii="Helvetica" w:hAnsi="Helvetica"/>
                <w:color w:val="auto"/>
                <w:shd w:val="clear" w:color="auto" w:fill="FFFFFF"/>
              </w:rPr>
            </w:pPr>
            <w:r>
              <w:rPr>
                <w:rFonts w:ascii="Helvetica" w:hAnsi="Helvetica"/>
                <w:color w:val="auto"/>
                <w:shd w:val="clear" w:color="auto" w:fill="FFFFFF"/>
              </w:rPr>
              <w:t>pyridinyl)-N'-phenyl-)</w:t>
            </w:r>
          </w:p>
          <w:p>
            <w:pPr>
              <w:rPr>
                <w:rFonts w:ascii="Helvetica" w:hAnsi="Helvetica"/>
                <w:color w:val="auto"/>
                <w:shd w:val="clear" w:color="auto" w:fill="FFFFFF"/>
              </w:rPr>
            </w:pPr>
            <w:r>
              <w:rPr>
                <w:rFonts w:ascii="宋体" w:hAnsi="宋体"/>
                <w:color w:val="auto"/>
                <w:shd w:val="clear" w:color="auto" w:fill="FFFFFF"/>
              </w:rPr>
              <w:t>国际空运危规</w:t>
            </w:r>
            <w:r>
              <w:rPr>
                <w:rFonts w:ascii="Helvetica" w:hAnsi="Helvetica"/>
                <w:color w:val="auto"/>
                <w:shd w:val="clear" w:color="auto" w:fill="FFFFFF"/>
              </w:rPr>
              <w:t>: Environmentally hazardous substance, solid, n.o.s. (Urea, N-(2-chloro-4-pyridinyl)-N'-</w:t>
            </w:r>
          </w:p>
          <w:p>
            <w:pPr>
              <w:rPr>
                <w:rFonts w:ascii="等线" w:hAnsi="等线"/>
                <w:color w:val="auto"/>
              </w:rPr>
            </w:pPr>
            <w:r>
              <w:rPr>
                <w:rFonts w:ascii="Helvetica" w:hAnsi="Helvetica"/>
                <w:color w:val="auto"/>
                <w:shd w:val="clear" w:color="auto" w:fill="FFFFFF"/>
              </w:rPr>
              <w:t>phenyl-)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包装标志：</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包装类别：</w:t>
            </w:r>
            <w:r>
              <w:rPr>
                <w:rFonts w:ascii="宋体" w:hAnsi="宋体"/>
                <w:color w:val="auto"/>
                <w:shd w:val="clear" w:color="auto" w:fill="FFFFFF"/>
              </w:rPr>
              <w:t>欧洲陆运危规</w:t>
            </w:r>
            <w:r>
              <w:rPr>
                <w:rFonts w:ascii="Helvetica" w:hAnsi="Helvetica"/>
                <w:color w:val="auto"/>
                <w:shd w:val="clear" w:color="auto" w:fill="FFFFFF"/>
              </w:rPr>
              <w:t>: 9</w:t>
            </w:r>
            <w:r>
              <w:rPr>
                <w:rFonts w:ascii="宋体" w:hAnsi="宋体"/>
                <w:color w:val="auto"/>
                <w:shd w:val="clear" w:color="auto" w:fill="FFFFFF"/>
              </w:rPr>
              <w:t>国际海运危规</w:t>
            </w:r>
            <w:r>
              <w:rPr>
                <w:rFonts w:ascii="Helvetica" w:hAnsi="Helvetica"/>
                <w:color w:val="auto"/>
                <w:shd w:val="clear" w:color="auto" w:fill="FFFFFF"/>
              </w:rPr>
              <w:t>: 9</w:t>
            </w:r>
            <w:r>
              <w:rPr>
                <w:rFonts w:ascii="宋体" w:hAnsi="宋体"/>
                <w:color w:val="auto"/>
                <w:shd w:val="clear" w:color="auto" w:fill="FFFFFF"/>
              </w:rPr>
              <w:t>国际空运危规</w:t>
            </w:r>
            <w:r>
              <w:rPr>
                <w:rFonts w:ascii="Helvetica" w:hAnsi="Helvetica"/>
                <w:color w:val="auto"/>
                <w:shd w:val="clear" w:color="auto" w:fill="FFFFFF"/>
              </w:rPr>
              <w:t>: 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包装方法：袋装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运输注意事项：</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6" w:hRule="atLeast"/>
        </w:trPr>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法规信息</w:t>
            </w:r>
            <w:r>
              <w:rPr>
                <w:rFonts w:hint="eastAsia"/>
                <w:color w:val="auto"/>
              </w:rPr>
              <w:t>:</w:t>
            </w:r>
            <w:r>
              <w:rPr>
                <w:rFonts w:hint="eastAsia" w:ascii="宋体" w:hAnsi="宋体"/>
                <w:color w:val="auto"/>
              </w:rPr>
              <w:t>下列法律法规和标准，对化学品的安全使用、储存、运输、装卸、分类和标志等方面均作了相应的规定：</w:t>
            </w:r>
          </w:p>
          <w:p>
            <w:pPr>
              <w:rPr>
                <w:color w:val="auto"/>
              </w:rPr>
            </w:pPr>
            <w:r>
              <w:rPr>
                <w:rFonts w:hint="eastAsia" w:ascii="宋体" w:hAnsi="宋体"/>
                <w:color w:val="auto"/>
              </w:rPr>
              <w:t>中华人民共和国安全生产法；</w:t>
            </w:r>
          </w:p>
          <w:p>
            <w:pPr>
              <w:rPr>
                <w:color w:val="auto"/>
              </w:rPr>
            </w:pPr>
            <w:r>
              <w:rPr>
                <w:rFonts w:hint="eastAsia" w:ascii="宋体" w:hAnsi="宋体"/>
                <w:color w:val="auto"/>
              </w:rPr>
              <w:t>中华人民共和国职业病防治法；</w:t>
            </w:r>
          </w:p>
          <w:p>
            <w:pPr>
              <w:rPr>
                <w:color w:val="auto"/>
              </w:rPr>
            </w:pPr>
            <w:r>
              <w:rPr>
                <w:rFonts w:hint="eastAsia" w:ascii="宋体" w:hAnsi="宋体"/>
                <w:color w:val="auto"/>
              </w:rPr>
              <w:t>中华人民共和国环境保护法；</w:t>
            </w:r>
          </w:p>
          <w:p>
            <w:pPr>
              <w:rPr>
                <w:color w:val="auto"/>
              </w:rPr>
            </w:pPr>
            <w:r>
              <w:rPr>
                <w:rFonts w:hint="eastAsia" w:ascii="宋体" w:hAnsi="宋体"/>
                <w:color w:val="auto"/>
              </w:rPr>
              <w:t>危险化学品安全管理条例；</w:t>
            </w:r>
          </w:p>
          <w:p>
            <w:pPr>
              <w:rPr>
                <w:color w:val="auto"/>
              </w:rPr>
            </w:pPr>
            <w:r>
              <w:rPr>
                <w:rFonts w:hint="eastAsia" w:ascii="宋体" w:hAnsi="宋体"/>
                <w:color w:val="auto"/>
              </w:rPr>
              <w:t>安全生产许可证条例；</w:t>
            </w:r>
          </w:p>
          <w:p>
            <w:pPr>
              <w:rPr>
                <w:color w:val="auto"/>
              </w:rPr>
            </w:pPr>
            <w:r>
              <w:rPr>
                <w:rFonts w:hint="eastAsia" w:ascii="宋体" w:hAnsi="宋体"/>
                <w:color w:val="auto"/>
              </w:rPr>
              <w:t>化学品分类和危险性公示通则</w:t>
            </w:r>
            <w:r>
              <w:rPr>
                <w:rFonts w:hint="eastAsia"/>
                <w:color w:val="auto"/>
              </w:rPr>
              <w:t>(GB13690-2009)</w:t>
            </w:r>
            <w:r>
              <w:rPr>
                <w:rFonts w:hint="eastAsia" w:ascii="宋体" w:hAnsi="宋体"/>
                <w:color w:val="auto"/>
              </w:rPr>
              <w:t>；</w:t>
            </w:r>
          </w:p>
          <w:p>
            <w:pPr>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bl>
    <w:p>
      <w:pPr>
        <w:pStyle w:val="49"/>
        <w:ind w:firstLine="560" w:firstLineChars="200"/>
        <w:rPr>
          <w:color w:val="auto"/>
          <w:sz w:val="28"/>
          <w:szCs w:val="28"/>
        </w:rPr>
      </w:pPr>
      <w:r>
        <w:rPr>
          <w:rFonts w:hint="eastAsia"/>
          <w:color w:val="auto"/>
          <w:sz w:val="28"/>
          <w:szCs w:val="28"/>
        </w:rPr>
        <w:t>3</w:t>
      </w:r>
      <w:r>
        <w:rPr>
          <w:color w:val="auto"/>
          <w:sz w:val="28"/>
          <w:szCs w:val="28"/>
        </w:rPr>
        <w:t>1</w:t>
      </w:r>
      <w:r>
        <w:rPr>
          <w:rFonts w:hint="eastAsia"/>
          <w:color w:val="auto"/>
          <w:sz w:val="28"/>
          <w:szCs w:val="28"/>
        </w:rPr>
        <w:t>）噻苯隆</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vAlign w:val="center"/>
          </w:tcPr>
          <w:p>
            <w:pPr>
              <w:jc w:val="center"/>
              <w:rPr>
                <w:b/>
                <w:bCs/>
                <w:color w:val="auto"/>
              </w:rPr>
            </w:pPr>
            <w:r>
              <w:rPr>
                <w:rFonts w:hint="eastAsia" w:ascii="宋体" w:hAnsi="宋体"/>
                <w:b/>
                <w:bCs/>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化学品中文名称：噻苯隆</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化学品俗名：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化学品英文名称：</w:t>
            </w:r>
            <w:r>
              <w:rPr>
                <w:color w:val="auto"/>
              </w:rPr>
              <w:fldChar w:fldCharType="begin"/>
            </w:r>
            <w:r>
              <w:rPr>
                <w:color w:val="auto"/>
              </w:rPr>
              <w:instrText xml:space="preserve"> HYPERLINK "https://www.chemsrc.com/en/cas/51707-55-2_1091310.html" </w:instrText>
            </w:r>
            <w:r>
              <w:rPr>
                <w:color w:val="auto"/>
              </w:rPr>
              <w:fldChar w:fldCharType="separate"/>
            </w:r>
            <w:r>
              <w:rPr>
                <w:rStyle w:val="36"/>
                <w:rFonts w:hint="eastAsia"/>
                <w:color w:val="auto"/>
              </w:rPr>
              <w:t>Thidiazuron</w:t>
            </w:r>
            <w:r>
              <w:rPr>
                <w:color w:val="auto"/>
              </w:rPr>
              <w:fldChar w:fldCharType="end"/>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英文名称：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技术说明书编码：</w:t>
            </w:r>
            <w:r>
              <w:rPr>
                <w:rFonts w:hint="eastAsia"/>
                <w:color w:val="auto"/>
              </w:rPr>
              <w:t>005</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color w:val="auto"/>
              </w:rPr>
              <w:t>CAS No.</w:t>
            </w:r>
            <w:r>
              <w:rPr>
                <w:rFonts w:hint="eastAsia" w:ascii="宋体" w:hAnsi="宋体"/>
                <w:color w:val="auto"/>
              </w:rPr>
              <w:t>：</w:t>
            </w:r>
            <w:r>
              <w:rPr>
                <w:color w:val="auto"/>
              </w:rPr>
              <w:fldChar w:fldCharType="begin"/>
            </w:r>
            <w:r>
              <w:rPr>
                <w:color w:val="auto"/>
              </w:rPr>
              <w:instrText xml:space="preserve"> HYPERLINK "https://www.chemsrc.com/baike/1091310.html" </w:instrText>
            </w:r>
            <w:r>
              <w:rPr>
                <w:color w:val="auto"/>
              </w:rPr>
              <w:fldChar w:fldCharType="separate"/>
            </w:r>
            <w:r>
              <w:rPr>
                <w:rStyle w:val="36"/>
                <w:rFonts w:hint="eastAsia"/>
                <w:color w:val="auto"/>
              </w:rPr>
              <w:t>51707-55-2</w:t>
            </w:r>
            <w:r>
              <w:rPr>
                <w:color w:val="auto"/>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第二部分：成分</w:t>
            </w:r>
            <w:r>
              <w:rPr>
                <w:rFonts w:hint="eastAsia"/>
                <w:b/>
                <w:bCs/>
                <w:color w:val="auto"/>
              </w:rPr>
              <w:t>/</w:t>
            </w:r>
            <w:r>
              <w:rPr>
                <w:rFonts w:hint="eastAsia" w:ascii="宋体" w:hAnsi="宋体"/>
                <w:b/>
                <w:bCs/>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有害物成分</w:t>
            </w:r>
            <w:r>
              <w:rPr>
                <w:rFonts w:hint="eastAsia"/>
                <w:color w:val="auto"/>
              </w:rPr>
              <w:t xml:space="preserve">                  </w:t>
            </w:r>
            <w:r>
              <w:rPr>
                <w:rFonts w:hint="eastAsia" w:ascii="宋体" w:hAnsi="宋体"/>
                <w:color w:val="auto"/>
              </w:rPr>
              <w:t>含量</w:t>
            </w:r>
            <w:r>
              <w:rPr>
                <w:rFonts w:hint="eastAsia"/>
                <w:color w:val="auto"/>
              </w:rPr>
              <w:t xml:space="preserve">                CAS 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危险性类别：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侵入途径：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健康危害：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环境危害：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燃爆危险：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皮肤接触：</w:t>
            </w:r>
            <w:r>
              <w:rPr>
                <w:rFonts w:ascii="宋体" w:hAnsi="宋体"/>
                <w:color w:val="auto"/>
                <w:shd w:val="clear" w:color="auto" w:fill="FFFFFF"/>
              </w:rPr>
              <w:t>用肥皂和大量的水冲洗。</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眼睛接触：</w:t>
            </w:r>
            <w:r>
              <w:rPr>
                <w:rFonts w:ascii="宋体" w:hAnsi="宋体"/>
                <w:color w:val="auto"/>
                <w:shd w:val="clear" w:color="auto" w:fill="FFFFFF"/>
              </w:rPr>
              <w:t>用大量水彻底冲洗至少</w:t>
            </w:r>
            <w:r>
              <w:rPr>
                <w:rFonts w:ascii="Helvetica" w:hAnsi="Helvetica"/>
                <w:color w:val="auto"/>
                <w:shd w:val="clear" w:color="auto" w:fill="FFFFFF"/>
              </w:rPr>
              <w:t>15</w:t>
            </w:r>
            <w:r>
              <w:rPr>
                <w:rFonts w:ascii="宋体" w:hAnsi="宋体"/>
                <w:color w:val="auto"/>
                <w:shd w:val="clear" w:color="auto" w:fill="FFFFFF"/>
              </w:rPr>
              <w:t>分钟并请教医生。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吸入：</w:t>
            </w:r>
            <w:r>
              <w:rPr>
                <w:rFonts w:ascii="宋体" w:hAnsi="宋体"/>
                <w:color w:val="auto"/>
                <w:shd w:val="clear" w:color="auto" w:fill="FFFFFF"/>
              </w:rPr>
              <w:t>如果吸入</w:t>
            </w:r>
            <w:r>
              <w:rPr>
                <w:rFonts w:ascii="Helvetica" w:hAnsi="Helvetica"/>
                <w:color w:val="auto"/>
                <w:shd w:val="clear" w:color="auto" w:fill="FFFFFF"/>
              </w:rPr>
              <w:t>,</w:t>
            </w:r>
            <w:r>
              <w:rPr>
                <w:rFonts w:ascii="宋体" w:hAnsi="宋体"/>
                <w:color w:val="auto"/>
                <w:shd w:val="clear" w:color="auto" w:fill="FFFFFF"/>
              </w:rPr>
              <w:t>请将患者移到新鲜空气处。 如呼吸停止</w:t>
            </w:r>
            <w:r>
              <w:rPr>
                <w:rFonts w:ascii="Helvetica" w:hAnsi="Helvetica"/>
                <w:color w:val="auto"/>
                <w:shd w:val="clear" w:color="auto" w:fill="FFFFFF"/>
              </w:rPr>
              <w:t>,</w:t>
            </w:r>
            <w:r>
              <w:rPr>
                <w:rFonts w:ascii="宋体" w:hAnsi="宋体"/>
                <w:color w:val="auto"/>
                <w:shd w:val="clear" w:color="auto" w:fill="FFFFFF"/>
              </w:rPr>
              <w:t>进行人工呼吸。 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食入：</w:t>
            </w:r>
            <w:r>
              <w:rPr>
                <w:rFonts w:ascii="宋体" w:hAnsi="宋体"/>
                <w:color w:val="auto"/>
                <w:shd w:val="clear" w:color="auto" w:fill="FFFFFF"/>
              </w:rPr>
              <w:t>切勿给失去知觉者通过口喂任何东西。</w:t>
            </w:r>
            <w:r>
              <w:rPr>
                <w:rFonts w:ascii="Helvetica" w:hAnsi="Helvetica"/>
                <w:color w:val="auto"/>
                <w:shd w:val="clear" w:color="auto" w:fill="FFFFFF"/>
              </w:rPr>
              <w:t xml:space="preserve"> </w:t>
            </w:r>
            <w:r>
              <w:rPr>
                <w:rFonts w:ascii="宋体" w:hAnsi="宋体"/>
                <w:color w:val="auto"/>
                <w:shd w:val="clear" w:color="auto" w:fill="FFFFFF"/>
              </w:rPr>
              <w:t>用水漱口。</w:t>
            </w:r>
            <w:r>
              <w:rPr>
                <w:rFonts w:ascii="Helvetica" w:hAnsi="Helvetica"/>
                <w:color w:val="auto"/>
                <w:shd w:val="clear" w:color="auto" w:fill="FFFFFF"/>
              </w:rPr>
              <w:t xml:space="preserve"> </w:t>
            </w:r>
            <w:r>
              <w:rPr>
                <w:rFonts w:ascii="宋体" w:hAnsi="宋体"/>
                <w:color w:val="auto"/>
                <w:shd w:val="clear" w:color="auto" w:fill="FFFFFF"/>
              </w:rPr>
              <w:t>请教医生。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危险特性：</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有害燃烧产物：</w:t>
            </w:r>
            <w:r>
              <w:rPr>
                <w:rFonts w:ascii="宋体" w:hAnsi="宋体"/>
                <w:color w:val="auto"/>
                <w:shd w:val="clear" w:color="auto" w:fill="FFFFFF"/>
              </w:rPr>
              <w:t>碳氧化物</w:t>
            </w:r>
            <w:r>
              <w:rPr>
                <w:rFonts w:ascii="Helvetica" w:hAnsi="Helvetica"/>
                <w:color w:val="auto"/>
                <w:shd w:val="clear" w:color="auto" w:fill="FFFFFF"/>
              </w:rPr>
              <w:t xml:space="preserve">, </w:t>
            </w:r>
            <w:r>
              <w:rPr>
                <w:rFonts w:ascii="宋体" w:hAnsi="宋体"/>
                <w:color w:val="auto"/>
                <w:shd w:val="clear" w:color="auto" w:fill="FFFFFF"/>
              </w:rPr>
              <w:t>氮氧化物</w:t>
            </w:r>
            <w:r>
              <w:rPr>
                <w:rFonts w:ascii="Helvetica" w:hAnsi="Helvetica"/>
                <w:color w:val="auto"/>
                <w:shd w:val="clear" w:color="auto" w:fill="FFFFFF"/>
              </w:rPr>
              <w:t xml:space="preserve">, </w:t>
            </w:r>
            <w:r>
              <w:rPr>
                <w:rFonts w:ascii="宋体" w:hAnsi="宋体"/>
                <w:color w:val="auto"/>
                <w:shd w:val="clear" w:color="auto" w:fill="FFFFFF"/>
              </w:rPr>
              <w:t>硫氧化物</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灭火方法：</w:t>
            </w:r>
            <w:r>
              <w:rPr>
                <w:rFonts w:hint="eastAsia"/>
                <w:color w:val="auto"/>
              </w:rPr>
              <w:t xml:space="preserve"> </w:t>
            </w:r>
            <w:r>
              <w:rPr>
                <w:rFonts w:ascii="宋体" w:hAnsi="宋体"/>
                <w:color w:val="auto"/>
                <w:shd w:val="clear" w:color="auto" w:fill="FFFFFF"/>
              </w:rPr>
              <w:t>用水雾</w:t>
            </w:r>
            <w:r>
              <w:rPr>
                <w:rFonts w:ascii="Helvetica" w:hAnsi="Helvetica"/>
                <w:color w:val="auto"/>
                <w:shd w:val="clear" w:color="auto" w:fill="FFFFFF"/>
              </w:rPr>
              <w:t>,</w:t>
            </w:r>
            <w:r>
              <w:rPr>
                <w:rFonts w:ascii="宋体" w:hAnsi="宋体"/>
                <w:color w:val="auto"/>
                <w:shd w:val="clear" w:color="auto" w:fill="FFFFFF"/>
              </w:rPr>
              <w:t>抗乙醇泡沫</w:t>
            </w:r>
            <w:r>
              <w:rPr>
                <w:rFonts w:ascii="Helvetica" w:hAnsi="Helvetica"/>
                <w:color w:val="auto"/>
                <w:shd w:val="clear" w:color="auto" w:fill="FFFFFF"/>
              </w:rPr>
              <w:t>,</w:t>
            </w:r>
            <w:r>
              <w:rPr>
                <w:rFonts w:ascii="宋体" w:hAnsi="宋体"/>
                <w:color w:val="auto"/>
                <w:shd w:val="clear" w:color="auto" w:fill="FFFFFF"/>
              </w:rPr>
              <w:t>干粉或二氧化碳灭火。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应急处理：</w:t>
            </w:r>
            <w:r>
              <w:rPr>
                <w:rFonts w:hint="eastAsia"/>
                <w:color w:val="auto"/>
              </w:rPr>
              <w:t xml:space="preserve"> </w:t>
            </w:r>
            <w:r>
              <w:rPr>
                <w:rFonts w:ascii="宋体" w:hAnsi="宋体"/>
                <w:color w:val="auto"/>
                <w:shd w:val="clear" w:color="auto" w:fill="FFFFFF"/>
              </w:rPr>
              <w:t>使用个人防护用品。</w:t>
            </w:r>
            <w:r>
              <w:rPr>
                <w:rFonts w:ascii="Helvetica" w:hAnsi="Helvetica"/>
                <w:color w:val="auto"/>
                <w:shd w:val="clear" w:color="auto" w:fill="FFFFFF"/>
              </w:rPr>
              <w:t xml:space="preserve"> </w:t>
            </w:r>
            <w:r>
              <w:rPr>
                <w:rFonts w:ascii="宋体" w:hAnsi="宋体"/>
                <w:color w:val="auto"/>
                <w:shd w:val="clear" w:color="auto" w:fill="FFFFFF"/>
              </w:rPr>
              <w:t>避免粉尘生成。</w:t>
            </w:r>
            <w:r>
              <w:rPr>
                <w:rFonts w:ascii="Helvetica" w:hAnsi="Helvetica"/>
                <w:color w:val="auto"/>
                <w:shd w:val="clear" w:color="auto" w:fill="FFFFFF"/>
              </w:rPr>
              <w:t xml:space="preserve"> </w:t>
            </w:r>
            <w:r>
              <w:rPr>
                <w:rFonts w:ascii="宋体" w:hAnsi="宋体"/>
                <w:color w:val="auto"/>
                <w:shd w:val="clear" w:color="auto" w:fill="FFFFFF"/>
              </w:rPr>
              <w:t>避免吸入蒸气、烟雾或气体。</w:t>
            </w:r>
            <w:r>
              <w:rPr>
                <w:rFonts w:ascii="Helvetica" w:hAnsi="Helvetica"/>
                <w:color w:val="auto"/>
                <w:shd w:val="clear" w:color="auto" w:fill="FFFFFF"/>
              </w:rPr>
              <w:t xml:space="preserve"> </w:t>
            </w:r>
            <w:r>
              <w:rPr>
                <w:rFonts w:ascii="宋体" w:hAnsi="宋体"/>
                <w:color w:val="auto"/>
                <w:shd w:val="clear" w:color="auto" w:fill="FFFFFF"/>
              </w:rPr>
              <w:t>保证充分的通风。</w:t>
            </w:r>
          </w:p>
          <w:p>
            <w:pPr>
              <w:rPr>
                <w:rFonts w:ascii="Helvetica" w:hAnsi="Helvetica"/>
                <w:color w:val="auto"/>
                <w:shd w:val="clear" w:color="auto" w:fill="FFFFFF"/>
              </w:rPr>
            </w:pPr>
            <w:r>
              <w:rPr>
                <w:rFonts w:ascii="宋体" w:hAnsi="宋体"/>
                <w:color w:val="auto"/>
                <w:shd w:val="clear" w:color="auto" w:fill="FFFFFF"/>
              </w:rPr>
              <w:t>人员疏散到安全区域。</w:t>
            </w:r>
            <w:r>
              <w:rPr>
                <w:rFonts w:ascii="Helvetica" w:hAnsi="Helvetica"/>
                <w:color w:val="auto"/>
                <w:shd w:val="clear" w:color="auto" w:fill="FFFFFF"/>
              </w:rPr>
              <w:t xml:space="preserve"> </w:t>
            </w:r>
            <w:r>
              <w:rPr>
                <w:rFonts w:ascii="宋体" w:hAnsi="宋体"/>
                <w:color w:val="auto"/>
                <w:shd w:val="clear" w:color="auto" w:fill="FFFFFF"/>
              </w:rPr>
              <w:t>避免吸入粉尘。</w:t>
            </w:r>
          </w:p>
          <w:p>
            <w:pPr>
              <w:rPr>
                <w:rFonts w:ascii="Helvetica" w:hAnsi="Helvetica"/>
                <w:color w:val="auto"/>
                <w:shd w:val="clear" w:color="auto" w:fill="FFFFFF"/>
              </w:rPr>
            </w:pPr>
            <w:r>
              <w:rPr>
                <w:rFonts w:ascii="宋体" w:hAnsi="宋体"/>
                <w:color w:val="auto"/>
                <w:shd w:val="clear" w:color="auto" w:fill="FFFFFF"/>
              </w:rPr>
              <w:t>如能确保安全，可采取措施防止进一步的泄漏或溢出。</w:t>
            </w:r>
            <w:r>
              <w:rPr>
                <w:rFonts w:ascii="Helvetica" w:hAnsi="Helvetica"/>
                <w:color w:val="auto"/>
                <w:shd w:val="clear" w:color="auto" w:fill="FFFFFF"/>
              </w:rPr>
              <w:t xml:space="preserve"> </w:t>
            </w:r>
            <w:r>
              <w:rPr>
                <w:rFonts w:ascii="宋体" w:hAnsi="宋体"/>
                <w:color w:val="auto"/>
                <w:shd w:val="clear" w:color="auto" w:fill="FFFFFF"/>
              </w:rPr>
              <w:t>不要让产品进入下水道。</w:t>
            </w:r>
          </w:p>
          <w:p>
            <w:pPr>
              <w:rPr>
                <w:rFonts w:ascii="Helvetica" w:hAnsi="Helvetica"/>
                <w:color w:val="auto"/>
                <w:shd w:val="clear" w:color="auto" w:fill="FFFFFF"/>
              </w:rPr>
            </w:pPr>
            <w:r>
              <w:rPr>
                <w:rFonts w:ascii="宋体" w:hAnsi="宋体"/>
                <w:color w:val="auto"/>
                <w:shd w:val="clear" w:color="auto" w:fill="FFFFFF"/>
              </w:rPr>
              <w:t>一定要避免排放到周围环境中。</w:t>
            </w:r>
          </w:p>
          <w:p>
            <w:pPr>
              <w:rPr>
                <w:rFonts w:ascii="Helvetica" w:hAnsi="Helvetica"/>
                <w:color w:val="auto"/>
                <w:shd w:val="clear" w:color="auto" w:fill="FFFFFF"/>
              </w:rPr>
            </w:pPr>
            <w:r>
              <w:rPr>
                <w:rFonts w:ascii="宋体" w:hAnsi="宋体"/>
                <w:color w:val="auto"/>
                <w:shd w:val="clear" w:color="auto" w:fill="FFFFFF"/>
              </w:rPr>
              <w:t>收集和处置时不要产生粉尘。</w:t>
            </w:r>
            <w:r>
              <w:rPr>
                <w:rFonts w:ascii="Helvetica" w:hAnsi="Helvetica"/>
                <w:color w:val="auto"/>
                <w:shd w:val="clear" w:color="auto" w:fill="FFFFFF"/>
              </w:rPr>
              <w:t xml:space="preserve"> </w:t>
            </w:r>
            <w:r>
              <w:rPr>
                <w:rFonts w:ascii="宋体" w:hAnsi="宋体"/>
                <w:color w:val="auto"/>
                <w:shd w:val="clear" w:color="auto" w:fill="FFFFFF"/>
              </w:rPr>
              <w:t>扫掉和铲掉。</w:t>
            </w:r>
            <w:r>
              <w:rPr>
                <w:rFonts w:ascii="Helvetica" w:hAnsi="Helvetica"/>
                <w:color w:val="auto"/>
                <w:shd w:val="clear" w:color="auto" w:fill="FFFFFF"/>
              </w:rPr>
              <w:t xml:space="preserve"> </w:t>
            </w:r>
            <w:r>
              <w:rPr>
                <w:rFonts w:ascii="宋体" w:hAnsi="宋体"/>
                <w:color w:val="auto"/>
                <w:shd w:val="clear" w:color="auto" w:fill="FFFFFF"/>
              </w:rPr>
              <w:t>放入合适的封闭的容器中待处理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rFonts w:ascii="等线" w:hAnsi="等线"/>
                <w:color w:val="auto"/>
              </w:rPr>
            </w:pPr>
            <w:r>
              <w:rPr>
                <w:rFonts w:hint="eastAsia" w:ascii="宋体" w:hAnsi="宋体"/>
                <w:b/>
                <w:bCs/>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操作注意事项：</w:t>
            </w:r>
            <w:r>
              <w:rPr>
                <w:rFonts w:hint="eastAsia"/>
                <w:color w:val="auto"/>
              </w:rPr>
              <w:t xml:space="preserve"> </w:t>
            </w:r>
            <w:r>
              <w:rPr>
                <w:rFonts w:ascii="宋体" w:hAnsi="宋体"/>
                <w:color w:val="auto"/>
                <w:shd w:val="clear" w:color="auto" w:fill="FFFFFF"/>
              </w:rPr>
              <w:t>避免接触皮肤和眼睛。</w:t>
            </w:r>
            <w:r>
              <w:rPr>
                <w:rFonts w:ascii="Helvetica" w:hAnsi="Helvetica"/>
                <w:color w:val="auto"/>
                <w:shd w:val="clear" w:color="auto" w:fill="FFFFFF"/>
              </w:rPr>
              <w:t xml:space="preserve"> </w:t>
            </w:r>
            <w:r>
              <w:rPr>
                <w:rFonts w:ascii="宋体" w:hAnsi="宋体"/>
                <w:color w:val="auto"/>
                <w:shd w:val="clear" w:color="auto" w:fill="FFFFFF"/>
              </w:rPr>
              <w:t>避免形成粉尘和气溶胶。</w:t>
            </w:r>
          </w:p>
          <w:p>
            <w:pPr>
              <w:rPr>
                <w:rFonts w:ascii="等线" w:hAnsi="等线"/>
                <w:color w:val="auto"/>
              </w:rPr>
            </w:pPr>
            <w:r>
              <w:rPr>
                <w:rFonts w:ascii="宋体" w:hAnsi="宋体"/>
                <w:color w:val="auto"/>
                <w:shd w:val="clear" w:color="auto" w:fill="FFFFFF"/>
              </w:rPr>
              <w:t>在有粉尘生成的地方</w:t>
            </w:r>
            <w:r>
              <w:rPr>
                <w:rFonts w:ascii="Helvetica" w:hAnsi="Helvetica"/>
                <w:color w:val="auto"/>
                <w:shd w:val="clear" w:color="auto" w:fill="FFFFFF"/>
              </w:rPr>
              <w:t>,</w:t>
            </w:r>
            <w:r>
              <w:rPr>
                <w:rFonts w:ascii="宋体" w:hAnsi="宋体"/>
                <w:color w:val="auto"/>
                <w:shd w:val="clear" w:color="auto" w:fill="FFFFFF"/>
              </w:rPr>
              <w:t>提供合适的排风设备。一般性的防火保护措施。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储存注意事项：</w:t>
            </w:r>
            <w:r>
              <w:rPr>
                <w:rFonts w:hint="eastAsia"/>
                <w:color w:val="auto"/>
              </w:rPr>
              <w:t xml:space="preserve"> </w:t>
            </w:r>
            <w:r>
              <w:rPr>
                <w:rFonts w:hint="eastAsia" w:ascii="宋体" w:hAnsi="宋体"/>
                <w:color w:val="auto"/>
              </w:rPr>
              <w:t>密封，在</w:t>
            </w:r>
            <w:r>
              <w:rPr>
                <w:rFonts w:hint="eastAsia"/>
                <w:color w:val="auto"/>
              </w:rPr>
              <w:t>0-6</w:t>
            </w:r>
            <w:r>
              <w:rPr>
                <w:rFonts w:ascii="Helvetica" w:hAnsi="Helvetica"/>
                <w:color w:val="auto"/>
                <w:shd w:val="clear" w:color="auto" w:fill="FFFFFF"/>
              </w:rPr>
              <w:t>°C</w:t>
            </w:r>
            <w:r>
              <w:rPr>
                <w:rFonts w:hint="eastAsia" w:ascii="宋体" w:hAnsi="宋体" w:cs="Helvetica"/>
                <w:color w:val="auto"/>
                <w:shd w:val="clear" w:color="auto" w:fill="FFFFFF"/>
              </w:rPr>
              <w:t>下保存。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第八部分：接触控制</w:t>
            </w:r>
            <w:r>
              <w:rPr>
                <w:rFonts w:hint="eastAsia"/>
                <w:b/>
                <w:bCs/>
                <w:color w:val="auto"/>
              </w:rPr>
              <w:t>/</w:t>
            </w:r>
            <w:r>
              <w:rPr>
                <w:rFonts w:hint="eastAsia" w:ascii="宋体" w:hAnsi="宋体"/>
                <w:b/>
                <w:bCs/>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 xml:space="preserve"> </w:t>
            </w:r>
            <w:r>
              <w:rPr>
                <w:rFonts w:hint="eastAsia" w:ascii="宋体" w:hAnsi="宋体"/>
                <w:color w:val="auto"/>
              </w:rPr>
              <w:t>中国</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前苏联</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TLVTN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TLVWN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工程控制：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呼吸系统防护：</w:t>
            </w:r>
            <w:r>
              <w:rPr>
                <w:rFonts w:ascii="宋体" w:hAnsi="宋体"/>
                <w:color w:val="auto"/>
                <w:shd w:val="clear" w:color="auto" w:fill="FFFFFF"/>
              </w:rPr>
              <w:t>如须暴露于有害环境中</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P95</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P1</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欧盟 英国</w:t>
            </w:r>
          </w:p>
          <w:p>
            <w:pPr>
              <w:rPr>
                <w:rFonts w:ascii="Helvetica" w:hAnsi="Helvetica"/>
                <w:color w:val="auto"/>
                <w:shd w:val="clear" w:color="auto" w:fill="FFFFFF"/>
              </w:rPr>
            </w:pPr>
            <w:r>
              <w:rPr>
                <w:rFonts w:ascii="Helvetica" w:hAnsi="Helvetica"/>
                <w:color w:val="auto"/>
                <w:shd w:val="clear" w:color="auto" w:fill="FFFFFF"/>
              </w:rPr>
              <w:t>143)</w:t>
            </w:r>
            <w:r>
              <w:rPr>
                <w:rFonts w:ascii="宋体" w:hAnsi="宋体"/>
                <w:color w:val="auto"/>
                <w:shd w:val="clear" w:color="auto" w:fill="FFFFFF"/>
              </w:rPr>
              <w:t>防微粒呼吸器。如需更高级别防护</w:t>
            </w:r>
            <w:r>
              <w:rPr>
                <w:rFonts w:ascii="Helvetica" w:hAnsi="Helvetica"/>
                <w:color w:val="auto"/>
                <w:shd w:val="clear" w:color="auto" w:fill="FFFFFF"/>
              </w:rPr>
              <w:t>,</w:t>
            </w:r>
            <w:r>
              <w:rPr>
                <w:rFonts w:ascii="宋体" w:hAnsi="宋体"/>
                <w:color w:val="auto"/>
                <w:shd w:val="clear" w:color="auto" w:fill="FFFFFF"/>
              </w:rPr>
              <w:t>请使用</w:t>
            </w:r>
            <w:r>
              <w:rPr>
                <w:rFonts w:ascii="Helvetica" w:hAnsi="Helvetica"/>
                <w:color w:val="auto"/>
                <w:shd w:val="clear" w:color="auto" w:fill="FFFFFF"/>
              </w:rPr>
              <w:t>OV/AG/P99</w:t>
            </w:r>
            <w:r>
              <w:rPr>
                <w:rFonts w:ascii="宋体" w:hAnsi="宋体"/>
                <w:color w:val="auto"/>
                <w:shd w:val="clear" w:color="auto" w:fill="FFFFFF"/>
              </w:rPr>
              <w:t>型</w:t>
            </w:r>
            <w:r>
              <w:rPr>
                <w:rFonts w:ascii="Helvetica" w:hAnsi="Helvetica"/>
                <w:color w:val="auto"/>
                <w:shd w:val="clear" w:color="auto" w:fill="FFFFFF"/>
              </w:rPr>
              <w:t>(</w:t>
            </w:r>
            <w:r>
              <w:rPr>
                <w:rFonts w:ascii="宋体" w:hAnsi="宋体"/>
                <w:color w:val="auto"/>
                <w:shd w:val="clear" w:color="auto" w:fill="FFFFFF"/>
              </w:rPr>
              <w:t>美国</w:t>
            </w:r>
            <w:r>
              <w:rPr>
                <w:rFonts w:ascii="Helvetica" w:hAnsi="Helvetica"/>
                <w:color w:val="auto"/>
                <w:shd w:val="clear" w:color="auto" w:fill="FFFFFF"/>
              </w:rPr>
              <w:t>)</w:t>
            </w:r>
            <w:r>
              <w:rPr>
                <w:rFonts w:ascii="宋体" w:hAnsi="宋体"/>
                <w:color w:val="auto"/>
                <w:shd w:val="clear" w:color="auto" w:fill="FFFFFF"/>
              </w:rPr>
              <w:t>或</w:t>
            </w:r>
            <w:r>
              <w:rPr>
                <w:rFonts w:ascii="Helvetica" w:hAnsi="Helvetica"/>
                <w:color w:val="auto"/>
                <w:shd w:val="clear" w:color="auto" w:fill="FFFFFF"/>
              </w:rPr>
              <w:t>ABEK-P2</w:t>
            </w:r>
            <w:r>
              <w:rPr>
                <w:rFonts w:ascii="宋体" w:hAnsi="宋体"/>
                <w:color w:val="auto"/>
                <w:shd w:val="clear" w:color="auto" w:fill="FFFFFF"/>
              </w:rPr>
              <w:t xml:space="preserve">型 </w:t>
            </w:r>
            <w:r>
              <w:rPr>
                <w:rFonts w:ascii="Helvetica" w:hAnsi="Helvetica"/>
                <w:color w:val="auto"/>
                <w:shd w:val="clear" w:color="auto" w:fill="FFFFFF"/>
              </w:rPr>
              <w:t>(</w:t>
            </w:r>
            <w:r>
              <w:rPr>
                <w:rFonts w:ascii="宋体" w:hAnsi="宋体"/>
                <w:color w:val="auto"/>
                <w:shd w:val="clear" w:color="auto" w:fill="FFFFFF"/>
              </w:rPr>
              <w:t xml:space="preserve">欧盟 英国 </w:t>
            </w:r>
            <w:r>
              <w:rPr>
                <w:rFonts w:ascii="Helvetica" w:hAnsi="Helvetica"/>
                <w:color w:val="auto"/>
                <w:shd w:val="clear" w:color="auto" w:fill="FFFFFF"/>
              </w:rPr>
              <w:t>143)</w:t>
            </w:r>
          </w:p>
          <w:p>
            <w:pPr>
              <w:rPr>
                <w:rFonts w:ascii="Helvetica" w:hAnsi="Helvetica"/>
                <w:color w:val="auto"/>
                <w:shd w:val="clear" w:color="auto" w:fill="FFFFFF"/>
              </w:rPr>
            </w:pPr>
            <w:r>
              <w:rPr>
                <w:rFonts w:ascii="宋体" w:hAnsi="宋体"/>
                <w:color w:val="auto"/>
                <w:shd w:val="clear" w:color="auto" w:fill="FFFFFF"/>
              </w:rPr>
              <w:t>防毒罐。</w:t>
            </w:r>
          </w:p>
          <w:p>
            <w:pPr>
              <w:rPr>
                <w:rFonts w:ascii="等线" w:hAnsi="等线"/>
                <w:color w:val="auto"/>
              </w:rPr>
            </w:pPr>
            <w:r>
              <w:rPr>
                <w:rFonts w:ascii="宋体" w:hAnsi="宋体"/>
                <w:color w:val="auto"/>
                <w:shd w:val="clear" w:color="auto" w:fill="FFFFFF"/>
              </w:rPr>
              <w:t>呼吸器使用经过测试并通过政府标准如</w:t>
            </w:r>
            <w:r>
              <w:rPr>
                <w:rFonts w:ascii="Helvetica" w:hAnsi="Helvetica"/>
                <w:color w:val="auto"/>
                <w:shd w:val="clear" w:color="auto" w:fill="FFFFFF"/>
              </w:rPr>
              <w:t>NIOSH</w:t>
            </w:r>
            <w:r>
              <w:rPr>
                <w:rFonts w:ascii="宋体" w:hAnsi="宋体"/>
                <w:color w:val="auto"/>
                <w:shd w:val="clear" w:color="auto" w:fill="FFFFFF"/>
              </w:rPr>
              <w:t>（</w:t>
            </w:r>
            <w:r>
              <w:rPr>
                <w:rFonts w:ascii="Helvetica" w:hAnsi="Helvetica"/>
                <w:color w:val="auto"/>
                <w:shd w:val="clear" w:color="auto" w:fill="FFFFFF"/>
              </w:rPr>
              <w:t>US</w:t>
            </w:r>
            <w:r>
              <w:rPr>
                <w:rFonts w:ascii="宋体" w:hAnsi="宋体"/>
                <w:color w:val="auto"/>
                <w:shd w:val="clear" w:color="auto" w:fill="FFFFFF"/>
              </w:rPr>
              <w:t>）或</w:t>
            </w:r>
            <w:r>
              <w:rPr>
                <w:rFonts w:ascii="Helvetica" w:hAnsi="Helvetica"/>
                <w:color w:val="auto"/>
                <w:shd w:val="clear" w:color="auto" w:fill="FFFFFF"/>
              </w:rPr>
              <w:t>CEN</w:t>
            </w:r>
            <w:r>
              <w:rPr>
                <w:rFonts w:ascii="宋体" w:hAnsi="宋体"/>
                <w:color w:val="auto"/>
                <w:shd w:val="clear" w:color="auto" w:fill="FFFFFF"/>
              </w:rPr>
              <w:t>（</w:t>
            </w:r>
            <w:r>
              <w:rPr>
                <w:rFonts w:ascii="Helvetica" w:hAnsi="Helvetica"/>
                <w:color w:val="auto"/>
                <w:shd w:val="clear" w:color="auto" w:fill="FFFFFF"/>
              </w:rPr>
              <w:t>EU</w:t>
            </w:r>
            <w:r>
              <w:rPr>
                <w:rFonts w:ascii="宋体" w:hAnsi="宋体"/>
                <w:color w:val="auto"/>
                <w:shd w:val="clear" w:color="auto" w:fill="FFFFFF"/>
              </w:rPr>
              <w:t>）的呼吸器和零件。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眼睛防护：</w:t>
            </w:r>
            <w:r>
              <w:rPr>
                <w:rFonts w:ascii="宋体" w:hAnsi="宋体"/>
                <w:color w:val="auto"/>
                <w:shd w:val="clear" w:color="auto" w:fill="FFFFFF"/>
              </w:rPr>
              <w:t>带有防护边罩的安全眼镜符合</w:t>
            </w:r>
            <w:r>
              <w:rPr>
                <w:rFonts w:ascii="Helvetica" w:hAnsi="Helvetica"/>
                <w:color w:val="auto"/>
                <w:shd w:val="clear" w:color="auto" w:fill="FFFFFF"/>
              </w:rPr>
              <w:t xml:space="preserve"> EN166</w:t>
            </w:r>
            <w:r>
              <w:rPr>
                <w:rFonts w:ascii="宋体" w:hAnsi="宋体"/>
                <w:color w:val="auto"/>
                <w:shd w:val="clear" w:color="auto" w:fill="FFFFFF"/>
              </w:rPr>
              <w:t>要求请使用经官方标准如</w:t>
            </w:r>
            <w:r>
              <w:rPr>
                <w:rFonts w:ascii="Helvetica" w:hAnsi="Helvetica"/>
                <w:color w:val="auto"/>
                <w:shd w:val="clear" w:color="auto" w:fill="FFFFFF"/>
              </w:rPr>
              <w:t>NIOSH (</w:t>
            </w:r>
            <w:r>
              <w:rPr>
                <w:rFonts w:ascii="宋体" w:hAnsi="宋体"/>
                <w:color w:val="auto"/>
                <w:shd w:val="clear" w:color="auto" w:fill="FFFFFF"/>
              </w:rPr>
              <w:t>美国</w:t>
            </w:r>
            <w:r>
              <w:rPr>
                <w:rFonts w:ascii="Helvetica" w:hAnsi="Helvetica"/>
                <w:color w:val="auto"/>
                <w:shd w:val="clear" w:color="auto" w:fill="FFFFFF"/>
              </w:rPr>
              <w:t xml:space="preserve">) </w:t>
            </w:r>
            <w:r>
              <w:rPr>
                <w:rFonts w:ascii="宋体" w:hAnsi="宋体"/>
                <w:color w:val="auto"/>
                <w:shd w:val="clear" w:color="auto" w:fill="FFFFFF"/>
              </w:rPr>
              <w:t xml:space="preserve">或 </w:t>
            </w:r>
            <w:r>
              <w:rPr>
                <w:rFonts w:ascii="Helvetica" w:hAnsi="Helvetica"/>
                <w:color w:val="auto"/>
                <w:shd w:val="clear" w:color="auto" w:fill="FFFFFF"/>
              </w:rPr>
              <w:t>EN 166(</w:t>
            </w:r>
            <w:r>
              <w:rPr>
                <w:rFonts w:ascii="宋体" w:hAnsi="宋体"/>
                <w:color w:val="auto"/>
                <w:shd w:val="clear" w:color="auto" w:fill="FFFFFF"/>
              </w:rPr>
              <w:t>欧盟</w:t>
            </w:r>
            <w:r>
              <w:rPr>
                <w:rFonts w:ascii="Helvetica" w:hAnsi="Helvetica"/>
                <w:color w:val="auto"/>
                <w:shd w:val="clear" w:color="auto" w:fill="FFFFFF"/>
              </w:rPr>
              <w:t>)</w:t>
            </w:r>
          </w:p>
          <w:p>
            <w:pPr>
              <w:rPr>
                <w:rFonts w:ascii="等线" w:hAnsi="等线"/>
                <w:color w:val="auto"/>
              </w:rPr>
            </w:pPr>
            <w:r>
              <w:rPr>
                <w:rFonts w:ascii="宋体" w:hAnsi="宋体"/>
                <w:color w:val="auto"/>
                <w:shd w:val="clear" w:color="auto" w:fill="FFFFFF"/>
              </w:rPr>
              <w:t>检测与批准的设备防护眼部。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身体防护：</w:t>
            </w:r>
            <w:r>
              <w:rPr>
                <w:rFonts w:ascii="宋体" w:hAnsi="宋体"/>
                <w:color w:val="auto"/>
                <w:shd w:val="clear" w:color="auto" w:fill="FFFFFF"/>
              </w:rPr>
              <w:t>全套防化学试剂工作服</w:t>
            </w:r>
            <w:r>
              <w:rPr>
                <w:rFonts w:ascii="Helvetica" w:hAnsi="Helvetica"/>
                <w:color w:val="auto"/>
                <w:shd w:val="clear" w:color="auto" w:fill="FFFFFF"/>
              </w:rPr>
              <w:t xml:space="preserve">, </w:t>
            </w:r>
            <w:r>
              <w:rPr>
                <w:rFonts w:ascii="宋体" w:hAnsi="宋体"/>
                <w:color w:val="auto"/>
                <w:shd w:val="clear" w:color="auto" w:fill="FFFFFF"/>
              </w:rPr>
              <w:t>防护设备的类型必须根据特定工作场所中的危险物的浓度和数量来选择。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手防护：</w:t>
            </w:r>
            <w:r>
              <w:rPr>
                <w:rFonts w:ascii="宋体" w:hAnsi="宋体"/>
                <w:color w:val="auto"/>
                <w:shd w:val="clear" w:color="auto" w:fill="FFFFFF"/>
              </w:rPr>
              <w:t>戴手套取</w:t>
            </w:r>
            <w:r>
              <w:rPr>
                <w:rFonts w:ascii="Helvetica" w:hAnsi="Helvetica"/>
                <w:color w:val="auto"/>
                <w:shd w:val="clear" w:color="auto" w:fill="FFFFFF"/>
              </w:rPr>
              <w:t xml:space="preserve"> </w:t>
            </w:r>
            <w:r>
              <w:rPr>
                <w:rFonts w:ascii="宋体" w:hAnsi="宋体"/>
                <w:color w:val="auto"/>
                <w:shd w:val="clear" w:color="auto" w:fill="FFFFFF"/>
              </w:rPr>
              <w:t>手套在使用前必须受检查。</w:t>
            </w:r>
          </w:p>
          <w:p>
            <w:pPr>
              <w:rPr>
                <w:rFonts w:ascii="Helvetica" w:hAnsi="Helvetica"/>
                <w:color w:val="auto"/>
                <w:shd w:val="clear" w:color="auto" w:fill="FFFFFF"/>
              </w:rPr>
            </w:pPr>
            <w:r>
              <w:rPr>
                <w:rFonts w:ascii="宋体" w:hAnsi="宋体"/>
                <w:color w:val="auto"/>
                <w:shd w:val="clear" w:color="auto" w:fill="FFFFFF"/>
              </w:rPr>
              <w:t>请使用合适的方法脱除手套</w:t>
            </w:r>
            <w:r>
              <w:rPr>
                <w:rFonts w:ascii="Helvetica" w:hAnsi="Helvetica"/>
                <w:color w:val="auto"/>
                <w:shd w:val="clear" w:color="auto" w:fill="FFFFFF"/>
              </w:rPr>
              <w:t>(</w:t>
            </w:r>
            <w:r>
              <w:rPr>
                <w:rFonts w:ascii="宋体" w:hAnsi="宋体"/>
                <w:color w:val="auto"/>
                <w:shd w:val="clear" w:color="auto" w:fill="FFFFFF"/>
              </w:rPr>
              <w:t>不要接触手套外部表面</w:t>
            </w:r>
            <w:r>
              <w:rPr>
                <w:rFonts w:ascii="Helvetica" w:hAnsi="Helvetica"/>
                <w:color w:val="auto"/>
                <w:shd w:val="clear" w:color="auto" w:fill="FFFFFF"/>
              </w:rPr>
              <w:t>),</w:t>
            </w:r>
            <w:r>
              <w:rPr>
                <w:rFonts w:ascii="宋体" w:hAnsi="宋体"/>
                <w:color w:val="auto"/>
                <w:shd w:val="clear" w:color="auto" w:fill="FFFFFF"/>
              </w:rPr>
              <w:t>避免任何皮肤部位接触此产品</w:t>
            </w:r>
            <w:r>
              <w:rPr>
                <w:rFonts w:ascii="Helvetica" w:hAnsi="Helvetica"/>
                <w:color w:val="auto"/>
                <w:shd w:val="clear" w:color="auto" w:fill="FFFFFF"/>
              </w:rPr>
              <w:t>.</w:t>
            </w:r>
          </w:p>
          <w:p>
            <w:pPr>
              <w:rPr>
                <w:rFonts w:ascii="Helvetica" w:hAnsi="Helvetica"/>
                <w:color w:val="auto"/>
                <w:shd w:val="clear" w:color="auto" w:fill="FFFFFF"/>
              </w:rPr>
            </w:pPr>
            <w:r>
              <w:rPr>
                <w:rFonts w:ascii="宋体" w:hAnsi="宋体"/>
                <w:color w:val="auto"/>
                <w:shd w:val="clear" w:color="auto" w:fill="FFFFFF"/>
              </w:rPr>
              <w:t>使用后请将被污染过的手套根据相关法律法规和有效的实验室规章程序谨慎处理</w:t>
            </w:r>
            <w:r>
              <w:rPr>
                <w:rFonts w:ascii="Helvetica" w:hAnsi="Helvetica"/>
                <w:color w:val="auto"/>
                <w:shd w:val="clear" w:color="auto" w:fill="FFFFFF"/>
              </w:rPr>
              <w:t xml:space="preserve">. </w:t>
            </w:r>
            <w:r>
              <w:rPr>
                <w:rFonts w:ascii="宋体" w:hAnsi="宋体"/>
                <w:color w:val="auto"/>
                <w:shd w:val="clear" w:color="auto" w:fill="FFFFFF"/>
              </w:rPr>
              <w:t>请清洗并吹干双手</w:t>
            </w:r>
          </w:p>
          <w:p>
            <w:pPr>
              <w:rPr>
                <w:rFonts w:ascii="等线" w:hAnsi="等线"/>
                <w:color w:val="auto"/>
              </w:rPr>
            </w:pPr>
            <w:r>
              <w:rPr>
                <w:rFonts w:ascii="宋体" w:hAnsi="宋体"/>
                <w:color w:val="auto"/>
                <w:shd w:val="clear" w:color="auto" w:fill="FFFFFF"/>
              </w:rPr>
              <w:t>所选择的保护手套必须符合</w:t>
            </w:r>
            <w:r>
              <w:rPr>
                <w:rFonts w:ascii="Helvetica" w:hAnsi="Helvetica"/>
                <w:color w:val="auto"/>
                <w:shd w:val="clear" w:color="auto" w:fill="FFFFFF"/>
              </w:rPr>
              <w:t>EU</w:t>
            </w:r>
            <w:r>
              <w:rPr>
                <w:rFonts w:ascii="宋体" w:hAnsi="宋体"/>
                <w:color w:val="auto"/>
                <w:shd w:val="clear" w:color="auto" w:fill="FFFFFF"/>
              </w:rPr>
              <w:t>的</w:t>
            </w:r>
            <w:r>
              <w:rPr>
                <w:rFonts w:ascii="Helvetica" w:hAnsi="Helvetica"/>
                <w:color w:val="auto"/>
                <w:shd w:val="clear" w:color="auto" w:fill="FFFFFF"/>
              </w:rPr>
              <w:t>89/686/EEC</w:t>
            </w:r>
            <w:r>
              <w:rPr>
                <w:rFonts w:ascii="宋体" w:hAnsi="宋体"/>
                <w:color w:val="auto"/>
                <w:shd w:val="clear" w:color="auto" w:fill="FFFFFF"/>
              </w:rPr>
              <w:t>规定和从它衍生出来的</w:t>
            </w:r>
            <w:r>
              <w:rPr>
                <w:rFonts w:ascii="Helvetica" w:hAnsi="Helvetica"/>
                <w:color w:val="auto"/>
                <w:shd w:val="clear" w:color="auto" w:fill="FFFFFF"/>
              </w:rPr>
              <w:t>EN 376</w:t>
            </w:r>
            <w:r>
              <w:rPr>
                <w:rFonts w:ascii="宋体" w:hAnsi="宋体"/>
                <w:color w:val="auto"/>
                <w:shd w:val="clear" w:color="auto" w:fill="FFFFFF"/>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b/>
                <w:bCs/>
                <w:color w:val="auto"/>
              </w:rPr>
            </w:pPr>
            <w:r>
              <w:rPr>
                <w:rFonts w:hint="eastAsia" w:ascii="宋体" w:hAnsi="宋体"/>
                <w:b/>
                <w:bCs/>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外观与性状：</w:t>
            </w:r>
            <w:r>
              <w:rPr>
                <w:rFonts w:ascii="宋体" w:hAnsi="宋体"/>
                <w:color w:val="auto"/>
                <w:shd w:val="clear" w:color="auto" w:fill="FFFFFF"/>
              </w:rPr>
              <w:t>纯品为白色、无臭、无味结晶固体。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pH</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熔点</w:t>
            </w:r>
            <w:r>
              <w:rPr>
                <w:rFonts w:hint="eastAsia"/>
                <w:color w:val="auto"/>
              </w:rPr>
              <w:t>(℃)</w:t>
            </w:r>
            <w:r>
              <w:rPr>
                <w:rFonts w:hint="eastAsia" w:ascii="宋体" w:hAnsi="宋体"/>
                <w:color w:val="auto"/>
              </w:rPr>
              <w:t>：</w:t>
            </w:r>
            <w:r>
              <w:rPr>
                <w:rFonts w:ascii="Helvetica" w:hAnsi="Helvetica"/>
                <w:color w:val="auto"/>
                <w:shd w:val="clear" w:color="auto" w:fill="FFFFFF"/>
              </w:rPr>
              <w:t>213°C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w:t>
            </w:r>
            <w:r>
              <w:rPr>
                <w:rFonts w:ascii="Helvetica" w:hAnsi="Helvetica"/>
                <w:color w:val="auto"/>
                <w:shd w:val="clear" w:color="auto" w:fill="FFFFFF"/>
              </w:rPr>
              <w:t>1.5±0.1 g/cm3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沸点</w:t>
            </w:r>
            <w:r>
              <w:rPr>
                <w:rFonts w:hint="eastAsia"/>
                <w:color w:val="auto"/>
              </w:rPr>
              <w:t>(℃)</w:t>
            </w:r>
            <w:r>
              <w:rPr>
                <w:rFonts w:hint="eastAsia" w:ascii="宋体" w:hAnsi="宋体"/>
                <w:color w:val="auto"/>
              </w:rPr>
              <w:t>：</w:t>
            </w:r>
            <w:r>
              <w:rPr>
                <w:rFonts w:ascii="Helvetica" w:hAnsi="Helvetica"/>
                <w:color w:val="auto"/>
                <w:shd w:val="clear" w:color="auto" w:fill="FFFFFF"/>
              </w:rPr>
              <w:t>410.5±55.0 °C at 760 mmHg</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相对蒸气密度</w:t>
            </w: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分子式：</w:t>
            </w:r>
            <w:r>
              <w:rPr>
                <w:rFonts w:ascii="Helvetica" w:hAnsi="Helvetica"/>
                <w:color w:val="auto"/>
                <w:shd w:val="clear" w:color="auto" w:fill="FFFFFF"/>
              </w:rPr>
              <w:t>C</w:t>
            </w:r>
            <w:r>
              <w:rPr>
                <w:rFonts w:ascii="Helvetica" w:hAnsi="Helvetica"/>
                <w:color w:val="auto"/>
              </w:rPr>
              <w:t>9</w:t>
            </w:r>
            <w:r>
              <w:rPr>
                <w:rFonts w:ascii="Helvetica" w:hAnsi="Helvetica"/>
                <w:color w:val="auto"/>
                <w:shd w:val="clear" w:color="auto" w:fill="FFFFFF"/>
              </w:rPr>
              <w:t>H</w:t>
            </w:r>
            <w:r>
              <w:rPr>
                <w:rFonts w:ascii="Helvetica" w:hAnsi="Helvetica"/>
                <w:color w:val="auto"/>
              </w:rPr>
              <w:t>8</w:t>
            </w:r>
            <w:r>
              <w:rPr>
                <w:rFonts w:ascii="Helvetica" w:hAnsi="Helvetica"/>
                <w:color w:val="auto"/>
                <w:shd w:val="clear" w:color="auto" w:fill="FFFFFF"/>
              </w:rPr>
              <w:t>N</w:t>
            </w:r>
            <w:r>
              <w:rPr>
                <w:rFonts w:ascii="Helvetica" w:hAnsi="Helvetica"/>
                <w:color w:val="auto"/>
              </w:rPr>
              <w:t>4</w:t>
            </w:r>
            <w:r>
              <w:rPr>
                <w:rFonts w:ascii="Helvetica" w:hAnsi="Helvetica"/>
                <w:color w:val="auto"/>
                <w:shd w:val="clear" w:color="auto" w:fill="FFFFFF"/>
              </w:rPr>
              <w:t>OS</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分子量：</w:t>
            </w:r>
            <w:r>
              <w:rPr>
                <w:rFonts w:ascii="Helvetica" w:hAnsi="Helvetica"/>
                <w:color w:val="auto"/>
                <w:shd w:val="clear" w:color="auto" w:fill="FFFFFF"/>
              </w:rPr>
              <w:t>220.251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主要成分：噻苯隆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饱和蒸气压</w:t>
            </w:r>
            <w:r>
              <w:rPr>
                <w:rFonts w:hint="eastAsia"/>
                <w:color w:val="auto"/>
              </w:rPr>
              <w:t>(kPa)</w:t>
            </w:r>
            <w:r>
              <w:rPr>
                <w:rFonts w:hint="eastAsia" w:ascii="宋体" w:hAnsi="宋体"/>
                <w:color w:val="auto"/>
              </w:rPr>
              <w:t>：</w:t>
            </w:r>
            <w:r>
              <w:rPr>
                <w:rFonts w:ascii="Helvetica" w:hAnsi="Helvetica"/>
                <w:color w:val="auto"/>
                <w:shd w:val="clear" w:color="auto" w:fill="FFFFFF"/>
              </w:rPr>
              <w:t>0.0±1.0 mmHg at 25°C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燃烧热</w:t>
            </w:r>
            <w:r>
              <w:rPr>
                <w:rFonts w:hint="eastAsia"/>
                <w:color w:val="auto"/>
              </w:rPr>
              <w:t>(kJ/mol)</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临界温度</w:t>
            </w:r>
            <w:r>
              <w:rPr>
                <w:rFonts w:hint="eastAsia"/>
                <w:color w:val="auto"/>
              </w:rPr>
              <w:t>(℃)</w:t>
            </w:r>
            <w:r>
              <w:rPr>
                <w:rFonts w:hint="eastAsia" w:ascii="宋体" w:hAnsi="宋体"/>
                <w:color w:val="auto"/>
              </w:rPr>
              <w:t>：未确定</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临界压力</w:t>
            </w:r>
            <w:r>
              <w:rPr>
                <w:rFonts w:hint="eastAsia"/>
                <w:color w:val="auto"/>
              </w:rPr>
              <w:t>(MPa)</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闪点</w:t>
            </w:r>
            <w:r>
              <w:rPr>
                <w:rFonts w:hint="eastAsia"/>
                <w:color w:val="auto"/>
              </w:rPr>
              <w:t>(℃)</w:t>
            </w:r>
            <w:r>
              <w:rPr>
                <w:rFonts w:hint="eastAsia" w:ascii="宋体" w:hAnsi="宋体"/>
                <w:color w:val="auto"/>
              </w:rPr>
              <w:t>：</w:t>
            </w:r>
            <w:r>
              <w:rPr>
                <w:rFonts w:ascii="Helvetica" w:hAnsi="Helvetica"/>
                <w:color w:val="auto"/>
                <w:shd w:val="clear" w:color="auto" w:fill="FFFFFF"/>
              </w:rPr>
              <w:t>202.1±31.5 °C</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爆炸上限</w:t>
            </w:r>
            <w:r>
              <w:rPr>
                <w:rFonts w:hint="eastAsia"/>
                <w:color w:val="auto"/>
              </w:rPr>
              <w:t>%(V/V)</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引燃温度</w:t>
            </w:r>
            <w:r>
              <w:rPr>
                <w:rFonts w:hint="eastAsia"/>
                <w:color w:val="auto"/>
              </w:rPr>
              <w:t>(℃)</w:t>
            </w:r>
            <w:r>
              <w:rPr>
                <w:rFonts w:hint="eastAsia" w:ascii="宋体" w:hAnsi="宋体"/>
                <w:color w:val="auto"/>
              </w:rPr>
              <w:t>：未确定</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爆炸下限</w:t>
            </w:r>
            <w:r>
              <w:rPr>
                <w:rFonts w:hint="eastAsia"/>
                <w:color w:val="auto"/>
              </w:rPr>
              <w:t>%(V/V)</w:t>
            </w:r>
            <w:r>
              <w:rPr>
                <w:rFonts w:hint="eastAsia" w:ascii="宋体" w:hAnsi="宋体"/>
                <w:color w:val="auto"/>
              </w:rPr>
              <w:t>：未确定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溶解性：</w:t>
            </w:r>
            <w:r>
              <w:rPr>
                <w:rFonts w:ascii="宋体" w:hAnsi="宋体"/>
                <w:color w:val="auto"/>
                <w:shd w:val="clear" w:color="auto" w:fill="FFFFFF"/>
              </w:rPr>
              <w:t>稍微溶于水的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pStyle w:val="27"/>
              <w:spacing w:before="0" w:beforeAutospacing="0" w:after="150" w:afterAutospacing="0"/>
              <w:rPr>
                <w:rFonts w:ascii="Helvetica" w:hAnsi="Helvetica"/>
                <w:color w:val="auto"/>
                <w:sz w:val="21"/>
              </w:rPr>
            </w:pPr>
            <w:r>
              <w:rPr>
                <w:rFonts w:hint="eastAsia"/>
                <w:color w:val="auto"/>
                <w:sz w:val="21"/>
              </w:rPr>
              <w:t>主要用途：</w:t>
            </w:r>
            <w:r>
              <w:rPr>
                <w:rFonts w:ascii="Helvetica" w:hAnsi="Helvetica"/>
                <w:color w:val="auto"/>
                <w:sz w:val="21"/>
              </w:rPr>
              <w:t>1.</w:t>
            </w:r>
            <w:r>
              <w:rPr>
                <w:color w:val="auto"/>
                <w:sz w:val="21"/>
              </w:rPr>
              <w:t>脲类植物生长调节剂，具有细胞激动素活性。主要用作棉花脱叶剂，也可用于苹果树、葡萄树、木槿属脱叶及菜豆、大豆、花生等作物。有明显的抑制作用，用量为</w:t>
            </w:r>
            <w:r>
              <w:rPr>
                <w:rFonts w:ascii="Helvetica" w:hAnsi="Helvetica"/>
                <w:color w:val="auto"/>
                <w:sz w:val="21"/>
              </w:rPr>
              <w:t>0.3</w:t>
            </w:r>
            <w:r>
              <w:rPr>
                <w:color w:val="auto"/>
                <w:sz w:val="21"/>
              </w:rPr>
              <w:t>～</w:t>
            </w:r>
            <w:r>
              <w:rPr>
                <w:rFonts w:ascii="Helvetica" w:hAnsi="Helvetica"/>
                <w:color w:val="auto"/>
                <w:sz w:val="21"/>
              </w:rPr>
              <w:t>3kg/hm2</w:t>
            </w:r>
            <w:r>
              <w:rPr>
                <w:color w:val="auto"/>
                <w:sz w:val="21"/>
              </w:rPr>
              <w:t>。如棉田用量为</w:t>
            </w:r>
            <w:r>
              <w:rPr>
                <w:rFonts w:ascii="Helvetica" w:hAnsi="Helvetica"/>
                <w:color w:val="auto"/>
                <w:sz w:val="21"/>
              </w:rPr>
              <w:t>0.5kg/hm2</w:t>
            </w:r>
            <w:r>
              <w:rPr>
                <w:color w:val="auto"/>
                <w:sz w:val="21"/>
              </w:rPr>
              <w:t>，在</w:t>
            </w:r>
            <w:r>
              <w:rPr>
                <w:rFonts w:ascii="Helvetica" w:hAnsi="Helvetica"/>
                <w:color w:val="auto"/>
                <w:sz w:val="21"/>
              </w:rPr>
              <w:t>50%</w:t>
            </w:r>
            <w:r>
              <w:rPr>
                <w:color w:val="auto"/>
                <w:sz w:val="21"/>
              </w:rPr>
              <w:t>～</w:t>
            </w:r>
            <w:r>
              <w:rPr>
                <w:rFonts w:ascii="Helvetica" w:hAnsi="Helvetica"/>
                <w:color w:val="auto"/>
                <w:sz w:val="21"/>
              </w:rPr>
              <w:t>60%</w:t>
            </w:r>
            <w:r>
              <w:rPr>
                <w:color w:val="auto"/>
                <w:sz w:val="21"/>
              </w:rPr>
              <w:t>棉桃打开时用药，将制剂稀释成</w:t>
            </w:r>
            <w:r>
              <w:rPr>
                <w:rFonts w:ascii="Helvetica" w:hAnsi="Helvetica"/>
                <w:color w:val="auto"/>
                <w:sz w:val="21"/>
              </w:rPr>
              <w:t>500L/hm2</w:t>
            </w:r>
            <w:r>
              <w:rPr>
                <w:color w:val="auto"/>
                <w:sz w:val="21"/>
              </w:rPr>
              <w:t>的水溶液，喷于植株上，脱叶效果</w:t>
            </w:r>
            <w:r>
              <w:rPr>
                <w:rFonts w:ascii="Helvetica" w:hAnsi="Helvetica"/>
                <w:color w:val="auto"/>
                <w:sz w:val="21"/>
              </w:rPr>
              <w:t>98%</w:t>
            </w:r>
            <w:r>
              <w:rPr>
                <w:color w:val="auto"/>
                <w:sz w:val="21"/>
              </w:rPr>
              <w:t>。还可用于防治稗草、狗牙草、马唐、看麦娘、匍匐冰草、猪殃殃等杂草，用量</w:t>
            </w:r>
            <w:r>
              <w:rPr>
                <w:rFonts w:ascii="Helvetica" w:hAnsi="Helvetica"/>
                <w:color w:val="auto"/>
                <w:sz w:val="21"/>
              </w:rPr>
              <w:t>3kg/hm2</w:t>
            </w:r>
            <w:r>
              <w:rPr>
                <w:color w:val="auto"/>
                <w:sz w:val="21"/>
              </w:rPr>
              <w:t>，防效近</w:t>
            </w:r>
            <w:r>
              <w:rPr>
                <w:rFonts w:ascii="Helvetica" w:hAnsi="Helvetica"/>
                <w:color w:val="auto"/>
                <w:sz w:val="21"/>
              </w:rPr>
              <w:t>100%</w:t>
            </w:r>
            <w:r>
              <w:rPr>
                <w:color w:val="auto"/>
                <w:sz w:val="21"/>
              </w:rPr>
              <w:t>。</w:t>
            </w:r>
          </w:p>
          <w:p>
            <w:pPr>
              <w:pStyle w:val="27"/>
              <w:spacing w:before="0" w:beforeAutospacing="0" w:after="150" w:afterAutospacing="0"/>
              <w:rPr>
                <w:rFonts w:ascii="Helvetica" w:hAnsi="Helvetica"/>
                <w:color w:val="auto"/>
                <w:sz w:val="21"/>
              </w:rPr>
            </w:pPr>
            <w:r>
              <w:rPr>
                <w:rFonts w:ascii="Helvetica" w:hAnsi="Helvetica"/>
                <w:color w:val="auto"/>
                <w:sz w:val="21"/>
              </w:rPr>
              <w:t>2.</w:t>
            </w:r>
            <w:r>
              <w:rPr>
                <w:color w:val="auto"/>
                <w:sz w:val="21"/>
              </w:rPr>
              <w:t>脲类植物生长调节剂，主要用作棉花脱叶剂，也可用于苹果树、葡萄树及菜豆、大豆、花生等作物。还可用于防治稗草、狗牙草、马唐、看麦娘、匍匐冰草、猪殃殃等杂草。</w:t>
            </w:r>
          </w:p>
          <w:p>
            <w:pPr>
              <w:rPr>
                <w:rFonts w:ascii="等线" w:hAnsi="等线"/>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稳定性：</w:t>
            </w:r>
            <w:r>
              <w:rPr>
                <w:rFonts w:ascii="宋体" w:hAnsi="宋体"/>
                <w:color w:val="auto"/>
                <w:shd w:val="clear" w:color="auto" w:fill="FFFFFF"/>
              </w:rPr>
              <w:t>如果遵照规格使用和储存则不会分解，未有已知危险反应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禁配物：</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避免接触的条件：</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聚合危害：</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分解产物：</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急性毒性：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LD50</w:t>
            </w:r>
            <w:r>
              <w:rPr>
                <w:rFonts w:hint="eastAsia" w:ascii="宋体" w:hAnsi="宋体"/>
                <w:color w:val="auto"/>
              </w:rPr>
              <w:t>：</w:t>
            </w:r>
            <w:r>
              <w:rPr>
                <w:rFonts w:ascii="宋体" w:hAnsi="宋体"/>
                <w:color w:val="auto"/>
                <w:shd w:val="clear" w:color="auto" w:fill="FFFFFF"/>
              </w:rPr>
              <w:t>经口</w:t>
            </w:r>
            <w:r>
              <w:rPr>
                <w:rFonts w:ascii="Helvetica" w:hAnsi="Helvetica"/>
                <w:color w:val="auto"/>
                <w:shd w:val="clear" w:color="auto" w:fill="FFFFFF"/>
              </w:rPr>
              <w:t xml:space="preserve"> - </w:t>
            </w:r>
            <w:r>
              <w:rPr>
                <w:rFonts w:ascii="宋体" w:hAnsi="宋体"/>
                <w:color w:val="auto"/>
                <w:shd w:val="clear" w:color="auto" w:fill="FFFFFF"/>
              </w:rPr>
              <w:t xml:space="preserve">大鼠 </w:t>
            </w:r>
            <w:r>
              <w:rPr>
                <w:rFonts w:ascii="Helvetica" w:hAnsi="Helvetica"/>
                <w:color w:val="auto"/>
                <w:shd w:val="clear" w:color="auto" w:fill="FFFFFF"/>
              </w:rPr>
              <w:t>- 5,350 mg/kg  </w:t>
            </w:r>
            <w:r>
              <w:rPr>
                <w:rFonts w:ascii="宋体" w:hAnsi="宋体"/>
                <w:color w:val="auto"/>
                <w:shd w:val="clear" w:color="auto" w:fill="FFFFFF"/>
              </w:rPr>
              <w:t xml:space="preserve">经皮 </w:t>
            </w:r>
            <w:r>
              <w:rPr>
                <w:rFonts w:ascii="Helvetica" w:hAnsi="Helvetica"/>
                <w:color w:val="auto"/>
                <w:shd w:val="clear" w:color="auto" w:fill="FFFFFF"/>
              </w:rPr>
              <w:t xml:space="preserve">- </w:t>
            </w:r>
            <w:r>
              <w:rPr>
                <w:rFonts w:ascii="宋体" w:hAnsi="宋体"/>
                <w:color w:val="auto"/>
                <w:shd w:val="clear" w:color="auto" w:fill="FFFFFF"/>
              </w:rPr>
              <w:t xml:space="preserve">兔子 </w:t>
            </w:r>
            <w:r>
              <w:rPr>
                <w:rFonts w:ascii="Helvetica" w:hAnsi="Helvetica"/>
                <w:color w:val="auto"/>
                <w:shd w:val="clear" w:color="auto" w:fill="FFFFFF"/>
              </w:rPr>
              <w:t>- &gt; 1,000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LC50</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亚急性和慢性毒性：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刺激性：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致敏性：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致突变性：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致畸性：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致癌性：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生态毒理毒性：</w:t>
            </w:r>
            <w:r>
              <w:rPr>
                <w:rFonts w:ascii="宋体" w:hAnsi="宋体"/>
                <w:color w:val="auto"/>
                <w:shd w:val="clear" w:color="auto" w:fill="FFFFFF"/>
              </w:rPr>
              <w:t>对鱼类的毒性半数致死浓度（</w:t>
            </w:r>
            <w:r>
              <w:rPr>
                <w:rFonts w:ascii="Helvetica" w:hAnsi="Helvetica"/>
                <w:color w:val="auto"/>
                <w:shd w:val="clear" w:color="auto" w:fill="FFFFFF"/>
              </w:rPr>
              <w:t>LC50</w:t>
            </w:r>
            <w:r>
              <w:rPr>
                <w:rFonts w:ascii="宋体" w:hAnsi="宋体"/>
                <w:color w:val="auto"/>
                <w:shd w:val="clear" w:color="auto" w:fill="FFFFFF"/>
              </w:rPr>
              <w:t xml:space="preserve">） </w:t>
            </w:r>
            <w:r>
              <w:rPr>
                <w:rFonts w:ascii="Helvetica" w:hAnsi="Helvetica"/>
                <w:color w:val="auto"/>
                <w:shd w:val="clear" w:color="auto" w:fill="FFFFFF"/>
              </w:rPr>
              <w:t xml:space="preserve">- </w:t>
            </w:r>
            <w:r>
              <w:rPr>
                <w:rFonts w:ascii="宋体" w:hAnsi="宋体"/>
                <w:color w:val="auto"/>
                <w:shd w:val="clear" w:color="auto" w:fill="FFFFFF"/>
              </w:rPr>
              <w:t xml:space="preserve">虹鳟 </w:t>
            </w:r>
            <w:r>
              <w:rPr>
                <w:rFonts w:ascii="Helvetica" w:hAnsi="Helvetica"/>
                <w:color w:val="auto"/>
                <w:shd w:val="clear" w:color="auto" w:fill="FFFFFF"/>
              </w:rPr>
              <w:t>(</w:t>
            </w:r>
            <w:r>
              <w:rPr>
                <w:rFonts w:ascii="宋体" w:hAnsi="宋体"/>
                <w:color w:val="auto"/>
                <w:shd w:val="clear" w:color="auto" w:fill="FFFFFF"/>
              </w:rPr>
              <w:t>红鳟鱼</w:t>
            </w:r>
            <w:r>
              <w:rPr>
                <w:rFonts w:ascii="Helvetica" w:hAnsi="Helvetica"/>
                <w:color w:val="auto"/>
                <w:shd w:val="clear" w:color="auto" w:fill="FFFFFF"/>
              </w:rPr>
              <w:t>) - &gt; 19 mg/l - 96 h</w:t>
            </w:r>
          </w:p>
          <w:p>
            <w:pPr>
              <w:rPr>
                <w:rFonts w:ascii="Helvetica" w:hAnsi="Helvetica"/>
                <w:color w:val="auto"/>
                <w:shd w:val="clear" w:color="auto" w:fill="FFFFFF"/>
              </w:rPr>
            </w:pPr>
            <w:r>
              <w:rPr>
                <w:rFonts w:ascii="宋体" w:hAnsi="宋体"/>
                <w:color w:val="auto"/>
                <w:shd w:val="clear" w:color="auto" w:fill="FFFFFF"/>
              </w:rPr>
              <w:t>对水蚤和其他水生无脊半数效应浓度（</w:t>
            </w:r>
            <w:r>
              <w:rPr>
                <w:rFonts w:ascii="Helvetica" w:hAnsi="Helvetica"/>
                <w:color w:val="auto"/>
                <w:shd w:val="clear" w:color="auto" w:fill="FFFFFF"/>
              </w:rPr>
              <w:t>EC50</w:t>
            </w:r>
            <w:r>
              <w:rPr>
                <w:rFonts w:ascii="宋体" w:hAnsi="宋体"/>
                <w:color w:val="auto"/>
                <w:shd w:val="clear" w:color="auto" w:fill="FFFFFF"/>
              </w:rPr>
              <w:t xml:space="preserve">） </w:t>
            </w:r>
            <w:r>
              <w:rPr>
                <w:rFonts w:ascii="Helvetica" w:hAnsi="Helvetica"/>
                <w:color w:val="auto"/>
                <w:shd w:val="clear" w:color="auto" w:fill="FFFFFF"/>
              </w:rPr>
              <w:t xml:space="preserve">- </w:t>
            </w:r>
            <w:r>
              <w:rPr>
                <w:rFonts w:ascii="宋体" w:hAnsi="宋体"/>
                <w:color w:val="auto"/>
                <w:shd w:val="clear" w:color="auto" w:fill="FFFFFF"/>
              </w:rPr>
              <w:t xml:space="preserve">大型蚤 </w:t>
            </w:r>
            <w:r>
              <w:rPr>
                <w:rFonts w:ascii="Helvetica" w:hAnsi="Helvetica"/>
                <w:color w:val="auto"/>
                <w:shd w:val="clear" w:color="auto" w:fill="FFFFFF"/>
              </w:rPr>
              <w:t>(</w:t>
            </w:r>
            <w:r>
              <w:rPr>
                <w:rFonts w:ascii="宋体" w:hAnsi="宋体"/>
                <w:color w:val="auto"/>
                <w:shd w:val="clear" w:color="auto" w:fill="FFFFFF"/>
              </w:rPr>
              <w:t>水蚤</w:t>
            </w:r>
            <w:r>
              <w:rPr>
                <w:rFonts w:ascii="Helvetica" w:hAnsi="Helvetica"/>
                <w:color w:val="auto"/>
                <w:shd w:val="clear" w:color="auto" w:fill="FFFFFF"/>
              </w:rPr>
              <w:t>) - 10 mg/l - 48 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等线" w:hAnsi="等线"/>
                <w:color w:val="auto"/>
              </w:rPr>
            </w:pPr>
            <w:r>
              <w:rPr>
                <w:rFonts w:hint="eastAsia" w:ascii="宋体" w:hAnsi="宋体"/>
                <w:color w:val="auto"/>
              </w:rPr>
              <w:t>生物降解性：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非生物降解性：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生物富集或生物积累性：</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其它有害作用：</w:t>
            </w:r>
            <w:r>
              <w:rPr>
                <w:rFonts w:ascii="宋体" w:hAnsi="宋体"/>
                <w:color w:val="auto"/>
                <w:shd w:val="clear" w:color="auto" w:fill="FFFFFF"/>
              </w:rPr>
              <w:t>无数据资料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废弃物性质：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ascii="宋体" w:hAnsi="宋体"/>
                <w:color w:val="auto"/>
              </w:rPr>
              <w:t>废弃处置方法：</w:t>
            </w:r>
            <w:r>
              <w:rPr>
                <w:rFonts w:ascii="宋体" w:hAnsi="宋体"/>
                <w:color w:val="auto"/>
                <w:shd w:val="clear" w:color="auto" w:fill="FFFFFF"/>
              </w:rPr>
              <w:t>将剩余的和不可回收的溶液交给有许可证的公司处理。</w:t>
            </w:r>
          </w:p>
          <w:p>
            <w:pPr>
              <w:rPr>
                <w:rFonts w:ascii="Helvetica" w:hAnsi="Helvetica"/>
                <w:color w:val="auto"/>
                <w:shd w:val="clear" w:color="auto" w:fill="FFFFFF"/>
              </w:rPr>
            </w:pPr>
            <w:r>
              <w:rPr>
                <w:rFonts w:ascii="宋体" w:hAnsi="宋体"/>
                <w:color w:val="auto"/>
                <w:shd w:val="clear" w:color="auto" w:fill="FFFFFF"/>
              </w:rPr>
              <w:t>联系专业的拥有废弃物处理执照的机构来处理此物质。</w:t>
            </w:r>
          </w:p>
          <w:p>
            <w:pPr>
              <w:rPr>
                <w:rFonts w:ascii="Helvetica" w:hAnsi="Helvetica"/>
                <w:color w:val="auto"/>
                <w:shd w:val="clear" w:color="auto" w:fill="FFFFFF"/>
              </w:rPr>
            </w:pPr>
            <w:r>
              <w:rPr>
                <w:rFonts w:ascii="宋体" w:hAnsi="宋体"/>
                <w:color w:val="auto"/>
                <w:shd w:val="clear" w:color="auto" w:fill="FFFFFF"/>
              </w:rPr>
              <w:t>与易燃溶剂相溶或者相混合，在备有燃烧后处理和洗刷作用的化学焚化炉中燃烧</w:t>
            </w:r>
          </w:p>
          <w:p>
            <w:pPr>
              <w:rPr>
                <w:rFonts w:ascii="Helvetica" w:hAnsi="Helvetica"/>
                <w:color w:val="auto"/>
                <w:shd w:val="clear" w:color="auto" w:fill="FFFFFF"/>
              </w:rPr>
            </w:pPr>
            <w:r>
              <w:rPr>
                <w:rFonts w:ascii="宋体" w:hAnsi="宋体"/>
                <w:color w:val="auto"/>
                <w:shd w:val="clear" w:color="auto" w:fill="FFFFFF"/>
              </w:rPr>
              <w:t>受污染的容器和包装</w:t>
            </w:r>
          </w:p>
          <w:p>
            <w:pPr>
              <w:rPr>
                <w:rFonts w:ascii="等线" w:hAnsi="等线"/>
                <w:color w:val="auto"/>
              </w:rPr>
            </w:pPr>
            <w:r>
              <w:rPr>
                <w:rFonts w:ascii="宋体" w:hAnsi="宋体"/>
                <w:color w:val="auto"/>
                <w:shd w:val="clear" w:color="auto" w:fill="FFFFFF"/>
              </w:rPr>
              <w:t>按未用产品处置。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危险货物编号：</w:t>
            </w:r>
            <w:r>
              <w:rPr>
                <w:rFonts w:ascii="宋体" w:hAnsi="宋体"/>
                <w:color w:val="auto"/>
                <w:shd w:val="clear" w:color="auto" w:fill="FFFFFF"/>
              </w:rPr>
              <w:t>欧洲陆运危规</w:t>
            </w:r>
            <w:r>
              <w:rPr>
                <w:rFonts w:ascii="Helvetica" w:hAnsi="Helvetica"/>
                <w:color w:val="auto"/>
                <w:shd w:val="clear" w:color="auto" w:fill="FFFFFF"/>
              </w:rPr>
              <w:t>: -</w:t>
            </w:r>
            <w:r>
              <w:rPr>
                <w:rFonts w:ascii="宋体" w:hAnsi="宋体"/>
                <w:color w:val="auto"/>
                <w:shd w:val="clear" w:color="auto" w:fill="FFFFFF"/>
              </w:rPr>
              <w:t>国际海运危规</w:t>
            </w:r>
            <w:r>
              <w:rPr>
                <w:rFonts w:ascii="Helvetica" w:hAnsi="Helvetica"/>
                <w:color w:val="auto"/>
                <w:shd w:val="clear" w:color="auto" w:fill="FFFFFF"/>
              </w:rPr>
              <w:t>: -</w:t>
            </w:r>
            <w:r>
              <w:rPr>
                <w:rFonts w:ascii="宋体" w:hAnsi="宋体"/>
                <w:color w:val="auto"/>
                <w:shd w:val="clear" w:color="auto" w:fill="FFFFFF"/>
              </w:rPr>
              <w:t>国际空运危规</w:t>
            </w:r>
            <w:r>
              <w:rPr>
                <w:rFonts w:ascii="Helvetica" w:hAnsi="Helvetica"/>
                <w:color w:val="auto"/>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rFonts w:ascii="Helvetica" w:hAnsi="Helvetica"/>
                <w:color w:val="auto"/>
                <w:shd w:val="clear" w:color="auto" w:fill="FFFFFF"/>
              </w:rPr>
            </w:pPr>
            <w:r>
              <w:rPr>
                <w:rFonts w:hint="eastAsia"/>
                <w:color w:val="auto"/>
              </w:rPr>
              <w:t>UN</w:t>
            </w:r>
            <w:r>
              <w:rPr>
                <w:rFonts w:hint="eastAsia" w:ascii="宋体" w:hAnsi="宋体"/>
                <w:color w:val="auto"/>
              </w:rPr>
              <w:t>编号：</w:t>
            </w:r>
            <w:r>
              <w:rPr>
                <w:rFonts w:ascii="宋体" w:hAnsi="宋体"/>
                <w:color w:val="auto"/>
                <w:shd w:val="clear" w:color="auto" w:fill="FFFFFF"/>
              </w:rPr>
              <w:t>欧洲陆运危规</w:t>
            </w:r>
            <w:r>
              <w:rPr>
                <w:rFonts w:ascii="Helvetica" w:hAnsi="Helvetica"/>
                <w:color w:val="auto"/>
                <w:shd w:val="clear" w:color="auto" w:fill="FFFFFF"/>
              </w:rPr>
              <w:t xml:space="preserve">: </w:t>
            </w:r>
            <w:r>
              <w:rPr>
                <w:rFonts w:ascii="宋体" w:hAnsi="宋体"/>
                <w:color w:val="auto"/>
                <w:shd w:val="clear" w:color="auto" w:fill="FFFFFF"/>
              </w:rPr>
              <w:t>非危险货物</w:t>
            </w:r>
          </w:p>
          <w:p>
            <w:pPr>
              <w:rPr>
                <w:rFonts w:ascii="Helvetica" w:hAnsi="Helvetica"/>
                <w:color w:val="auto"/>
                <w:shd w:val="clear" w:color="auto" w:fill="FFFFFF"/>
              </w:rPr>
            </w:pPr>
            <w:r>
              <w:rPr>
                <w:rFonts w:ascii="宋体" w:hAnsi="宋体"/>
                <w:color w:val="auto"/>
                <w:shd w:val="clear" w:color="auto" w:fill="FFFFFF"/>
              </w:rPr>
              <w:t>国际海运危规</w:t>
            </w:r>
            <w:r>
              <w:rPr>
                <w:rFonts w:ascii="Helvetica" w:hAnsi="Helvetica"/>
                <w:color w:val="auto"/>
                <w:shd w:val="clear" w:color="auto" w:fill="FFFFFF"/>
              </w:rPr>
              <w:t xml:space="preserve">: </w:t>
            </w:r>
            <w:r>
              <w:rPr>
                <w:rFonts w:ascii="宋体" w:hAnsi="宋体"/>
                <w:color w:val="auto"/>
                <w:shd w:val="clear" w:color="auto" w:fill="FFFFFF"/>
              </w:rPr>
              <w:t>非危险货物</w:t>
            </w:r>
          </w:p>
          <w:p>
            <w:pPr>
              <w:rPr>
                <w:rFonts w:ascii="等线" w:hAnsi="等线"/>
                <w:color w:val="auto"/>
              </w:rPr>
            </w:pPr>
            <w:r>
              <w:rPr>
                <w:rFonts w:ascii="宋体" w:hAnsi="宋体"/>
                <w:color w:val="auto"/>
                <w:shd w:val="clear" w:color="auto" w:fill="FFFFFF"/>
              </w:rPr>
              <w:t>国际空运危规</w:t>
            </w:r>
            <w:r>
              <w:rPr>
                <w:rFonts w:ascii="Helvetica" w:hAnsi="Helvetica"/>
                <w:color w:val="auto"/>
                <w:shd w:val="clear" w:color="auto" w:fill="FFFFFF"/>
              </w:rPr>
              <w:t xml:space="preserve">: </w:t>
            </w:r>
            <w:r>
              <w:rPr>
                <w:rFonts w:ascii="宋体" w:hAnsi="宋体"/>
                <w:color w:val="auto"/>
                <w:shd w:val="clear" w:color="auto" w:fill="FFFFFF"/>
              </w:rPr>
              <w:t>非危险货物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运输注意事项：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6" w:hRule="atLeast"/>
        </w:trPr>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法规信息</w:t>
            </w:r>
            <w:r>
              <w:rPr>
                <w:rFonts w:hint="eastAsia"/>
                <w:color w:val="auto"/>
              </w:rPr>
              <w:t>:</w:t>
            </w:r>
            <w:r>
              <w:rPr>
                <w:rFonts w:hint="eastAsia" w:ascii="宋体" w:hAnsi="宋体"/>
                <w:color w:val="auto"/>
              </w:rPr>
              <w:t>下列法律法规和标准，对化学品的安全使用、储存、运输、装卸、分类和标志等方面均作了相应的规定：</w:t>
            </w:r>
          </w:p>
          <w:p>
            <w:pPr>
              <w:rPr>
                <w:color w:val="auto"/>
              </w:rPr>
            </w:pPr>
            <w:r>
              <w:rPr>
                <w:rFonts w:hint="eastAsia" w:ascii="宋体" w:hAnsi="宋体"/>
                <w:color w:val="auto"/>
              </w:rPr>
              <w:t>中华人民共和国安全生产法；</w:t>
            </w:r>
          </w:p>
          <w:p>
            <w:pPr>
              <w:rPr>
                <w:color w:val="auto"/>
              </w:rPr>
            </w:pPr>
            <w:r>
              <w:rPr>
                <w:rFonts w:hint="eastAsia" w:ascii="宋体" w:hAnsi="宋体"/>
                <w:color w:val="auto"/>
              </w:rPr>
              <w:t>中华人民共和国职业病防治法；</w:t>
            </w:r>
          </w:p>
          <w:p>
            <w:pPr>
              <w:rPr>
                <w:color w:val="auto"/>
              </w:rPr>
            </w:pPr>
            <w:r>
              <w:rPr>
                <w:rFonts w:hint="eastAsia" w:ascii="宋体" w:hAnsi="宋体"/>
                <w:color w:val="auto"/>
              </w:rPr>
              <w:t>中华人民共和国环境保护法；</w:t>
            </w:r>
          </w:p>
          <w:p>
            <w:pPr>
              <w:rPr>
                <w:color w:val="auto"/>
              </w:rPr>
            </w:pPr>
            <w:r>
              <w:rPr>
                <w:rFonts w:hint="eastAsia" w:ascii="宋体" w:hAnsi="宋体"/>
                <w:color w:val="auto"/>
              </w:rPr>
              <w:t>危险化学品安全管理条例；</w:t>
            </w:r>
          </w:p>
          <w:p>
            <w:pPr>
              <w:rPr>
                <w:color w:val="auto"/>
              </w:rPr>
            </w:pPr>
            <w:r>
              <w:rPr>
                <w:rFonts w:hint="eastAsia" w:ascii="宋体" w:hAnsi="宋体"/>
                <w:color w:val="auto"/>
              </w:rPr>
              <w:t>安全生产许可证条例；</w:t>
            </w:r>
          </w:p>
          <w:p>
            <w:pPr>
              <w:rPr>
                <w:color w:val="auto"/>
              </w:rPr>
            </w:pPr>
            <w:r>
              <w:rPr>
                <w:rFonts w:hint="eastAsia" w:ascii="宋体" w:hAnsi="宋体"/>
                <w:color w:val="auto"/>
              </w:rPr>
              <w:t>化学品分类和危险性公示通则</w:t>
            </w:r>
            <w:r>
              <w:rPr>
                <w:rFonts w:hint="eastAsia"/>
                <w:color w:val="auto"/>
              </w:rPr>
              <w:t>(GB13690-2009)</w:t>
            </w:r>
            <w:r>
              <w:rPr>
                <w:rFonts w:hint="eastAsia" w:ascii="宋体" w:hAnsi="宋体"/>
                <w:color w:val="auto"/>
              </w:rPr>
              <w:t>；</w:t>
            </w:r>
          </w:p>
          <w:p>
            <w:pPr>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参考文献：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填表部门：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数据审核单位：</w:t>
            </w:r>
            <w:r>
              <w:rPr>
                <w:rFonts w:hint="eastAsia"/>
                <w:color w:val="auto"/>
              </w:rPr>
              <w:t>msds</w:t>
            </w:r>
            <w:r>
              <w:rPr>
                <w:rFonts w:hint="eastAsia" w:ascii="宋体" w:hAnsi="宋体"/>
                <w:color w:val="auto"/>
              </w:rPr>
              <w:t>查询网整理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其他信息：密度在</w:t>
            </w:r>
            <w:r>
              <w:rPr>
                <w:rFonts w:hint="eastAsia"/>
                <w:color w:val="auto"/>
              </w:rPr>
              <w:t>4℃</w:t>
            </w:r>
            <w:r>
              <w:rPr>
                <w:rFonts w:hint="eastAsia" w:ascii="宋体" w:hAnsi="宋体"/>
                <w:color w:val="auto"/>
              </w:rPr>
              <w:t>时最大（</w:t>
            </w:r>
            <w:r>
              <w:rPr>
                <w:rFonts w:hint="eastAsia"/>
                <w:color w:val="auto"/>
              </w:rPr>
              <w:t>1</w:t>
            </w:r>
            <w:r>
              <w:rPr>
                <w:rFonts w:hint="eastAsia" w:ascii="宋体" w:hAnsi="宋体"/>
                <w:color w:val="auto"/>
              </w:rPr>
              <w:t>克</w:t>
            </w:r>
            <w:r>
              <w:rPr>
                <w:rFonts w:hint="eastAsia"/>
                <w:color w:val="auto"/>
              </w:rPr>
              <w:t>/</w:t>
            </w:r>
            <w:r>
              <w:rPr>
                <w:rFonts w:hint="eastAsia" w:ascii="宋体" w:hAnsi="宋体"/>
                <w:color w:val="auto"/>
              </w:rPr>
              <w:t>毫升），结冰时（冰点</w:t>
            </w:r>
            <w:r>
              <w:rPr>
                <w:rFonts w:hint="eastAsia"/>
                <w:color w:val="auto"/>
              </w:rPr>
              <w:t>0℃</w:t>
            </w:r>
            <w:r>
              <w:rPr>
                <w:rFonts w:hint="eastAsia" w:ascii="宋体" w:hAnsi="宋体"/>
                <w:color w:val="auto"/>
              </w:rPr>
              <w:t>）密度减少，体积增大。在一切的固态和液态物资中，噻苯隆的热容 量最大。</w:t>
            </w:r>
          </w:p>
        </w:tc>
      </w:tr>
    </w:tbl>
    <w:p>
      <w:pPr>
        <w:pStyle w:val="49"/>
        <w:ind w:firstLine="560" w:firstLineChars="200"/>
        <w:rPr>
          <w:color w:val="auto"/>
          <w:sz w:val="28"/>
          <w:szCs w:val="28"/>
        </w:rPr>
      </w:pPr>
      <w:r>
        <w:rPr>
          <w:color w:val="auto"/>
          <w:sz w:val="28"/>
          <w:szCs w:val="28"/>
        </w:rPr>
        <w:t>32</w:t>
      </w:r>
      <w:r>
        <w:rPr>
          <w:rFonts w:hint="eastAsia"/>
          <w:color w:val="auto"/>
          <w:sz w:val="28"/>
          <w:szCs w:val="28"/>
        </w:rPr>
        <w:t>）环己酮</w:t>
      </w:r>
    </w:p>
    <w:p>
      <w:pPr>
        <w:pStyle w:val="27"/>
        <w:shd w:val="clear" w:color="auto" w:fill="FFFFFF"/>
        <w:spacing w:before="0" w:beforeAutospacing="0" w:after="225" w:afterAutospacing="0" w:line="360" w:lineRule="atLeast"/>
        <w:ind w:firstLine="420"/>
        <w:jc w:val="both"/>
        <w:rPr>
          <w:rFonts w:ascii="Arial" w:hAnsi="Arial" w:cs="Arial"/>
          <w:color w:val="auto"/>
          <w:sz w:val="21"/>
        </w:rPr>
      </w:pPr>
      <w:r>
        <w:rPr>
          <w:rFonts w:hAnsi="Times New Roman" w:cs="宋体"/>
          <w:color w:val="auto"/>
          <w:sz w:val="28"/>
          <w:szCs w:val="28"/>
        </w:rPr>
        <w:t>环己酮，有机化合物，为</w:t>
      </w:r>
      <w:r>
        <w:rPr>
          <w:color w:val="auto"/>
        </w:rPr>
        <w:fldChar w:fldCharType="begin"/>
      </w:r>
      <w:r>
        <w:rPr>
          <w:color w:val="auto"/>
        </w:rPr>
        <w:instrText xml:space="preserve"> HYPERLINK "https://baike.so.com/doc/9956234-10303775.html" \t "_blank" </w:instrText>
      </w:r>
      <w:r>
        <w:rPr>
          <w:color w:val="auto"/>
        </w:rPr>
        <w:fldChar w:fldCharType="separate"/>
      </w:r>
      <w:r>
        <w:rPr>
          <w:rFonts w:hAnsi="Times New Roman" w:cs="宋体"/>
          <w:color w:val="auto"/>
          <w:sz w:val="28"/>
          <w:szCs w:val="28"/>
        </w:rPr>
        <w:t>羰基碳</w:t>
      </w:r>
      <w:r>
        <w:rPr>
          <w:rFonts w:hAnsi="Times New Roman" w:cs="宋体"/>
          <w:color w:val="auto"/>
          <w:sz w:val="28"/>
          <w:szCs w:val="28"/>
        </w:rPr>
        <w:fldChar w:fldCharType="end"/>
      </w:r>
      <w:r>
        <w:rPr>
          <w:rFonts w:hAnsi="Times New Roman" w:cs="宋体"/>
          <w:color w:val="auto"/>
          <w:sz w:val="28"/>
          <w:szCs w:val="28"/>
        </w:rPr>
        <w:t>原子包括在六元环内的饱和环酮。无色透明液体，带有泥土气息，含有痕迹量的酚时，则带有薄荷味。不纯物为浅黄色，随着存放时间生成杂质而显色，呈水白色到灰黄色，具有强烈的刺鼻臭味。相对密度(水= 1):0.95</w:t>
      </w:r>
      <w:r>
        <w:rPr>
          <w:rFonts w:hint="eastAsia" w:hAnsi="Times New Roman" w:cs="宋体"/>
          <w:color w:val="auto"/>
          <w:sz w:val="28"/>
          <w:szCs w:val="28"/>
        </w:rPr>
        <w:t>。</w:t>
      </w:r>
      <w:r>
        <w:rPr>
          <w:rFonts w:hAnsi="Times New Roman" w:cs="宋体"/>
          <w:color w:val="auto"/>
          <w:sz w:val="28"/>
          <w:szCs w:val="28"/>
        </w:rPr>
        <w:t>沸点(</w:t>
      </w:r>
      <w:r>
        <w:rPr>
          <w:rFonts w:hint="eastAsia" w:hAnsi="Times New Roman" w:cs="宋体"/>
          <w:color w:val="auto"/>
          <w:sz w:val="28"/>
          <w:szCs w:val="28"/>
        </w:rPr>
        <w:t>℃</w:t>
      </w:r>
      <w:r>
        <w:rPr>
          <w:rFonts w:hAnsi="Times New Roman" w:cs="宋体"/>
          <w:color w:val="auto"/>
          <w:sz w:val="28"/>
          <w:szCs w:val="28"/>
        </w:rPr>
        <w:t>):155.6</w:t>
      </w:r>
      <w:r>
        <w:rPr>
          <w:rFonts w:hint="eastAsia" w:hAnsi="Times New Roman" w:cs="宋体"/>
          <w:color w:val="auto"/>
          <w:sz w:val="28"/>
          <w:szCs w:val="28"/>
        </w:rPr>
        <w:t>，</w:t>
      </w:r>
      <w:r>
        <w:rPr>
          <w:rFonts w:hAnsi="Times New Roman" w:cs="宋体"/>
          <w:color w:val="auto"/>
          <w:sz w:val="28"/>
          <w:szCs w:val="28"/>
        </w:rPr>
        <w:t>相对蒸气密度(空气= 1):3.38</w:t>
      </w:r>
      <w:r>
        <w:rPr>
          <w:rFonts w:hint="eastAsia" w:hAnsi="Times New Roman" w:cs="宋体"/>
          <w:color w:val="auto"/>
          <w:sz w:val="28"/>
          <w:szCs w:val="28"/>
        </w:rPr>
        <w:t>，</w:t>
      </w:r>
      <w:r>
        <w:rPr>
          <w:rFonts w:hAnsi="Times New Roman" w:cs="宋体"/>
          <w:color w:val="auto"/>
          <w:sz w:val="28"/>
          <w:szCs w:val="28"/>
        </w:rPr>
        <w:t>分子式:C6H10O</w:t>
      </w:r>
      <w:r>
        <w:rPr>
          <w:rFonts w:hint="eastAsia" w:hAnsi="Times New Roman" w:cs="宋体"/>
          <w:color w:val="auto"/>
          <w:sz w:val="28"/>
          <w:szCs w:val="28"/>
        </w:rPr>
        <w:t>，</w:t>
      </w:r>
      <w:r>
        <w:rPr>
          <w:rFonts w:hAnsi="Times New Roman" w:cs="宋体"/>
          <w:color w:val="auto"/>
          <w:sz w:val="28"/>
          <w:szCs w:val="28"/>
        </w:rPr>
        <w:t>分子量:98.14</w:t>
      </w:r>
      <w:r>
        <w:rPr>
          <w:rFonts w:hint="eastAsia" w:hAnsi="Times New Roman" w:cs="宋体"/>
          <w:color w:val="auto"/>
          <w:sz w:val="28"/>
          <w:szCs w:val="28"/>
        </w:rPr>
        <w:t>。</w:t>
      </w:r>
      <w:r>
        <w:rPr>
          <w:rFonts w:hAnsi="Times New Roman" w:cs="宋体"/>
          <w:color w:val="auto"/>
          <w:sz w:val="28"/>
          <w:szCs w:val="28"/>
        </w:rPr>
        <w:t>与空气混合爆炸极与开链饱和酮相同。环己酮致癌证据不足，在工业上主要用作有机合成原料和溶剂</w:t>
      </w:r>
      <w:r>
        <w:rPr>
          <w:rFonts w:hint="eastAsia" w:hAnsi="Times New Roman" w:cs="宋体"/>
          <w:color w:val="auto"/>
          <w:sz w:val="28"/>
          <w:szCs w:val="28"/>
        </w:rPr>
        <w:t>。</w:t>
      </w:r>
      <w:r>
        <w:rPr>
          <w:rFonts w:hAnsi="Times New Roman" w:cs="宋体"/>
          <w:color w:val="auto"/>
          <w:sz w:val="28"/>
          <w:szCs w:val="28"/>
        </w:rPr>
        <w:t>易燃，遇高热，明火有引起燃烧的危险。与氧化剂接触猛烈反应。</w:t>
      </w:r>
    </w:p>
    <w:p>
      <w:pPr>
        <w:pStyle w:val="49"/>
        <w:ind w:firstLine="560" w:firstLineChars="200"/>
        <w:rPr>
          <w:color w:val="auto"/>
          <w:sz w:val="28"/>
          <w:szCs w:val="28"/>
        </w:rPr>
      </w:pPr>
      <w:r>
        <w:rPr>
          <w:rFonts w:hint="eastAsia"/>
          <w:color w:val="auto"/>
          <w:sz w:val="28"/>
          <w:szCs w:val="28"/>
        </w:rPr>
        <w:t>3</w:t>
      </w:r>
      <w:r>
        <w:rPr>
          <w:color w:val="auto"/>
          <w:sz w:val="28"/>
          <w:szCs w:val="28"/>
        </w:rPr>
        <w:t>3</w:t>
      </w:r>
      <w:r>
        <w:rPr>
          <w:rFonts w:hint="eastAsia"/>
          <w:color w:val="auto"/>
          <w:sz w:val="28"/>
          <w:szCs w:val="28"/>
        </w:rPr>
        <w:t>）氨基寡糖素</w:t>
      </w:r>
    </w:p>
    <w:p>
      <w:pPr>
        <w:pStyle w:val="49"/>
        <w:spacing w:line="360" w:lineRule="auto"/>
        <w:ind w:firstLine="560" w:firstLineChars="200"/>
        <w:rPr>
          <w:color w:val="auto"/>
          <w:sz w:val="28"/>
          <w:szCs w:val="28"/>
        </w:rPr>
      </w:pPr>
      <w:r>
        <w:rPr>
          <w:rFonts w:hint="eastAsia"/>
          <w:color w:val="auto"/>
          <w:sz w:val="28"/>
          <w:szCs w:val="28"/>
        </w:rPr>
        <w:t>名称：壳聚糖。急性水生毒性类别2，CAS号9</w:t>
      </w:r>
      <w:r>
        <w:rPr>
          <w:color w:val="auto"/>
          <w:sz w:val="28"/>
          <w:szCs w:val="28"/>
        </w:rPr>
        <w:t>012-76-4</w:t>
      </w:r>
      <w:r>
        <w:rPr>
          <w:rFonts w:hint="eastAsia"/>
          <w:color w:val="auto"/>
          <w:sz w:val="28"/>
          <w:szCs w:val="28"/>
        </w:rPr>
        <w:t>，外观为浅褐色粉末。如果吸入，将患者移至新鲜空气处，皮肤接触用肥皂和大量的水冲洗，食入用水漱口，请教医生。</w:t>
      </w:r>
    </w:p>
    <w:p>
      <w:pPr>
        <w:pStyle w:val="49"/>
        <w:ind w:firstLine="560" w:firstLineChars="200"/>
        <w:rPr>
          <w:color w:val="auto"/>
          <w:sz w:val="28"/>
          <w:szCs w:val="28"/>
        </w:rPr>
      </w:pPr>
      <w:r>
        <w:rPr>
          <w:rFonts w:hint="eastAsia"/>
          <w:color w:val="auto"/>
          <w:sz w:val="28"/>
          <w:szCs w:val="28"/>
        </w:rPr>
        <w:t>3</w:t>
      </w:r>
      <w:r>
        <w:rPr>
          <w:color w:val="auto"/>
          <w:sz w:val="28"/>
          <w:szCs w:val="28"/>
        </w:rPr>
        <w:t>2</w:t>
      </w:r>
      <w:r>
        <w:rPr>
          <w:rFonts w:hint="eastAsia"/>
          <w:color w:val="auto"/>
          <w:sz w:val="28"/>
          <w:szCs w:val="28"/>
        </w:rPr>
        <w:t>）朗钛LT</w:t>
      </w:r>
      <w:r>
        <w:rPr>
          <w:color w:val="auto"/>
          <w:sz w:val="28"/>
          <w:szCs w:val="28"/>
        </w:rPr>
        <w:t>-569</w:t>
      </w:r>
    </w:p>
    <w:p>
      <w:pPr>
        <w:pStyle w:val="49"/>
        <w:ind w:firstLine="560" w:firstLineChars="200"/>
        <w:rPr>
          <w:color w:val="auto"/>
          <w:sz w:val="28"/>
          <w:szCs w:val="28"/>
        </w:rPr>
      </w:pPr>
      <w:r>
        <w:rPr>
          <w:rFonts w:hint="eastAsia"/>
          <w:color w:val="auto"/>
          <w:sz w:val="28"/>
          <w:szCs w:val="28"/>
        </w:rPr>
        <w:t>外观与性状:白色粉末。相对密度(水=1):1.2—1.8g/cm3，本品不燃，PH （1%水悬液):4—7，主要用于可湿性粉剂、水分散粒剂中作为分散剂。常温常压下稳定。对眼睛、黏膜和皮肤有刺激作用，可引起呼吸系统过敏反应。</w:t>
      </w:r>
    </w:p>
    <w:p>
      <w:pPr>
        <w:pStyle w:val="49"/>
        <w:ind w:firstLine="560" w:firstLineChars="200"/>
        <w:rPr>
          <w:color w:val="auto"/>
          <w:sz w:val="28"/>
          <w:szCs w:val="28"/>
        </w:rPr>
      </w:pPr>
      <w:r>
        <w:rPr>
          <w:rFonts w:hint="eastAsia"/>
          <w:color w:val="auto"/>
          <w:sz w:val="28"/>
          <w:szCs w:val="28"/>
        </w:rPr>
        <w:t>3</w:t>
      </w:r>
      <w:r>
        <w:rPr>
          <w:color w:val="auto"/>
          <w:sz w:val="28"/>
          <w:szCs w:val="28"/>
        </w:rPr>
        <w:t>3</w:t>
      </w:r>
      <w:r>
        <w:rPr>
          <w:rFonts w:hint="eastAsia"/>
          <w:color w:val="auto"/>
          <w:sz w:val="28"/>
          <w:szCs w:val="28"/>
        </w:rPr>
        <w:t>）三聚磷酸钠</w:t>
      </w:r>
    </w:p>
    <w:p>
      <w:pPr>
        <w:pStyle w:val="27"/>
        <w:shd w:val="clear" w:color="auto" w:fill="FFFFFF"/>
        <w:spacing w:before="0" w:beforeAutospacing="0" w:after="0" w:afterAutospacing="0" w:line="360" w:lineRule="atLeast"/>
        <w:ind w:firstLine="420"/>
        <w:jc w:val="both"/>
        <w:rPr>
          <w:rFonts w:hAnsi="Times New Roman" w:cs="宋体"/>
          <w:color w:val="auto"/>
          <w:sz w:val="28"/>
          <w:szCs w:val="28"/>
        </w:rPr>
      </w:pPr>
      <w:r>
        <w:rPr>
          <w:rFonts w:hAnsi="Times New Roman" w:cs="宋体"/>
          <w:color w:val="auto"/>
          <w:sz w:val="28"/>
          <w:szCs w:val="28"/>
        </w:rPr>
        <w:t>三聚磷酸钠</w:t>
      </w:r>
      <w:r>
        <w:rPr>
          <w:rFonts w:hint="eastAsia" w:hAnsi="Times New Roman" w:cs="宋体"/>
          <w:color w:val="auto"/>
          <w:sz w:val="28"/>
          <w:szCs w:val="28"/>
        </w:rPr>
        <w:t>，</w:t>
      </w:r>
      <w:r>
        <w:rPr>
          <w:rFonts w:hAnsi="Times New Roman" w:cs="宋体"/>
          <w:color w:val="auto"/>
          <w:sz w:val="28"/>
          <w:szCs w:val="28"/>
        </w:rPr>
        <w:t>白色粉末状结晶，流动性较好。</w:t>
      </w:r>
      <w:r>
        <w:rPr>
          <w:rFonts w:hint="eastAsia" w:hAnsi="Times New Roman" w:cs="宋体"/>
          <w:color w:val="auto"/>
          <w:sz w:val="28"/>
          <w:szCs w:val="28"/>
        </w:rPr>
        <w:t>Ⅰ</w:t>
      </w:r>
      <w:r>
        <w:rPr>
          <w:rFonts w:hAnsi="Times New Roman" w:cs="宋体"/>
          <w:color w:val="auto"/>
          <w:sz w:val="28"/>
          <w:szCs w:val="28"/>
        </w:rPr>
        <w:t>型的密度为2.62g/cm3，</w:t>
      </w:r>
      <w:r>
        <w:rPr>
          <w:rFonts w:hint="eastAsia" w:hAnsi="Times New Roman" w:cs="宋体"/>
          <w:color w:val="auto"/>
          <w:sz w:val="28"/>
          <w:szCs w:val="28"/>
        </w:rPr>
        <w:t>Ⅱ</w:t>
      </w:r>
      <w:r>
        <w:rPr>
          <w:rFonts w:hAnsi="Times New Roman" w:cs="宋体"/>
          <w:color w:val="auto"/>
          <w:sz w:val="28"/>
          <w:szCs w:val="28"/>
        </w:rPr>
        <w:t>型的密度为2.57g/cm3。熔点</w:t>
      </w:r>
      <w:r>
        <w:rPr>
          <w:rFonts w:hint="eastAsia" w:hAnsi="Times New Roman" w:cs="宋体"/>
          <w:color w:val="auto"/>
          <w:sz w:val="28"/>
          <w:szCs w:val="28"/>
        </w:rPr>
        <w:t>为</w:t>
      </w:r>
      <w:r>
        <w:rPr>
          <w:rFonts w:hAnsi="Times New Roman" w:cs="宋体"/>
          <w:color w:val="auto"/>
          <w:sz w:val="28"/>
          <w:szCs w:val="28"/>
        </w:rPr>
        <w:t>622</w:t>
      </w:r>
      <w:r>
        <w:rPr>
          <w:rFonts w:hint="eastAsia" w:hAnsi="Times New Roman" w:cs="宋体"/>
          <w:color w:val="auto"/>
          <w:sz w:val="28"/>
          <w:szCs w:val="28"/>
        </w:rPr>
        <w:t>℃</w:t>
      </w:r>
      <w:r>
        <w:rPr>
          <w:rFonts w:hAnsi="Times New Roman" w:cs="宋体"/>
          <w:color w:val="auto"/>
          <w:sz w:val="28"/>
          <w:szCs w:val="28"/>
        </w:rPr>
        <w:t>。易溶于水，其水溶液呈碱性。本品为一类无定形水溶性线状聚磷酸盐，两端以Na2 PO4终止，化学式Na5P3 O10，相对分子质量367.86。常用于食品中，作水分保持剂、品质改良剂、pH调节剂、金属螯合剂。</w:t>
      </w:r>
    </w:p>
    <w:p>
      <w:pPr>
        <w:pStyle w:val="49"/>
        <w:ind w:firstLine="560" w:firstLineChars="200"/>
        <w:rPr>
          <w:color w:val="auto"/>
          <w:sz w:val="28"/>
          <w:szCs w:val="28"/>
        </w:rPr>
      </w:pPr>
      <w:r>
        <w:rPr>
          <w:rFonts w:hint="eastAsia"/>
          <w:color w:val="auto"/>
          <w:sz w:val="28"/>
          <w:szCs w:val="28"/>
        </w:rPr>
        <w:t>3</w:t>
      </w:r>
      <w:r>
        <w:rPr>
          <w:color w:val="auto"/>
          <w:sz w:val="28"/>
          <w:szCs w:val="28"/>
        </w:rPr>
        <w:t>4</w:t>
      </w:r>
      <w:r>
        <w:rPr>
          <w:rFonts w:hint="eastAsia"/>
          <w:color w:val="auto"/>
          <w:sz w:val="28"/>
          <w:szCs w:val="28"/>
        </w:rPr>
        <w:t>）吲哚丁酸</w:t>
      </w:r>
    </w:p>
    <w:p>
      <w:pPr>
        <w:pStyle w:val="49"/>
        <w:ind w:firstLine="560" w:firstLineChars="200"/>
        <w:jc w:val="both"/>
        <w:rPr>
          <w:color w:val="auto"/>
          <w:sz w:val="28"/>
          <w:szCs w:val="28"/>
        </w:rPr>
      </w:pPr>
      <w:r>
        <w:rPr>
          <w:color w:val="auto"/>
          <w:sz w:val="28"/>
          <w:szCs w:val="28"/>
        </w:rPr>
        <w:t>化学品中文名称：吲哚丁酸 4-吲哚-3-丁酸</w:t>
      </w:r>
      <w:r>
        <w:rPr>
          <w:rFonts w:hint="eastAsia"/>
          <w:color w:val="auto"/>
          <w:sz w:val="28"/>
          <w:szCs w:val="28"/>
        </w:rPr>
        <w:t>，</w:t>
      </w:r>
      <w:r>
        <w:rPr>
          <w:color w:val="auto"/>
          <w:sz w:val="28"/>
          <w:szCs w:val="28"/>
        </w:rPr>
        <w:t>纯品为白色结晶固体，原药为白色至浅黄色结晶</w:t>
      </w:r>
      <w:r>
        <w:rPr>
          <w:rFonts w:hint="eastAsia"/>
          <w:color w:val="auto"/>
          <w:sz w:val="28"/>
          <w:szCs w:val="28"/>
        </w:rPr>
        <w:t>，熔点为</w:t>
      </w:r>
      <w:r>
        <w:rPr>
          <w:color w:val="auto"/>
          <w:sz w:val="28"/>
          <w:szCs w:val="28"/>
        </w:rPr>
        <w:t>124～125℃（纯品）；121～124℃（原药）</w:t>
      </w:r>
      <w:r>
        <w:rPr>
          <w:rFonts w:hint="eastAsia"/>
          <w:color w:val="auto"/>
          <w:sz w:val="28"/>
          <w:szCs w:val="28"/>
        </w:rPr>
        <w:t>，密度2</w:t>
      </w:r>
      <w:r>
        <w:rPr>
          <w:color w:val="auto"/>
          <w:sz w:val="28"/>
          <w:szCs w:val="28"/>
        </w:rPr>
        <w:t>.49</w:t>
      </w:r>
      <w:r>
        <w:rPr>
          <w:rFonts w:hint="eastAsia"/>
          <w:color w:val="auto"/>
          <w:sz w:val="28"/>
          <w:szCs w:val="28"/>
        </w:rPr>
        <w:t>g</w:t>
      </w:r>
      <w:r>
        <w:rPr>
          <w:color w:val="auto"/>
          <w:sz w:val="28"/>
          <w:szCs w:val="28"/>
        </w:rPr>
        <w:t>/</w:t>
      </w:r>
      <w:r>
        <w:rPr>
          <w:rFonts w:hint="eastAsia"/>
          <w:color w:val="auto"/>
          <w:sz w:val="28"/>
          <w:szCs w:val="28"/>
        </w:rPr>
        <w:t>cm</w:t>
      </w:r>
      <w:r>
        <w:rPr>
          <w:color w:val="auto"/>
          <w:sz w:val="28"/>
          <w:szCs w:val="28"/>
        </w:rPr>
        <w:t>3</w:t>
      </w:r>
      <w:r>
        <w:rPr>
          <w:rFonts w:hint="eastAsia"/>
          <w:color w:val="auto"/>
          <w:sz w:val="28"/>
          <w:szCs w:val="28"/>
        </w:rPr>
        <w:t>。分子量2</w:t>
      </w:r>
      <w:r>
        <w:rPr>
          <w:color w:val="auto"/>
          <w:sz w:val="28"/>
          <w:szCs w:val="28"/>
        </w:rPr>
        <w:t>03.23</w:t>
      </w:r>
      <w:r>
        <w:rPr>
          <w:rFonts w:hint="eastAsia"/>
          <w:color w:val="auto"/>
          <w:sz w:val="28"/>
          <w:szCs w:val="28"/>
        </w:rPr>
        <w:t>g/mol。</w:t>
      </w:r>
      <w:r>
        <w:rPr>
          <w:color w:val="auto"/>
          <w:sz w:val="28"/>
          <w:szCs w:val="28"/>
        </w:rPr>
        <w:t>难溶于水，20℃水中溶解度为0.25g/L；苯&gt;1000g/L，丙酮、乙醇、乙醚30～100g/L，氯仿10～100g/L。本品是植物主根生长促进剂，常用于木本和草本植物的浸根移栽，硬枝杆插，能加速根的生长，提高植物生根的百 分率，也可用于植物种子的浸种和拌种，可提高发芽率和成活率。浸根移植时，草本植物浸在浓度10～20mg/L， 木本植物50mg/L；杆插时的浸渍浓度为50～100mg/L；浸种、拌种浓度则为100mg/L（木本植物）、10～ 20mg/L（草本植物）。</w:t>
      </w:r>
    </w:p>
    <w:p>
      <w:pPr>
        <w:pStyle w:val="49"/>
        <w:ind w:firstLine="560" w:firstLineChars="200"/>
        <w:rPr>
          <w:color w:val="auto"/>
          <w:sz w:val="28"/>
          <w:szCs w:val="28"/>
        </w:rPr>
      </w:pPr>
      <w:r>
        <w:rPr>
          <w:rFonts w:hint="eastAsia"/>
          <w:color w:val="auto"/>
          <w:sz w:val="28"/>
          <w:szCs w:val="28"/>
        </w:rPr>
        <w:t>3</w:t>
      </w:r>
      <w:r>
        <w:rPr>
          <w:color w:val="auto"/>
          <w:sz w:val="28"/>
          <w:szCs w:val="28"/>
        </w:rPr>
        <w:t>5</w:t>
      </w:r>
      <w:r>
        <w:rPr>
          <w:rFonts w:hint="eastAsia"/>
          <w:color w:val="auto"/>
          <w:sz w:val="28"/>
          <w:szCs w:val="28"/>
        </w:rPr>
        <w:t>）赤霉酸A</w:t>
      </w:r>
      <w:r>
        <w:rPr>
          <w:color w:val="auto"/>
          <w:sz w:val="28"/>
          <w:szCs w:val="28"/>
        </w:rPr>
        <w:t>4</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vAlign w:val="center"/>
          </w:tcPr>
          <w:p>
            <w:pPr>
              <w:jc w:val="center"/>
              <w:rPr>
                <w:b/>
                <w:bCs/>
                <w:color w:val="auto"/>
              </w:rPr>
            </w:pPr>
            <w:r>
              <w:rPr>
                <w:rFonts w:hint="eastAsia" w:ascii="宋体" w:hAnsi="宋体"/>
                <w:b/>
                <w:bCs/>
                <w:color w:val="auto"/>
              </w:rPr>
              <w:t>第一部分：化学品名称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化学品中文名称：赤霉酸</w:t>
            </w:r>
            <w:r>
              <w:rPr>
                <w:rFonts w:hint="eastAsia"/>
                <w:color w:val="auto"/>
              </w:rPr>
              <w:t>A4</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化学品俗名：</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化学品英文名称：：</w:t>
            </w:r>
            <w:r>
              <w:rPr>
                <w:rFonts w:hint="eastAsia"/>
                <w:color w:val="auto"/>
              </w:rPr>
              <w:t xml:space="preserve"> Gibberellin A4</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英文名称：</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技术说明书编码：</w:t>
            </w:r>
            <w:r>
              <w:rPr>
                <w:rFonts w:hint="eastAsia"/>
                <w:color w:val="auto"/>
              </w:rPr>
              <w:t>010</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color w:val="auto"/>
              </w:rPr>
              <w:t>CASNo.</w:t>
            </w:r>
            <w:r>
              <w:rPr>
                <w:rFonts w:hint="eastAsia" w:ascii="宋体" w:hAnsi="宋体"/>
                <w:color w:val="auto"/>
              </w:rPr>
              <w:t>：</w:t>
            </w:r>
            <w:r>
              <w:rPr>
                <w:rFonts w:hint="eastAsia"/>
                <w:color w:val="auto"/>
              </w:rPr>
              <w:t>468-44-0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第二部分：成分</w:t>
            </w:r>
            <w:r>
              <w:rPr>
                <w:rFonts w:hint="eastAsia"/>
                <w:b/>
                <w:bCs/>
                <w:color w:val="auto"/>
              </w:rPr>
              <w:t>/</w:t>
            </w:r>
            <w:r>
              <w:rPr>
                <w:rFonts w:hint="eastAsia" w:ascii="宋体" w:hAnsi="宋体"/>
                <w:b/>
                <w:bCs/>
                <w:color w:val="auto"/>
              </w:rPr>
              <w:t>组成信息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有害物成分</w:t>
            </w:r>
            <w:r>
              <w:rPr>
                <w:rFonts w:hint="eastAsia"/>
                <w:color w:val="auto"/>
              </w:rPr>
              <w:t xml:space="preserve">    /              </w:t>
            </w:r>
            <w:r>
              <w:rPr>
                <w:rFonts w:hint="eastAsia" w:ascii="宋体" w:hAnsi="宋体"/>
                <w:color w:val="auto"/>
              </w:rPr>
              <w:t xml:space="preserve">含量      </w:t>
            </w:r>
            <w:r>
              <w:rPr>
                <w:rFonts w:hint="eastAsia"/>
                <w:color w:val="auto"/>
              </w:rPr>
              <w:t>/          CASNo.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第三部分：危险性概述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危险性类别：低毒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侵入途径：皮肤、眼睛、呼吸系统、消化系统接触。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健康危害：</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环境危害：清洗器具的废水不能排入河流，地塘等水源。度育物要妥善处理，不能随意丢弃，也不能做他用。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燃爆危险：本品不易燃。</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第四部分：急救措施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皮肤接触：立即脱掉被污染的衣物。用软布去除沾染农药。大量清水和肥皂冲洗。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眼睛接触：立即翻开眼脸</w:t>
            </w:r>
            <w:r>
              <w:rPr>
                <w:rFonts w:hint="eastAsia"/>
                <w:color w:val="auto"/>
              </w:rPr>
              <w:t>,</w:t>
            </w:r>
            <w:r>
              <w:rPr>
                <w:rFonts w:hint="eastAsia" w:ascii="宋体" w:hAnsi="宋体"/>
                <w:color w:val="auto"/>
              </w:rPr>
              <w:t>用大量清水冲洗至少</w:t>
            </w:r>
            <w:r>
              <w:rPr>
                <w:rFonts w:hint="eastAsia"/>
                <w:color w:val="auto"/>
              </w:rPr>
              <w:t>15mim,</w:t>
            </w:r>
            <w:r>
              <w:rPr>
                <w:rFonts w:hint="eastAsia" w:ascii="宋体" w:hAnsi="宋体"/>
                <w:color w:val="auto"/>
              </w:rPr>
              <w:t xml:space="preserve">及时就医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吸入：立即离开施药现场。转移至空气流通处</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食入：立即停止服用</w:t>
            </w:r>
            <w:r>
              <w:rPr>
                <w:rFonts w:hint="eastAsia"/>
                <w:color w:val="auto"/>
              </w:rPr>
              <w:t>,</w:t>
            </w:r>
            <w:r>
              <w:rPr>
                <w:rFonts w:hint="eastAsia" w:ascii="宋体" w:hAnsi="宋体"/>
                <w:color w:val="auto"/>
              </w:rPr>
              <w:t>用清水充分漱口后。立即携带农药标签到医院就诊。无专用解毒剂</w:t>
            </w:r>
            <w:r>
              <w:rPr>
                <w:rFonts w:hint="eastAsia"/>
                <w:color w:val="auto"/>
              </w:rPr>
              <w:t>,</w:t>
            </w:r>
            <w:r>
              <w:rPr>
                <w:rFonts w:hint="eastAsia" w:ascii="宋体" w:hAnsi="宋体"/>
                <w:color w:val="auto"/>
              </w:rPr>
              <w:t>对症治疗。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第五部分：消防措施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危险特性：</w:t>
            </w:r>
            <w:r>
              <w:rPr>
                <w:rFonts w:hint="eastAsia"/>
                <w:color w:val="auto"/>
              </w:rPr>
              <w:t xml:space="preserve"> </w:t>
            </w:r>
            <w:r>
              <w:rPr>
                <w:rFonts w:hint="eastAsia" w:ascii="宋体" w:hAnsi="宋体"/>
                <w:color w:val="auto"/>
              </w:rPr>
              <w:t>本品不易燃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有害燃烧产物：</w:t>
            </w:r>
            <w:r>
              <w:rPr>
                <w:rFonts w:hint="eastAsia"/>
                <w:color w:val="auto"/>
              </w:rPr>
              <w:t xml:space="preserve"> </w:t>
            </w:r>
            <w:r>
              <w:rPr>
                <w:rFonts w:hint="eastAsia" w:ascii="宋体" w:hAnsi="宋体"/>
                <w:color w:val="auto"/>
              </w:rPr>
              <w:t>产品和包装物想绕后可能产生有害的浓烟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灭火方法：</w:t>
            </w:r>
            <w:r>
              <w:rPr>
                <w:rFonts w:hint="eastAsia"/>
                <w:color w:val="auto"/>
              </w:rPr>
              <w:t xml:space="preserve"> </w:t>
            </w:r>
            <w:r>
              <w:rPr>
                <w:rFonts w:hint="eastAsia" w:ascii="宋体" w:hAnsi="宋体"/>
                <w:color w:val="auto"/>
              </w:rPr>
              <w:t>一旦失火</w:t>
            </w:r>
            <w:r>
              <w:rPr>
                <w:rFonts w:hint="eastAsia"/>
                <w:color w:val="auto"/>
              </w:rPr>
              <w:t>,</w:t>
            </w:r>
            <w:r>
              <w:rPr>
                <w:rFonts w:hint="eastAsia" w:ascii="宋体" w:hAnsi="宋体"/>
                <w:color w:val="auto"/>
              </w:rPr>
              <w:t>使用抗醇泡沫</w:t>
            </w:r>
            <w:r>
              <w:rPr>
                <w:rFonts w:hint="eastAsia"/>
                <w:color w:val="auto"/>
              </w:rPr>
              <w:t>,</w:t>
            </w:r>
            <w:r>
              <w:rPr>
                <w:rFonts w:hint="eastAsia" w:ascii="宋体" w:hAnsi="宋体"/>
                <w:color w:val="auto"/>
              </w:rPr>
              <w:t>干化学品。二氧化碳或砂土灭火。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第六部分：泄漏应急处理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应急处理：</w:t>
            </w:r>
            <w:r>
              <w:rPr>
                <w:rFonts w:hint="eastAsia"/>
                <w:color w:val="auto"/>
              </w:rPr>
              <w:t xml:space="preserve"> </w:t>
            </w:r>
            <w:r>
              <w:rPr>
                <w:rFonts w:hint="eastAsia" w:ascii="宋体" w:hAnsi="宋体"/>
                <w:color w:val="auto"/>
              </w:rPr>
              <w:t>迅速报警</w:t>
            </w:r>
            <w:r>
              <w:rPr>
                <w:rFonts w:hint="eastAsia"/>
                <w:color w:val="auto"/>
              </w:rPr>
              <w:t>,</w:t>
            </w:r>
            <w:r>
              <w:rPr>
                <w:rFonts w:hint="eastAsia" w:ascii="宋体" w:hAnsi="宋体"/>
                <w:color w:val="auto"/>
              </w:rPr>
              <w:t>疏散泄露污染区人员至安全区。禁止无关人员进入污染区</w:t>
            </w:r>
            <w:r>
              <w:rPr>
                <w:rFonts w:hint="eastAsia"/>
                <w:color w:val="auto"/>
              </w:rPr>
              <w:t>,</w:t>
            </w:r>
            <w:r>
              <w:rPr>
                <w:rFonts w:hint="eastAsia" w:ascii="宋体" w:hAnsi="宋体"/>
                <w:color w:val="auto"/>
              </w:rPr>
              <w:t>建设应急处理人员戴好防毒面具</w:t>
            </w:r>
            <w:r>
              <w:rPr>
                <w:rFonts w:hint="eastAsia"/>
                <w:color w:val="auto"/>
              </w:rPr>
              <w:t>,</w:t>
            </w:r>
            <w:r>
              <w:rPr>
                <w:rFonts w:hint="eastAsia" w:ascii="宋体" w:hAnsi="宋体"/>
                <w:color w:val="auto"/>
              </w:rPr>
              <w:t>穿化学防护服，佩戴防护口罩。切断火源，不要直接接触泄漏物，用铲子铲入提桶，运至废物处理场所。被污染地面用肥皂或洗涤剂刷洗，经稀释的污水散入废水系统。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第七部分：操作处置与储存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操作注意事项：</w:t>
            </w:r>
            <w:r>
              <w:rPr>
                <w:rFonts w:hint="eastAsia"/>
                <w:color w:val="auto"/>
              </w:rPr>
              <w:t xml:space="preserve"> </w:t>
            </w:r>
            <w:r>
              <w:rPr>
                <w:rFonts w:hint="eastAsia" w:ascii="宋体" w:hAnsi="宋体"/>
                <w:color w:val="auto"/>
              </w:rPr>
              <w:t>密闭操作</w:t>
            </w:r>
            <w:r>
              <w:rPr>
                <w:rFonts w:hint="eastAsia"/>
                <w:color w:val="auto"/>
              </w:rPr>
              <w:t>,</w:t>
            </w:r>
            <w:r>
              <w:rPr>
                <w:rFonts w:hint="eastAsia" w:ascii="宋体" w:hAnsi="宋体"/>
                <w:color w:val="auto"/>
              </w:rPr>
              <w:t>加强通风。操作人员必须经过专门培训</w:t>
            </w:r>
            <w:r>
              <w:rPr>
                <w:rFonts w:hint="eastAsia"/>
                <w:color w:val="auto"/>
              </w:rPr>
              <w:t>,</w:t>
            </w:r>
            <w:r>
              <w:rPr>
                <w:rFonts w:hint="eastAsia" w:ascii="宋体" w:hAnsi="宋体"/>
                <w:color w:val="auto"/>
              </w:rPr>
              <w:t>严格遵守操作规程。建议操作人员佩戴自吸过滤式防尘口罩</w:t>
            </w:r>
            <w:r>
              <w:rPr>
                <w:rFonts w:hint="eastAsia"/>
                <w:color w:val="auto"/>
              </w:rPr>
              <w:t>(</w:t>
            </w:r>
            <w:r>
              <w:rPr>
                <w:rFonts w:hint="eastAsia" w:ascii="宋体" w:hAnsi="宋体"/>
                <w:color w:val="auto"/>
              </w:rPr>
              <w:t>半面罩</w:t>
            </w:r>
            <w:r>
              <w:rPr>
                <w:rFonts w:hint="eastAsia"/>
                <w:color w:val="auto"/>
              </w:rPr>
              <w:t>)</w:t>
            </w:r>
            <w:r>
              <w:rPr>
                <w:rFonts w:hint="eastAsia" w:ascii="宋体" w:hAnsi="宋体"/>
                <w:color w:val="auto"/>
              </w:rPr>
              <w:t>。戴化学安全防护眼镜。穿防毒物渗透工作服</w:t>
            </w:r>
            <w:r>
              <w:rPr>
                <w:rFonts w:hint="eastAsia"/>
                <w:color w:val="auto"/>
              </w:rPr>
              <w:t>,</w:t>
            </w:r>
            <w:r>
              <w:rPr>
                <w:rFonts w:hint="eastAsia" w:ascii="宋体" w:hAnsi="宋体"/>
                <w:color w:val="auto"/>
              </w:rPr>
              <w:t>戴橡胶耐油手套、运离火种、热源。工作场所严禁吸烟、进食、饮水。使用防爆型通风系统和设备。避免产生粉尘。避免与氧化剂、碱类接触。搬运时要轻装轻卸。防止包装及容器损环。配备相应品种和数量的消防器材及泄漏应急处理设备。倒空的容器可能残留有害物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储存注意事项：贮存在阴凉、通风，干燥的库房中。远离火种</w:t>
            </w:r>
            <w:r>
              <w:rPr>
                <w:rFonts w:hint="eastAsia"/>
                <w:color w:val="auto"/>
              </w:rPr>
              <w:t>,</w:t>
            </w:r>
            <w:r>
              <w:rPr>
                <w:rFonts w:hint="eastAsia" w:ascii="宋体" w:hAnsi="宋体"/>
                <w:color w:val="auto"/>
              </w:rPr>
              <w:t>热源。保持容器密封。应与氧化剂、使用化学品分开存放。切品混储。采用防爆型照明、通风设备。禁止使用易产生火花的机械设备和工具。储区应备有泄漏应急处理设备和核实的收容材料。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第八部分：接触控制</w:t>
            </w:r>
            <w:r>
              <w:rPr>
                <w:rFonts w:hint="eastAsia"/>
                <w:b/>
                <w:bCs/>
                <w:color w:val="auto"/>
              </w:rPr>
              <w:t>/</w:t>
            </w:r>
            <w:r>
              <w:rPr>
                <w:rFonts w:hint="eastAsia" w:ascii="宋体" w:hAnsi="宋体"/>
                <w:b/>
                <w:bCs/>
                <w:color w:val="auto"/>
              </w:rPr>
              <w:t>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中国</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前苏联</w:t>
            </w:r>
            <w:r>
              <w:rPr>
                <w:rFonts w:hint="eastAsia"/>
                <w:color w:val="auto"/>
              </w:rPr>
              <w:t>MAC(mg/m3)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TLVTN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TLVWN</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监测方法：未制定标准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工程控制：生产过程密闭，加强通风。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呼吸系统防护：空气中浓度较高时，佩戴自吸过滤式防毒面具（半面罩）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眼睛防护：空气中浓度较高时，佩戴化学安全的防护眼镜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身体防护：穿防毒物渗透工作服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手防护：戴橡胶耐油手套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其他防护：工作场所禁止吸烟、进食和饮水，饭前要洗手。工作完毕，沐浴更衣。保持良好的卫生习惯。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b/>
                <w:bCs/>
                <w:color w:val="auto"/>
              </w:rPr>
            </w:pPr>
            <w:r>
              <w:rPr>
                <w:rFonts w:hint="eastAsia" w:ascii="宋体" w:hAnsi="宋体"/>
                <w:b/>
                <w:bCs/>
                <w:color w:val="auto"/>
              </w:rPr>
              <w:t>第九部分：理化特性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外观与性状：白色结晶粉末，无特殊刺激性气味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pH</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熔点</w:t>
            </w:r>
            <w:r>
              <w:rPr>
                <w:rFonts w:hint="eastAsia"/>
                <w:color w:val="auto"/>
              </w:rPr>
              <w:t>(℃)</w:t>
            </w:r>
            <w:r>
              <w:rPr>
                <w:rFonts w:hint="eastAsia" w:ascii="宋体" w:hAnsi="宋体"/>
                <w:color w:val="auto"/>
              </w:rPr>
              <w:t>：</w:t>
            </w:r>
            <w:r>
              <w:rPr>
                <w:rFonts w:hint="eastAsia"/>
                <w:color w:val="auto"/>
              </w:rPr>
              <w:t>207.74℃</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相对密度</w:t>
            </w:r>
            <w:r>
              <w:rPr>
                <w:rFonts w:hint="eastAsia"/>
                <w:color w:val="auto"/>
              </w:rPr>
              <w:t>(</w:t>
            </w:r>
            <w:r>
              <w:rPr>
                <w:rFonts w:hint="eastAsia" w:ascii="宋体" w:hAnsi="宋体"/>
                <w:color w:val="auto"/>
              </w:rPr>
              <w:t>水</w:t>
            </w:r>
            <w:r>
              <w:rPr>
                <w:rFonts w:hint="eastAsia"/>
                <w:color w:val="auto"/>
              </w:rPr>
              <w:t>=1)</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沸点</w:t>
            </w:r>
            <w:r>
              <w:rPr>
                <w:rFonts w:hint="eastAsia"/>
                <w:color w:val="auto"/>
              </w:rPr>
              <w:t>(℃)</w:t>
            </w:r>
            <w:r>
              <w:rPr>
                <w:rFonts w:hint="eastAsia" w:ascii="宋体" w:hAnsi="宋体"/>
                <w:color w:val="auto"/>
              </w:rPr>
              <w:t>：</w:t>
            </w:r>
            <w:r>
              <w:rPr>
                <w:rFonts w:hint="eastAsia"/>
                <w:color w:val="auto"/>
              </w:rPr>
              <w:t>2613℃(87.04kpa)</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相对蒸气密度</w:t>
            </w:r>
            <w:r>
              <w:rPr>
                <w:rFonts w:hint="eastAsia"/>
                <w:color w:val="auto"/>
              </w:rPr>
              <w:t>(</w:t>
            </w:r>
            <w:r>
              <w:rPr>
                <w:rFonts w:hint="eastAsia" w:ascii="宋体" w:hAnsi="宋体"/>
                <w:color w:val="auto"/>
              </w:rPr>
              <w:t>空气</w:t>
            </w:r>
            <w:r>
              <w:rPr>
                <w:rFonts w:hint="eastAsia"/>
                <w:color w:val="auto"/>
              </w:rPr>
              <w:t>=1)</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分子式：</w:t>
            </w:r>
            <w:r>
              <w:rPr>
                <w:rFonts w:hint="eastAsia"/>
                <w:color w:val="auto"/>
              </w:rPr>
              <w:t>C</w:t>
            </w:r>
            <w:r>
              <w:rPr>
                <w:rFonts w:hint="eastAsia"/>
                <w:color w:val="auto"/>
                <w:vertAlign w:val="subscript"/>
              </w:rPr>
              <w:t>19</w:t>
            </w:r>
            <w:r>
              <w:rPr>
                <w:rFonts w:hint="eastAsia"/>
                <w:color w:val="auto"/>
              </w:rPr>
              <w:t>H</w:t>
            </w:r>
            <w:r>
              <w:rPr>
                <w:rFonts w:hint="eastAsia"/>
                <w:color w:val="auto"/>
                <w:vertAlign w:val="subscript"/>
              </w:rPr>
              <w:t>24</w:t>
            </w:r>
            <w:r>
              <w:rPr>
                <w:rFonts w:hint="eastAsia"/>
                <w:color w:val="auto"/>
              </w:rPr>
              <w:t>O</w:t>
            </w:r>
            <w:r>
              <w:rPr>
                <w:rFonts w:hint="eastAsia"/>
                <w:color w:val="auto"/>
                <w:vertAlign w:val="subscript"/>
              </w:rPr>
              <w:t>5</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分子量：</w:t>
            </w:r>
            <w:r>
              <w:rPr>
                <w:rFonts w:hint="eastAsia"/>
                <w:color w:val="auto"/>
              </w:rPr>
              <w:t>332.40 g/mol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主要成分：赤霉酸</w:t>
            </w:r>
            <w:r>
              <w:rPr>
                <w:rFonts w:hint="eastAsia"/>
                <w:color w:val="auto"/>
              </w:rPr>
              <w:t>A4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饱和蒸气压</w:t>
            </w:r>
            <w:r>
              <w:rPr>
                <w:rFonts w:hint="eastAsia"/>
                <w:color w:val="auto"/>
              </w:rPr>
              <w:t>(kPa)</w:t>
            </w:r>
            <w:r>
              <w:rPr>
                <w:rFonts w:hint="eastAsia" w:ascii="宋体" w:hAnsi="宋体"/>
                <w:color w:val="auto"/>
              </w:rPr>
              <w:t>：无资料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燃烧热</w:t>
            </w:r>
            <w:r>
              <w:rPr>
                <w:rFonts w:hint="eastAsia"/>
                <w:color w:val="auto"/>
              </w:rPr>
              <w:t>(kJ/mol)</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临界温度</w:t>
            </w:r>
            <w:r>
              <w:rPr>
                <w:rFonts w:hint="eastAsia"/>
                <w:color w:val="auto"/>
              </w:rPr>
              <w:t>(℃)</w:t>
            </w:r>
            <w:r>
              <w:rPr>
                <w:rFonts w:hint="eastAsia" w:ascii="宋体" w:hAnsi="宋体"/>
                <w:color w:val="auto"/>
              </w:rPr>
              <w:t>：无资料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临界压力</w:t>
            </w:r>
            <w:r>
              <w:rPr>
                <w:rFonts w:hint="eastAsia"/>
                <w:color w:val="auto"/>
              </w:rPr>
              <w:t>(MPa)</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辛醇</w:t>
            </w:r>
            <w:r>
              <w:rPr>
                <w:rFonts w:hint="eastAsia"/>
                <w:color w:val="auto"/>
              </w:rPr>
              <w:t>/</w:t>
            </w:r>
            <w:r>
              <w:rPr>
                <w:rFonts w:hint="eastAsia" w:ascii="宋体" w:hAnsi="宋体"/>
                <w:color w:val="auto"/>
              </w:rPr>
              <w:t>水分配系数的对数值：</w:t>
            </w:r>
            <w:r>
              <w:rPr>
                <w:rFonts w:hint="eastAsia"/>
                <w:color w:val="auto"/>
              </w:rPr>
              <w:t>LogP=2.34(92.5%)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闪点</w:t>
            </w:r>
            <w:r>
              <w:rPr>
                <w:rFonts w:hint="eastAsia"/>
                <w:color w:val="auto"/>
              </w:rPr>
              <w:t>(℃)</w:t>
            </w:r>
            <w:r>
              <w:rPr>
                <w:rFonts w:hint="eastAsia" w:ascii="宋体" w:hAnsi="宋体"/>
                <w:color w:val="auto"/>
              </w:rPr>
              <w:t>：无资料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爆炸上限</w:t>
            </w:r>
            <w:r>
              <w:rPr>
                <w:rFonts w:hint="eastAsia"/>
                <w:color w:val="auto"/>
              </w:rPr>
              <w:t>%(V/V)</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引燃温度</w:t>
            </w:r>
            <w:r>
              <w:rPr>
                <w:rFonts w:hint="eastAsia"/>
                <w:color w:val="auto"/>
              </w:rPr>
              <w:t>(℃)</w:t>
            </w:r>
            <w:r>
              <w:rPr>
                <w:rFonts w:hint="eastAsia" w:ascii="宋体" w:hAnsi="宋体"/>
                <w:color w:val="auto"/>
              </w:rPr>
              <w:t>：无资料</w:t>
            </w:r>
          </w:p>
        </w:tc>
        <w:tc>
          <w:tcPr>
            <w:tcW w:w="4261" w:type="dxa"/>
            <w:tcBorders>
              <w:top w:val="single" w:color="auto" w:sz="4" w:space="0"/>
              <w:left w:val="nil"/>
              <w:bottom w:val="single" w:color="auto" w:sz="4" w:space="0"/>
              <w:right w:val="single" w:color="auto" w:sz="4" w:space="0"/>
            </w:tcBorders>
          </w:tcPr>
          <w:p>
            <w:pPr>
              <w:rPr>
                <w:color w:val="auto"/>
              </w:rPr>
            </w:pPr>
            <w:r>
              <w:rPr>
                <w:rFonts w:hint="eastAsia" w:ascii="宋体" w:hAnsi="宋体"/>
                <w:color w:val="auto"/>
              </w:rPr>
              <w:t>爆炸下限</w:t>
            </w:r>
            <w:r>
              <w:rPr>
                <w:rFonts w:hint="eastAsia"/>
                <w:color w:val="auto"/>
              </w:rPr>
              <w:t>%(V/V)</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溶解性：</w:t>
            </w:r>
            <w:r>
              <w:rPr>
                <w:rFonts w:hint="eastAsia"/>
                <w:color w:val="auto"/>
              </w:rPr>
              <w:t xml:space="preserve"> </w:t>
            </w:r>
            <w:r>
              <w:rPr>
                <w:rFonts w:hint="eastAsia"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主要用途：植物生长调节剂。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其它理化性质：</w:t>
            </w:r>
            <w:r>
              <w:rPr>
                <w:rFonts w:hint="eastAsia"/>
                <w:color w:val="auto"/>
              </w:rPr>
              <w:t>90%</w:t>
            </w:r>
            <w:r>
              <w:rPr>
                <w:rFonts w:hint="eastAsia" w:ascii="宋体" w:hAnsi="宋体"/>
                <w:color w:val="auto"/>
              </w:rPr>
              <w:t>赤霉酸</w:t>
            </w:r>
            <w:r>
              <w:rPr>
                <w:rFonts w:hint="eastAsia"/>
                <w:color w:val="auto"/>
              </w:rPr>
              <w:t>A</w:t>
            </w:r>
            <w:r>
              <w:rPr>
                <w:rFonts w:hint="eastAsia" w:ascii="宋体" w:hAnsi="宋体"/>
                <w:color w:val="auto"/>
              </w:rPr>
              <w:t>原药与水，常用灭火剂</w:t>
            </w:r>
            <w:r>
              <w:rPr>
                <w:rFonts w:hint="eastAsia"/>
                <w:color w:val="auto"/>
              </w:rPr>
              <w:t>(</w:t>
            </w:r>
            <w:r>
              <w:rPr>
                <w:rFonts w:hint="eastAsia" w:ascii="宋体" w:hAnsi="宋体"/>
                <w:color w:val="auto"/>
              </w:rPr>
              <w:t>磷酸二氢铵</w:t>
            </w:r>
            <w:r>
              <w:rPr>
                <w:rFonts w:hint="eastAsia"/>
                <w:color w:val="auto"/>
              </w:rPr>
              <w:t>)</w:t>
            </w:r>
            <w:r>
              <w:rPr>
                <w:rFonts w:hint="eastAsia" w:ascii="宋体" w:hAnsi="宋体"/>
                <w:color w:val="auto"/>
              </w:rPr>
              <w:t>、还原剂</w:t>
            </w:r>
            <w:r>
              <w:rPr>
                <w:rFonts w:hint="eastAsia"/>
                <w:color w:val="auto"/>
              </w:rPr>
              <w:t>(</w:t>
            </w:r>
            <w:r>
              <w:rPr>
                <w:rFonts w:hint="eastAsia" w:ascii="宋体" w:hAnsi="宋体"/>
                <w:color w:val="auto"/>
              </w:rPr>
              <w:t>铁粉</w:t>
            </w:r>
            <w:r>
              <w:rPr>
                <w:rFonts w:hint="eastAsia"/>
                <w:color w:val="auto"/>
              </w:rPr>
              <w:t>)</w:t>
            </w:r>
            <w:r>
              <w:rPr>
                <w:rFonts w:hint="eastAsia" w:ascii="宋体" w:hAnsi="宋体"/>
                <w:color w:val="auto"/>
              </w:rPr>
              <w:t>、中等氧化剂</w:t>
            </w:r>
            <w:r>
              <w:rPr>
                <w:rFonts w:hint="eastAsia"/>
                <w:color w:val="auto"/>
              </w:rPr>
              <w:t>(</w:t>
            </w:r>
            <w:r>
              <w:rPr>
                <w:rFonts w:hint="eastAsia" w:ascii="宋体" w:hAnsi="宋体"/>
                <w:color w:val="auto"/>
              </w:rPr>
              <w:t>高锰酸钾</w:t>
            </w:r>
            <w:r>
              <w:rPr>
                <w:rFonts w:hint="eastAsia"/>
                <w:color w:val="auto"/>
              </w:rPr>
              <w:t>)</w:t>
            </w:r>
            <w:r>
              <w:rPr>
                <w:rFonts w:hint="eastAsia" w:ascii="宋体" w:hAnsi="宋体"/>
                <w:color w:val="auto"/>
              </w:rPr>
              <w:t>，松节油接触无反应。与上述物质接触其有稳定的化学相容性</w:t>
            </w:r>
            <w:r>
              <w:rPr>
                <w:rFonts w:hint="eastAsia"/>
                <w:color w:val="auto"/>
              </w:rPr>
              <w:t>;</w:t>
            </w:r>
            <w:r>
              <w:rPr>
                <w:rFonts w:hint="eastAsia" w:ascii="宋体" w:hAnsi="宋体"/>
                <w:color w:val="auto"/>
              </w:rPr>
              <w:t>对包装材料不具有腐蚀性，无爆炸性</w:t>
            </w:r>
            <w:r>
              <w:rPr>
                <w:rFonts w:hint="eastAsia"/>
                <w:color w:val="auto"/>
              </w:rPr>
              <w:t>:</w:t>
            </w:r>
            <w:r>
              <w:rPr>
                <w:rFonts w:hint="eastAsia" w:ascii="宋体" w:hAnsi="宋体"/>
                <w:color w:val="auto"/>
              </w:rPr>
              <w:t>非易燃物质</w:t>
            </w:r>
            <w:r>
              <w:rPr>
                <w:rFonts w:hint="eastAsia"/>
                <w:color w:val="auto"/>
              </w:rPr>
              <w:t>;</w:t>
            </w:r>
            <w:r>
              <w:rPr>
                <w:rFonts w:hint="eastAsia" w:ascii="宋体" w:hAnsi="宋体"/>
                <w:color w:val="auto"/>
              </w:rPr>
              <w:t>比旋光度</w:t>
            </w:r>
            <w:r>
              <w:rPr>
                <w:rFonts w:hint="eastAsia"/>
                <w:color w:val="auto"/>
              </w:rPr>
              <w:t>-10.425”</w:t>
            </w:r>
            <w:r>
              <w:rPr>
                <w:rFonts w:hint="eastAsia" w:ascii="宋体" w:hAnsi="宋体"/>
                <w:color w:val="auto"/>
              </w:rPr>
              <w:t>，</w:t>
            </w:r>
            <w:r>
              <w:rPr>
                <w:rFonts w:hint="eastAsia"/>
                <w:color w:val="auto"/>
              </w:rPr>
              <w:t>90%</w:t>
            </w:r>
            <w:r>
              <w:rPr>
                <w:rFonts w:hint="eastAsia" w:ascii="宋体" w:hAnsi="宋体"/>
                <w:color w:val="auto"/>
              </w:rPr>
              <w:t xml:space="preserve">赤霉酸 </w:t>
            </w:r>
            <w:r>
              <w:rPr>
                <w:rFonts w:hint="eastAsia"/>
                <w:color w:val="auto"/>
              </w:rPr>
              <w:t>A4</w:t>
            </w:r>
            <w:r>
              <w:rPr>
                <w:rFonts w:hint="eastAsia" w:ascii="宋体" w:hAnsi="宋体"/>
                <w:color w:val="auto"/>
              </w:rPr>
              <w:t>原药与金属及金属离子接触后不稳定</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原药在室温下是稳定的。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第十部分：稳定性和反应活性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稳定性：常温储存条件下稳定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禁配物：强酸、强碱、氧化剂、金属和金属离子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避免接触的条件：严防明火、高热、雨淋、日晒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聚合危害：不发生聚合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分解产物：一氧化碳，二氧化碳等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第十一部分：毒理学资料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急性毒性：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LD50</w:t>
            </w:r>
            <w:r>
              <w:rPr>
                <w:rFonts w:hint="eastAsia" w:ascii="宋体" w:hAnsi="宋体"/>
                <w:color w:val="auto"/>
              </w:rPr>
              <w:t>：急性经口，雌、雄</w:t>
            </w:r>
            <w:r>
              <w:rPr>
                <w:rFonts w:hint="eastAsia"/>
                <w:color w:val="auto"/>
              </w:rPr>
              <w:t>SD</w:t>
            </w:r>
            <w:r>
              <w:rPr>
                <w:rFonts w:hint="eastAsia" w:ascii="宋体" w:hAnsi="宋体"/>
                <w:color w:val="auto"/>
              </w:rPr>
              <w:t>大鼠的半数致死剂量</w:t>
            </w:r>
            <w:r>
              <w:rPr>
                <w:rFonts w:hint="eastAsia"/>
                <w:color w:val="auto"/>
              </w:rPr>
              <w:t>(LD50)</w:t>
            </w:r>
            <w:r>
              <w:rPr>
                <w:rFonts w:hint="eastAsia" w:ascii="宋体" w:hAnsi="宋体"/>
                <w:color w:val="auto"/>
              </w:rPr>
              <w:t>均</w:t>
            </w:r>
            <w:r>
              <w:rPr>
                <w:rFonts w:hint="eastAsia"/>
                <w:color w:val="auto"/>
              </w:rPr>
              <w:t>&gt;5000ng/kg</w:t>
            </w:r>
            <w:r>
              <w:rPr>
                <w:rFonts w:hint="eastAsia" w:ascii="宋体" w:hAnsi="宋体"/>
                <w:color w:val="auto"/>
              </w:rPr>
              <w:t>体重。急性经皮，雌、雄</w:t>
            </w:r>
            <w:r>
              <w:rPr>
                <w:rFonts w:hint="eastAsia"/>
                <w:color w:val="auto"/>
              </w:rPr>
              <w:t>SD</w:t>
            </w:r>
            <w:r>
              <w:rPr>
                <w:rFonts w:hint="eastAsia" w:ascii="宋体" w:hAnsi="宋体"/>
                <w:color w:val="auto"/>
              </w:rPr>
              <w:t>大鼠的急性经皮半数致死剂量</w:t>
            </w:r>
            <w:r>
              <w:rPr>
                <w:rFonts w:hint="eastAsia"/>
                <w:color w:val="auto"/>
              </w:rPr>
              <w:t>(LD50)</w:t>
            </w:r>
            <w:r>
              <w:rPr>
                <w:rFonts w:hint="eastAsia" w:ascii="宋体" w:hAnsi="宋体"/>
                <w:color w:val="auto"/>
              </w:rPr>
              <w:t>均</w:t>
            </w:r>
            <w:r>
              <w:rPr>
                <w:rFonts w:hint="eastAsia"/>
                <w:color w:val="auto"/>
              </w:rPr>
              <w:t xml:space="preserve">&gt;2000mg/kg </w:t>
            </w:r>
            <w:r>
              <w:rPr>
                <w:rFonts w:hint="eastAsia" w:ascii="宋体" w:hAnsi="宋体"/>
                <w:color w:val="auto"/>
              </w:rPr>
              <w:t>体重。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LC50</w:t>
            </w:r>
            <w:r>
              <w:rPr>
                <w:rFonts w:hint="eastAsia" w:ascii="宋体" w:hAnsi="宋体"/>
                <w:color w:val="auto"/>
              </w:rPr>
              <w:t>：急性吸入</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原药大鼠急性吸入毒性试验在口鼻暴露浓度为</w:t>
            </w:r>
            <w:r>
              <w:rPr>
                <w:rFonts w:hint="eastAsia"/>
                <w:color w:val="auto"/>
              </w:rPr>
              <w:t>2100mg/m</w:t>
            </w:r>
            <w:r>
              <w:rPr>
                <w:rFonts w:hint="eastAsia"/>
                <w:color w:val="auto"/>
                <w:vertAlign w:val="superscript"/>
              </w:rPr>
              <w:t>3</w:t>
            </w:r>
            <w:r>
              <w:rPr>
                <w:rFonts w:hint="eastAsia" w:ascii="宋体" w:hAnsi="宋体"/>
                <w:color w:val="auto"/>
              </w:rPr>
              <w:t>的供试品气溶胶环境下</w:t>
            </w:r>
            <w:r>
              <w:rPr>
                <w:rFonts w:hint="eastAsia"/>
                <w:color w:val="auto"/>
              </w:rPr>
              <w:t>(</w:t>
            </w:r>
            <w:r>
              <w:rPr>
                <w:rFonts w:hint="eastAsia" w:ascii="宋体" w:hAnsi="宋体"/>
                <w:color w:val="auto"/>
              </w:rPr>
              <w:t>最高稳定浓度</w:t>
            </w:r>
            <w:r>
              <w:rPr>
                <w:rFonts w:hint="eastAsia"/>
                <w:color w:val="auto"/>
              </w:rPr>
              <w:t>)</w:t>
            </w:r>
            <w:r>
              <w:rPr>
                <w:rFonts w:hint="eastAsia" w:ascii="宋体" w:hAnsi="宋体"/>
                <w:color w:val="auto"/>
              </w:rPr>
              <w:t>，雌、雄</w:t>
            </w:r>
            <w:r>
              <w:rPr>
                <w:rFonts w:hint="eastAsia"/>
                <w:color w:val="auto"/>
              </w:rPr>
              <w:t>SD</w:t>
            </w:r>
            <w:r>
              <w:rPr>
                <w:rFonts w:hint="eastAsia" w:ascii="宋体" w:hAnsi="宋体"/>
                <w:color w:val="auto"/>
              </w:rPr>
              <w:t>大鼠均未出现死亡，半数致死浓度</w:t>
            </w:r>
            <w:r>
              <w:rPr>
                <w:rFonts w:hint="eastAsia"/>
                <w:color w:val="auto"/>
              </w:rPr>
              <w:t>(LC50)&gt;2100mg/m</w:t>
            </w:r>
            <w:r>
              <w:rPr>
                <w:rFonts w:hint="eastAsia"/>
                <w:color w:val="auto"/>
                <w:vertAlign w:val="superscript"/>
              </w:rPr>
              <w:t>3</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亚急性和慢性毒性：根据</w:t>
            </w:r>
            <w:r>
              <w:rPr>
                <w:rFonts w:hint="eastAsia"/>
                <w:color w:val="auto"/>
              </w:rPr>
              <w:t xml:space="preserve"> 90%</w:t>
            </w:r>
            <w:r>
              <w:rPr>
                <w:rFonts w:hint="eastAsia" w:ascii="宋体" w:hAnsi="宋体"/>
                <w:color w:val="auto"/>
              </w:rPr>
              <w:t>赤霉酸</w:t>
            </w:r>
            <w:r>
              <w:rPr>
                <w:rFonts w:hint="eastAsia"/>
                <w:color w:val="auto"/>
              </w:rPr>
              <w:t>A4</w:t>
            </w:r>
            <w:r>
              <w:rPr>
                <w:rFonts w:hint="eastAsia" w:ascii="宋体" w:hAnsi="宋体"/>
                <w:color w:val="auto"/>
              </w:rPr>
              <w:t>原药对</w:t>
            </w:r>
            <w:r>
              <w:rPr>
                <w:rFonts w:hint="eastAsia"/>
                <w:color w:val="auto"/>
              </w:rPr>
              <w:t>SD</w:t>
            </w:r>
            <w:r>
              <w:rPr>
                <w:rFonts w:hint="eastAsia" w:ascii="宋体" w:hAnsi="宋体"/>
                <w:color w:val="auto"/>
              </w:rPr>
              <w:t>大鼠亚慢性经口毒性试验结果，综合分析得出供试品对大鼠的未观察到有害作用剂量水平</w:t>
            </w:r>
            <w:r>
              <w:rPr>
                <w:rFonts w:hint="eastAsia"/>
                <w:color w:val="auto"/>
              </w:rPr>
              <w:t>(NOAEL)</w:t>
            </w:r>
            <w:r>
              <w:rPr>
                <w:rFonts w:hint="eastAsia" w:ascii="宋体" w:hAnsi="宋体"/>
                <w:color w:val="auto"/>
              </w:rPr>
              <w:t>雌雄动物均为</w:t>
            </w:r>
            <w:r>
              <w:rPr>
                <w:rFonts w:hint="eastAsia"/>
                <w:color w:val="auto"/>
              </w:rPr>
              <w:t xml:space="preserve">10000mg/kg </w:t>
            </w:r>
            <w:r>
              <w:rPr>
                <w:rFonts w:hint="eastAsia" w:ascii="宋体" w:hAnsi="宋体"/>
                <w:color w:val="auto"/>
              </w:rPr>
              <w:t>饲料，计算成供试品摄入量</w:t>
            </w:r>
            <w:r>
              <w:rPr>
                <w:rFonts w:hint="eastAsia"/>
                <w:color w:val="auto"/>
              </w:rPr>
              <w:t>:</w:t>
            </w:r>
            <w:r>
              <w:rPr>
                <w:rFonts w:hint="eastAsia" w:ascii="宋体" w:hAnsi="宋体"/>
                <w:color w:val="auto"/>
              </w:rPr>
              <w:t>雄性为</w:t>
            </w:r>
            <w:r>
              <w:rPr>
                <w:rFonts w:hint="eastAsia"/>
                <w:color w:val="auto"/>
              </w:rPr>
              <w:t>643.11</w:t>
            </w:r>
            <w:r>
              <w:rPr>
                <w:rFonts w:hint="eastAsia" w:ascii="宋体" w:hAnsi="宋体"/>
                <w:color w:val="auto"/>
              </w:rPr>
              <w:t>士</w:t>
            </w:r>
            <w:r>
              <w:rPr>
                <w:rFonts w:hint="eastAsia"/>
                <w:color w:val="auto"/>
              </w:rPr>
              <w:t>65.13mg/kg/day</w:t>
            </w:r>
            <w:r>
              <w:rPr>
                <w:rFonts w:hint="eastAsia" w:ascii="宋体" w:hAnsi="宋体"/>
                <w:color w:val="auto"/>
              </w:rPr>
              <w:t>，雌性为</w:t>
            </w:r>
            <w:r>
              <w:rPr>
                <w:rFonts w:hint="eastAsia"/>
                <w:color w:val="auto"/>
              </w:rPr>
              <w:t>724.09</w:t>
            </w:r>
            <w:r>
              <w:rPr>
                <w:rFonts w:hint="eastAsia" w:ascii="宋体" w:hAnsi="宋体"/>
                <w:color w:val="auto"/>
              </w:rPr>
              <w:t>士</w:t>
            </w:r>
            <w:r>
              <w:rPr>
                <w:rFonts w:hint="eastAsia"/>
                <w:color w:val="auto"/>
              </w:rPr>
              <w:t>64.07mg/kg/day</w:t>
            </w:r>
            <w:r>
              <w:rPr>
                <w:rFonts w:hint="eastAsia" w:ascii="宋体" w:hAnsi="宋体"/>
                <w:color w:val="auto"/>
              </w:rPr>
              <w:t>。观察到有害作用最低剂量水平</w:t>
            </w:r>
            <w:r>
              <w:rPr>
                <w:rFonts w:hint="eastAsia"/>
                <w:color w:val="auto"/>
              </w:rPr>
              <w:t>(LOAEL)</w:t>
            </w:r>
            <w:r>
              <w:rPr>
                <w:rFonts w:hint="eastAsia" w:ascii="宋体" w:hAnsi="宋体"/>
                <w:color w:val="auto"/>
              </w:rPr>
              <w:t>雄雄动物均为</w:t>
            </w:r>
            <w:r>
              <w:rPr>
                <w:rFonts w:hint="eastAsia"/>
                <w:color w:val="auto"/>
              </w:rPr>
              <w:t>25000mg/kg</w:t>
            </w:r>
            <w:r>
              <w:rPr>
                <w:rFonts w:hint="eastAsia" w:ascii="宋体" w:hAnsi="宋体"/>
                <w:color w:val="auto"/>
              </w:rPr>
              <w:t>饲料，计算成供试品摄入量</w:t>
            </w:r>
            <w:r>
              <w:rPr>
                <w:rFonts w:hint="eastAsia"/>
                <w:color w:val="auto"/>
              </w:rPr>
              <w:t>:</w:t>
            </w:r>
            <w:r>
              <w:rPr>
                <w:rFonts w:hint="eastAsia" w:ascii="宋体" w:hAnsi="宋体"/>
                <w:color w:val="auto"/>
              </w:rPr>
              <w:t xml:space="preserve">雄性为 </w:t>
            </w:r>
            <w:r>
              <w:rPr>
                <w:rFonts w:hint="eastAsia"/>
                <w:color w:val="auto"/>
              </w:rPr>
              <w:t>1677.09</w:t>
            </w:r>
            <w:r>
              <w:rPr>
                <w:rFonts w:hint="eastAsia" w:ascii="宋体" w:hAnsi="宋体"/>
                <w:color w:val="auto"/>
              </w:rPr>
              <w:t>土</w:t>
            </w:r>
            <w:r>
              <w:rPr>
                <w:rFonts w:hint="eastAsia"/>
                <w:color w:val="auto"/>
              </w:rPr>
              <w:t>124.62mg/ kg/day</w:t>
            </w:r>
            <w:r>
              <w:rPr>
                <w:rFonts w:hint="eastAsia" w:ascii="宋体" w:hAnsi="宋体"/>
                <w:color w:val="auto"/>
              </w:rPr>
              <w:t>，雌性为</w:t>
            </w:r>
            <w:r>
              <w:rPr>
                <w:rFonts w:hint="eastAsia"/>
                <w:color w:val="auto"/>
              </w:rPr>
              <w:t>1914.95</w:t>
            </w:r>
            <w:r>
              <w:rPr>
                <w:rFonts w:hint="eastAsia" w:ascii="宋体" w:hAnsi="宋体"/>
                <w:color w:val="auto"/>
              </w:rPr>
              <w:t>士</w:t>
            </w:r>
            <w:r>
              <w:rPr>
                <w:rFonts w:hint="eastAsia"/>
                <w:color w:val="auto"/>
              </w:rPr>
              <w:t>130.79mg/kg/day</w:t>
            </w:r>
            <w:r>
              <w:rPr>
                <w:rFonts w:hint="eastAsia" w:ascii="宋体" w:hAnsi="宋体"/>
                <w:color w:val="auto"/>
              </w:rPr>
              <w:t xml:space="preserve">。该剂量下雄雄动物主要可见 </w:t>
            </w:r>
            <w:r>
              <w:rPr>
                <w:rFonts w:hint="eastAsia"/>
                <w:color w:val="auto"/>
              </w:rPr>
              <w:t xml:space="preserve">UREA </w:t>
            </w:r>
            <w:r>
              <w:rPr>
                <w:rFonts w:hint="eastAsia" w:ascii="宋体" w:hAnsi="宋体"/>
                <w:color w:val="auto"/>
              </w:rPr>
              <w:t>指标的升高和肾脏的病理改变，雄性动物还可见特脏脏体系数升高和肝脏小叶中心性肝细胞微空泡化。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刺激性：眼睛刺激</w:t>
            </w:r>
            <w:r>
              <w:rPr>
                <w:rFonts w:hint="eastAsia"/>
                <w:color w:val="auto"/>
              </w:rPr>
              <w:t>:</w:t>
            </w:r>
            <w:r>
              <w:rPr>
                <w:rFonts w:hint="eastAsia" w:ascii="宋体" w:hAnsi="宋体"/>
                <w:color w:val="auto"/>
              </w:rPr>
              <w:t>给予供试品后，</w:t>
            </w:r>
            <w:r>
              <w:rPr>
                <w:rFonts w:hint="eastAsia"/>
                <w:color w:val="auto"/>
              </w:rPr>
              <w:t>4</w:t>
            </w:r>
            <w:r>
              <w:rPr>
                <w:rFonts w:hint="eastAsia" w:ascii="宋体" w:hAnsi="宋体"/>
                <w:color w:val="auto"/>
              </w:rPr>
              <w:t xml:space="preserve">只新西兰白兔出现眼刺激反应，所有反应在 </w:t>
            </w:r>
            <w:r>
              <w:rPr>
                <w:rFonts w:hint="eastAsia"/>
                <w:color w:val="auto"/>
              </w:rPr>
              <w:t xml:space="preserve">72h </w:t>
            </w:r>
            <w:r>
              <w:rPr>
                <w:rFonts w:hint="eastAsia" w:ascii="宋体" w:hAnsi="宋体"/>
                <w:color w:val="auto"/>
              </w:rPr>
              <w:t xml:space="preserve">内完全恢复。根据农药兔眼刺激反应分级标准判定，供试品 </w:t>
            </w:r>
            <w:r>
              <w:rPr>
                <w:rFonts w:hint="eastAsia"/>
                <w:color w:val="auto"/>
              </w:rPr>
              <w:t>90%</w:t>
            </w:r>
            <w:r>
              <w:rPr>
                <w:rFonts w:hint="eastAsia" w:ascii="宋体" w:hAnsi="宋体"/>
                <w:color w:val="auto"/>
              </w:rPr>
              <w:t xml:space="preserve">赤霉酸 </w:t>
            </w:r>
            <w:r>
              <w:rPr>
                <w:rFonts w:hint="eastAsia"/>
                <w:color w:val="auto"/>
              </w:rPr>
              <w:t xml:space="preserve">A4 </w:t>
            </w:r>
            <w:r>
              <w:rPr>
                <w:rFonts w:hint="eastAsia" w:ascii="宋体" w:hAnsi="宋体"/>
                <w:color w:val="auto"/>
              </w:rPr>
              <w:t>原药对新西兰白兔眼刺激强度分级为中度刺激性。皮肤刺激</w:t>
            </w:r>
            <w:r>
              <w:rPr>
                <w:rFonts w:hint="eastAsia"/>
                <w:color w:val="auto"/>
              </w:rPr>
              <w:t>:</w:t>
            </w:r>
            <w:r>
              <w:rPr>
                <w:rFonts w:hint="eastAsia" w:ascii="宋体" w:hAnsi="宋体"/>
                <w:color w:val="auto"/>
              </w:rPr>
              <w:t>在本试验条件下，供试品对新西兰白兔皮肤刺激最高积分均值为</w:t>
            </w:r>
            <w:r>
              <w:rPr>
                <w:rFonts w:hint="eastAsia"/>
                <w:color w:val="auto"/>
              </w:rPr>
              <w:t>0</w:t>
            </w:r>
            <w:r>
              <w:rPr>
                <w:rFonts w:hint="eastAsia" w:ascii="宋体" w:hAnsi="宋体"/>
                <w:color w:val="auto"/>
              </w:rPr>
              <w:t>。根据皮肤刺激强度分级标准判定</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原药对新西兰白兔皮肤刺激强度分级为无刺激性。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致敏性：</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 xml:space="preserve">原药对 </w:t>
            </w:r>
            <w:r>
              <w:rPr>
                <w:rFonts w:hint="eastAsia"/>
                <w:color w:val="auto"/>
              </w:rPr>
              <w:t xml:space="preserve">Hartley </w:t>
            </w:r>
            <w:r>
              <w:rPr>
                <w:rFonts w:hint="eastAsia" w:ascii="宋体" w:hAnsi="宋体"/>
                <w:color w:val="auto"/>
              </w:rPr>
              <w:t xml:space="preserve">豚鼠的致敏率为 </w:t>
            </w:r>
            <w:r>
              <w:rPr>
                <w:rFonts w:hint="eastAsia"/>
                <w:color w:val="auto"/>
              </w:rPr>
              <w:t>0%</w:t>
            </w:r>
            <w:r>
              <w:rPr>
                <w:rFonts w:hint="eastAsia" w:ascii="宋体" w:hAnsi="宋体"/>
                <w:color w:val="auto"/>
              </w:rPr>
              <w:t>，根据农药致敏强度标准，致敏强度分级为弱。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致突变性：</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原药对所有测试菌株均无致突变性，即试验结果为阴性。</w:t>
            </w:r>
            <w:r>
              <w:rPr>
                <w:rFonts w:hint="eastAsia"/>
                <w:color w:val="auto"/>
              </w:rPr>
              <w:t>90%</w:t>
            </w:r>
            <w:r>
              <w:rPr>
                <w:rFonts w:hint="eastAsia" w:ascii="宋体" w:hAnsi="宋体"/>
                <w:color w:val="auto"/>
              </w:rPr>
              <w:t xml:space="preserve">赤霉酸 </w:t>
            </w:r>
            <w:r>
              <w:rPr>
                <w:rFonts w:hint="eastAsia"/>
                <w:color w:val="auto"/>
              </w:rPr>
              <w:t>A4</w:t>
            </w:r>
            <w:r>
              <w:rPr>
                <w:rFonts w:hint="eastAsia" w:ascii="宋体" w:hAnsi="宋体"/>
                <w:color w:val="auto"/>
              </w:rPr>
              <w:t>原药不能诱导嗜多染红细胞微核形成率明显增高，且无剂量</w:t>
            </w:r>
            <w:r>
              <w:rPr>
                <w:rFonts w:hint="eastAsia"/>
                <w:color w:val="auto"/>
              </w:rPr>
              <w:t>-</w:t>
            </w:r>
            <w:r>
              <w:rPr>
                <w:rFonts w:hint="eastAsia" w:ascii="宋体" w:hAnsi="宋体"/>
                <w:color w:val="auto"/>
              </w:rPr>
              <w:t>反应关系，因此供试品对小鼠嗜多染红组胞无致突变性，即试验结果为阴性</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原药对体外培养的</w:t>
            </w:r>
            <w:r>
              <w:rPr>
                <w:rFonts w:hint="eastAsia"/>
                <w:color w:val="auto"/>
              </w:rPr>
              <w:t>CHL</w:t>
            </w:r>
            <w:r>
              <w:rPr>
                <w:rFonts w:hint="eastAsia" w:ascii="宋体" w:hAnsi="宋体"/>
                <w:color w:val="auto"/>
              </w:rPr>
              <w:t>啸乳动物细胞无致突变性，即试验结果为阴性。</w:t>
            </w:r>
            <w:r>
              <w:rPr>
                <w:rFonts w:hint="eastAsia"/>
                <w:color w:val="auto"/>
              </w:rPr>
              <w:t>90%</w:t>
            </w:r>
            <w:r>
              <w:rPr>
                <w:rFonts w:hint="eastAsia" w:ascii="宋体" w:hAnsi="宋体"/>
                <w:color w:val="auto"/>
              </w:rPr>
              <w:t>赤霉酸</w:t>
            </w:r>
            <w:r>
              <w:rPr>
                <w:rFonts w:hint="eastAsia"/>
                <w:color w:val="auto"/>
              </w:rPr>
              <w:t>A4</w:t>
            </w:r>
            <w:r>
              <w:rPr>
                <w:rFonts w:hint="eastAsia" w:ascii="宋体" w:hAnsi="宋体"/>
                <w:color w:val="auto"/>
              </w:rPr>
              <w:t xml:space="preserve">原药对体外培养的小鼠淋巴瘤细胞 </w:t>
            </w:r>
            <w:r>
              <w:rPr>
                <w:rFonts w:hint="eastAsia"/>
                <w:color w:val="auto"/>
              </w:rPr>
              <w:t>L5178YTK**clone (3.7.2c)</w:t>
            </w:r>
            <w:r>
              <w:rPr>
                <w:rFonts w:hint="eastAsia" w:ascii="宋体" w:hAnsi="宋体"/>
                <w:color w:val="auto"/>
              </w:rPr>
              <w:t>的基因突变试验结果为阴性，不诱导基因突变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致畸性：无资料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致癌性：无资料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第十二部分：生态学资料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生态毒理毒性：</w:t>
            </w:r>
          </w:p>
          <w:p>
            <w:pPr>
              <w:rPr>
                <w:color w:val="auto"/>
              </w:rPr>
            </w:pPr>
            <w:r>
              <w:rPr>
                <w:rFonts w:hint="eastAsia" w:ascii="宋体" w:hAnsi="宋体"/>
                <w:color w:val="auto"/>
              </w:rPr>
              <w:t>鸟类急性经口毒性</w:t>
            </w:r>
            <w:r>
              <w:rPr>
                <w:rFonts w:hint="eastAsia"/>
                <w:color w:val="auto"/>
              </w:rPr>
              <w:t>:</w:t>
            </w:r>
            <w:r>
              <w:rPr>
                <w:rFonts w:hint="eastAsia" w:ascii="宋体" w:hAnsi="宋体"/>
                <w:color w:val="auto"/>
              </w:rPr>
              <w:t>日本鹌鹑</w:t>
            </w:r>
            <w:r>
              <w:rPr>
                <w:rFonts w:hint="eastAsia"/>
                <w:color w:val="auto"/>
              </w:rPr>
              <w:t>(24h</w:t>
            </w:r>
            <w:r>
              <w:rPr>
                <w:rFonts w:hint="eastAsia" w:ascii="宋体" w:hAnsi="宋体"/>
                <w:color w:val="auto"/>
              </w:rPr>
              <w:t>、</w:t>
            </w:r>
            <w:r>
              <w:rPr>
                <w:rFonts w:hint="eastAsia"/>
                <w:color w:val="auto"/>
              </w:rPr>
              <w:t>48h</w:t>
            </w:r>
            <w:r>
              <w:rPr>
                <w:rFonts w:hint="eastAsia" w:ascii="宋体" w:hAnsi="宋体"/>
                <w:color w:val="auto"/>
              </w:rPr>
              <w:t>、</w:t>
            </w:r>
            <w:r>
              <w:rPr>
                <w:rFonts w:hint="eastAsia"/>
                <w:color w:val="auto"/>
              </w:rPr>
              <w:t>72h</w:t>
            </w:r>
            <w:r>
              <w:rPr>
                <w:rFonts w:hint="eastAsia" w:ascii="宋体" w:hAnsi="宋体"/>
                <w:color w:val="auto"/>
              </w:rPr>
              <w:t>、</w:t>
            </w:r>
            <w:r>
              <w:rPr>
                <w:rFonts w:hint="eastAsia"/>
                <w:color w:val="auto"/>
              </w:rPr>
              <w:t xml:space="preserve">7d)LD50&gt;2112.0mg a.i./kg </w:t>
            </w:r>
            <w:r>
              <w:rPr>
                <w:rFonts w:hint="eastAsia" w:ascii="宋体" w:hAnsi="宋体"/>
                <w:color w:val="auto"/>
              </w:rPr>
              <w:t>，为</w:t>
            </w:r>
            <w:r>
              <w:rPr>
                <w:rFonts w:hint="eastAsia"/>
                <w:color w:val="auto"/>
              </w:rPr>
              <w:t>“</w:t>
            </w:r>
            <w:r>
              <w:rPr>
                <w:rFonts w:hint="eastAsia" w:ascii="宋体" w:hAnsi="宋体"/>
                <w:color w:val="auto"/>
              </w:rPr>
              <w:t>低毒</w:t>
            </w:r>
            <w:r>
              <w:rPr>
                <w:rFonts w:hint="eastAsia"/>
                <w:color w:val="auto"/>
              </w:rPr>
              <w:t>”</w:t>
            </w:r>
            <w:r>
              <w:rPr>
                <w:rFonts w:hint="eastAsia" w:ascii="宋体" w:hAnsi="宋体"/>
                <w:color w:val="auto"/>
              </w:rPr>
              <w:t>，</w:t>
            </w:r>
          </w:p>
          <w:p>
            <w:pPr>
              <w:rPr>
                <w:color w:val="auto"/>
              </w:rPr>
            </w:pPr>
            <w:r>
              <w:rPr>
                <w:rFonts w:hint="eastAsia" w:ascii="宋体" w:hAnsi="宋体"/>
                <w:color w:val="auto"/>
              </w:rPr>
              <w:t>鱼类急性毒性</w:t>
            </w:r>
            <w:r>
              <w:rPr>
                <w:rFonts w:hint="eastAsia"/>
                <w:color w:val="auto"/>
              </w:rPr>
              <w:t>:</w:t>
            </w:r>
            <w:r>
              <w:rPr>
                <w:rFonts w:hint="eastAsia" w:ascii="宋体" w:hAnsi="宋体"/>
                <w:color w:val="auto"/>
              </w:rPr>
              <w:t>斑马鱼</w:t>
            </w:r>
            <w:r>
              <w:rPr>
                <w:rFonts w:hint="eastAsia"/>
                <w:color w:val="auto"/>
              </w:rPr>
              <w:t>(0-96h)LC50</w:t>
            </w:r>
            <w:r>
              <w:rPr>
                <w:rFonts w:hint="eastAsia" w:ascii="宋体" w:hAnsi="宋体"/>
                <w:color w:val="auto"/>
              </w:rPr>
              <w:t xml:space="preserve">为 </w:t>
            </w:r>
            <w:r>
              <w:rPr>
                <w:rFonts w:hint="eastAsia"/>
                <w:color w:val="auto"/>
              </w:rPr>
              <w:t>103.74mg a.i./L</w:t>
            </w:r>
            <w:r>
              <w:rPr>
                <w:rFonts w:hint="eastAsia" w:ascii="宋体" w:hAnsi="宋体"/>
                <w:color w:val="auto"/>
              </w:rPr>
              <w:t>，为</w:t>
            </w:r>
            <w:r>
              <w:rPr>
                <w:rFonts w:hint="eastAsia"/>
                <w:color w:val="auto"/>
              </w:rPr>
              <w:t>“</w:t>
            </w:r>
            <w:r>
              <w:rPr>
                <w:rFonts w:hint="eastAsia" w:ascii="宋体" w:hAnsi="宋体"/>
                <w:color w:val="auto"/>
              </w:rPr>
              <w:t>低毒</w:t>
            </w:r>
            <w:r>
              <w:rPr>
                <w:rFonts w:hint="eastAsia"/>
                <w:color w:val="auto"/>
              </w:rPr>
              <w:t>”</w:t>
            </w:r>
            <w:r>
              <w:rPr>
                <w:rFonts w:hint="eastAsia" w:ascii="宋体" w:hAnsi="宋体"/>
                <w:color w:val="auto"/>
              </w:rPr>
              <w:t>。</w:t>
            </w:r>
          </w:p>
          <w:p>
            <w:pPr>
              <w:rPr>
                <w:color w:val="auto"/>
              </w:rPr>
            </w:pPr>
            <w:r>
              <w:rPr>
                <w:rFonts w:hint="eastAsia" w:ascii="宋体" w:hAnsi="宋体"/>
                <w:color w:val="auto"/>
              </w:rPr>
              <w:t>大型溞急性活动抑制</w:t>
            </w:r>
            <w:r>
              <w:rPr>
                <w:rFonts w:hint="eastAsia"/>
                <w:color w:val="auto"/>
              </w:rPr>
              <w:t>:</w:t>
            </w:r>
            <w:r>
              <w:rPr>
                <w:rFonts w:hint="eastAsia" w:ascii="宋体" w:hAnsi="宋体"/>
                <w:color w:val="auto"/>
              </w:rPr>
              <w:t>大型溞</w:t>
            </w:r>
            <w:r>
              <w:rPr>
                <w:rFonts w:hint="eastAsia"/>
                <w:color w:val="auto"/>
              </w:rPr>
              <w:t>(24</w:t>
            </w:r>
            <w:r>
              <w:rPr>
                <w:rFonts w:hint="eastAsia" w:ascii="宋体" w:hAnsi="宋体"/>
                <w:color w:val="auto"/>
              </w:rPr>
              <w:t>、</w:t>
            </w:r>
            <w:r>
              <w:rPr>
                <w:rFonts w:hint="eastAsia"/>
                <w:color w:val="auto"/>
              </w:rPr>
              <w:t>48h)EC50</w:t>
            </w:r>
            <w:r>
              <w:rPr>
                <w:rFonts w:hint="eastAsia" w:ascii="宋体" w:hAnsi="宋体"/>
                <w:color w:val="auto"/>
              </w:rPr>
              <w:t>为</w:t>
            </w:r>
            <w:r>
              <w:rPr>
                <w:rFonts w:hint="eastAsia"/>
                <w:color w:val="auto"/>
              </w:rPr>
              <w:t>&gt;100mg a.i/L</w:t>
            </w:r>
            <w:r>
              <w:rPr>
                <w:rFonts w:hint="eastAsia" w:ascii="宋体" w:hAnsi="宋体"/>
                <w:color w:val="auto"/>
              </w:rPr>
              <w:t>。为</w:t>
            </w:r>
            <w:r>
              <w:rPr>
                <w:rFonts w:hint="eastAsia"/>
                <w:color w:val="auto"/>
              </w:rPr>
              <w:t>“</w:t>
            </w:r>
            <w:r>
              <w:rPr>
                <w:rFonts w:hint="eastAsia" w:ascii="宋体" w:hAnsi="宋体"/>
                <w:color w:val="auto"/>
              </w:rPr>
              <w:t>低毒</w:t>
            </w:r>
            <w:r>
              <w:rPr>
                <w:rFonts w:hint="eastAsia"/>
                <w:color w:val="auto"/>
              </w:rPr>
              <w:t>”</w:t>
            </w:r>
          </w:p>
          <w:p>
            <w:pPr>
              <w:rPr>
                <w:color w:val="auto"/>
              </w:rPr>
            </w:pPr>
            <w:r>
              <w:rPr>
                <w:rFonts w:hint="eastAsia" w:ascii="宋体" w:hAnsi="宋体"/>
                <w:color w:val="auto"/>
              </w:rPr>
              <w:t>蜜蜂急性经口毒性</w:t>
            </w:r>
            <w:r>
              <w:rPr>
                <w:rFonts w:hint="eastAsia"/>
                <w:color w:val="auto"/>
              </w:rPr>
              <w:t>:</w:t>
            </w:r>
            <w:r>
              <w:rPr>
                <w:rFonts w:hint="eastAsia" w:ascii="宋体" w:hAnsi="宋体"/>
                <w:color w:val="auto"/>
              </w:rPr>
              <w:t>蜜蜂</w:t>
            </w:r>
            <w:r>
              <w:rPr>
                <w:rFonts w:hint="eastAsia"/>
                <w:color w:val="auto"/>
              </w:rPr>
              <w:t>(24h</w:t>
            </w:r>
            <w:r>
              <w:rPr>
                <w:rFonts w:hint="eastAsia" w:ascii="宋体" w:hAnsi="宋体"/>
                <w:color w:val="auto"/>
              </w:rPr>
              <w:t>、</w:t>
            </w:r>
            <w:r>
              <w:rPr>
                <w:rFonts w:hint="eastAsia"/>
                <w:color w:val="auto"/>
              </w:rPr>
              <w:t>48h)LD50&gt;100.0ug/</w:t>
            </w:r>
            <w:r>
              <w:rPr>
                <w:rFonts w:hint="eastAsia" w:ascii="宋体" w:hAnsi="宋体"/>
                <w:color w:val="auto"/>
              </w:rPr>
              <w:t>蜂。为低毒。</w:t>
            </w:r>
          </w:p>
          <w:p>
            <w:pPr>
              <w:rPr>
                <w:color w:val="auto"/>
              </w:rPr>
            </w:pPr>
            <w:r>
              <w:rPr>
                <w:rFonts w:hint="eastAsia" w:ascii="宋体" w:hAnsi="宋体"/>
                <w:color w:val="auto"/>
              </w:rPr>
              <w:t>鱼类急性毒性</w:t>
            </w:r>
            <w:r>
              <w:rPr>
                <w:rFonts w:hint="eastAsia"/>
                <w:color w:val="auto"/>
              </w:rPr>
              <w:t>:</w:t>
            </w:r>
            <w:r>
              <w:rPr>
                <w:rFonts w:hint="eastAsia" w:ascii="宋体" w:hAnsi="宋体"/>
                <w:color w:val="auto"/>
              </w:rPr>
              <w:t xml:space="preserve">虹鳟鱼 </w:t>
            </w:r>
            <w:r>
              <w:rPr>
                <w:rFonts w:hint="eastAsia"/>
                <w:color w:val="auto"/>
              </w:rPr>
              <w:t>LC50(96h)</w:t>
            </w:r>
            <w:r>
              <w:rPr>
                <w:rFonts w:hint="eastAsia" w:ascii="宋体" w:hAnsi="宋体"/>
                <w:color w:val="auto"/>
              </w:rPr>
              <w:t xml:space="preserve">为 </w:t>
            </w:r>
            <w:r>
              <w:rPr>
                <w:rFonts w:hint="eastAsia"/>
                <w:color w:val="auto"/>
              </w:rPr>
              <w:t>100mg a.s./L.</w:t>
            </w:r>
          </w:p>
          <w:p>
            <w:pPr>
              <w:rPr>
                <w:color w:val="auto"/>
              </w:rPr>
            </w:pPr>
            <w:r>
              <w:rPr>
                <w:rFonts w:hint="eastAsia" w:ascii="宋体" w:hAnsi="宋体"/>
                <w:color w:val="auto"/>
              </w:rPr>
              <w:t>大型溞急性活动抑制，大型溞</w:t>
            </w:r>
            <w:r>
              <w:rPr>
                <w:rFonts w:hint="eastAsia"/>
                <w:color w:val="auto"/>
              </w:rPr>
              <w:t>(48h)EC50&gt;100mga.s/L.</w:t>
            </w:r>
          </w:p>
          <w:p>
            <w:pPr>
              <w:rPr>
                <w:color w:val="auto"/>
              </w:rPr>
            </w:pPr>
            <w:r>
              <w:rPr>
                <w:rFonts w:hint="eastAsia" w:ascii="宋体" w:hAnsi="宋体"/>
                <w:color w:val="auto"/>
              </w:rPr>
              <w:t>绿藻生长抑制</w:t>
            </w:r>
            <w:r>
              <w:rPr>
                <w:rFonts w:hint="eastAsia"/>
                <w:color w:val="auto"/>
              </w:rPr>
              <w:t>:</w:t>
            </w:r>
            <w:r>
              <w:rPr>
                <w:rFonts w:hint="eastAsia" w:ascii="宋体" w:hAnsi="宋体"/>
                <w:color w:val="auto"/>
              </w:rPr>
              <w:t>羊角月牙藻</w:t>
            </w:r>
            <w:r>
              <w:rPr>
                <w:rFonts w:hint="eastAsia"/>
                <w:color w:val="auto"/>
              </w:rPr>
              <w:t>E7C50(96h</w:t>
            </w:r>
            <w:r>
              <w:rPr>
                <w:rFonts w:hint="eastAsia" w:ascii="宋体" w:hAnsi="宋体"/>
                <w:color w:val="auto"/>
              </w:rPr>
              <w:t>，静态</w:t>
            </w:r>
            <w:r>
              <w:rPr>
                <w:rFonts w:hint="eastAsia"/>
                <w:color w:val="auto"/>
              </w:rPr>
              <w:t>)&gt;100mg a.s./L.</w:t>
            </w:r>
            <w:r>
              <w:rPr>
                <w:rFonts w:hint="eastAsia" w:ascii="宋体" w:hAnsi="宋体"/>
                <w:color w:val="auto"/>
              </w:rPr>
              <w:t>，</w:t>
            </w:r>
            <w:r>
              <w:rPr>
                <w:rFonts w:hint="eastAsia"/>
                <w:color w:val="auto"/>
              </w:rPr>
              <w:t>E,C.(96h)100mg a.s/L.</w:t>
            </w:r>
          </w:p>
          <w:p>
            <w:pPr>
              <w:rPr>
                <w:color w:val="auto"/>
              </w:rPr>
            </w:pPr>
            <w:r>
              <w:rPr>
                <w:rFonts w:hint="eastAsia" w:ascii="宋体" w:hAnsi="宋体"/>
                <w:color w:val="auto"/>
              </w:rPr>
              <w:t>蜜蜂急性经口毒性</w:t>
            </w:r>
            <w:r>
              <w:rPr>
                <w:rFonts w:hint="eastAsia"/>
                <w:color w:val="auto"/>
              </w:rPr>
              <w:t>:LD50&gt;87ug/</w:t>
            </w:r>
            <w:r>
              <w:rPr>
                <w:rFonts w:hint="eastAsia" w:ascii="宋体" w:hAnsi="宋体"/>
                <w:color w:val="auto"/>
              </w:rPr>
              <w:t>蜂，</w:t>
            </w:r>
          </w:p>
          <w:p>
            <w:pPr>
              <w:rPr>
                <w:color w:val="auto"/>
              </w:rPr>
            </w:pPr>
            <w:r>
              <w:rPr>
                <w:rFonts w:hint="eastAsia" w:ascii="宋体" w:hAnsi="宋体"/>
                <w:color w:val="auto"/>
              </w:rPr>
              <w:t>蜜蜂急性接触毒性</w:t>
            </w:r>
            <w:r>
              <w:rPr>
                <w:rFonts w:hint="eastAsia"/>
                <w:color w:val="auto"/>
              </w:rPr>
              <w:t>:LD50&gt;100ug/</w:t>
            </w:r>
            <w:r>
              <w:rPr>
                <w:rFonts w:hint="eastAsia" w:ascii="宋体" w:hAnsi="宋体"/>
                <w:color w:val="auto"/>
              </w:rPr>
              <w:t>蜂。</w:t>
            </w:r>
          </w:p>
          <w:p>
            <w:pPr>
              <w:rPr>
                <w:color w:val="auto"/>
              </w:rPr>
            </w:pPr>
            <w:r>
              <w:rPr>
                <w:rFonts w:hint="eastAsia" w:ascii="宋体" w:hAnsi="宋体"/>
                <w:color w:val="auto"/>
              </w:rPr>
              <w:t>寄生性天敌蚜茧蜂</w:t>
            </w:r>
            <w:r>
              <w:rPr>
                <w:rFonts w:hint="eastAsia"/>
                <w:color w:val="auto"/>
              </w:rPr>
              <w:t>:LR50&gt;40ga.s/ha.</w:t>
            </w:r>
          </w:p>
          <w:p>
            <w:pPr>
              <w:rPr>
                <w:color w:val="auto"/>
              </w:rPr>
            </w:pPr>
            <w:r>
              <w:rPr>
                <w:rFonts w:hint="eastAsia" w:ascii="宋体" w:hAnsi="宋体"/>
                <w:color w:val="auto"/>
              </w:rPr>
              <w:t>捕食性天敌梨盲走媾</w:t>
            </w:r>
            <w:r>
              <w:rPr>
                <w:rFonts w:hint="eastAsia"/>
                <w:color w:val="auto"/>
              </w:rPr>
              <w:t>:LR50&gt;40g a.s/ha</w:t>
            </w:r>
            <w:r>
              <w:rPr>
                <w:rFonts w:hint="eastAsia" w:ascii="宋体" w:hAnsi="宋体"/>
                <w:color w:val="auto"/>
              </w:rPr>
              <w:t>。</w:t>
            </w:r>
          </w:p>
          <w:p>
            <w:pPr>
              <w:rPr>
                <w:color w:val="auto"/>
              </w:rPr>
            </w:pPr>
            <w:r>
              <w:rPr>
                <w:rFonts w:hint="eastAsia" w:ascii="宋体" w:hAnsi="宋体"/>
                <w:color w:val="auto"/>
              </w:rPr>
              <w:t>蚯蚓急性毒性</w:t>
            </w:r>
            <w:r>
              <w:rPr>
                <w:rFonts w:hint="eastAsia"/>
                <w:color w:val="auto"/>
              </w:rPr>
              <w:t>:</w:t>
            </w:r>
            <w:r>
              <w:rPr>
                <w:rFonts w:hint="eastAsia" w:ascii="宋体" w:hAnsi="宋体"/>
                <w:color w:val="auto"/>
              </w:rPr>
              <w:t xml:space="preserve">赤子爱胜蚯蚓 </w:t>
            </w:r>
            <w:r>
              <w:rPr>
                <w:rFonts w:hint="eastAsia"/>
                <w:color w:val="auto"/>
              </w:rPr>
              <w:t>LC50(14d)&gt;1250 mg a.s/kg d.w.soil.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生物降解性：土壤降解试验</w:t>
            </w:r>
            <w:r>
              <w:rPr>
                <w:rFonts w:hint="eastAsia"/>
                <w:color w:val="auto"/>
              </w:rPr>
              <w:t>:</w:t>
            </w:r>
            <w:r>
              <w:rPr>
                <w:rFonts w:hint="eastAsia" w:ascii="宋体" w:hAnsi="宋体"/>
                <w:color w:val="auto"/>
              </w:rPr>
              <w:t>实验室</w:t>
            </w:r>
            <w:r>
              <w:rPr>
                <w:rFonts w:hint="eastAsia"/>
                <w:color w:val="auto"/>
              </w:rPr>
              <w:t>:DT50</w:t>
            </w:r>
            <w:r>
              <w:rPr>
                <w:rFonts w:hint="eastAsia" w:ascii="宋体" w:hAnsi="宋体"/>
                <w:color w:val="auto"/>
              </w:rPr>
              <w:t>为</w:t>
            </w:r>
            <w:r>
              <w:rPr>
                <w:rFonts w:hint="eastAsia"/>
                <w:color w:val="auto"/>
              </w:rPr>
              <w:t>30</w:t>
            </w:r>
            <w:r>
              <w:rPr>
                <w:rFonts w:hint="eastAsia" w:ascii="宋体" w:hAnsi="宋体"/>
                <w:color w:val="auto"/>
              </w:rPr>
              <w:t>天。土壤吸附</w:t>
            </w:r>
            <w:r>
              <w:rPr>
                <w:rFonts w:hint="eastAsia"/>
                <w:color w:val="auto"/>
              </w:rPr>
              <w:t xml:space="preserve">:Koc </w:t>
            </w:r>
            <w:r>
              <w:rPr>
                <w:rFonts w:hint="eastAsia" w:ascii="宋体" w:hAnsi="宋体"/>
                <w:color w:val="auto"/>
              </w:rPr>
              <w:t xml:space="preserve">为 </w:t>
            </w:r>
            <w:r>
              <w:rPr>
                <w:rFonts w:hint="eastAsia"/>
                <w:color w:val="auto"/>
              </w:rPr>
              <w:t>0.5747mL/g(Kom0.0.33335mL/g)</w:t>
            </w:r>
            <w:r>
              <w:rPr>
                <w:rFonts w:hint="eastAsia" w:ascii="宋体"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非生物降解性：水解试验</w:t>
            </w:r>
            <w:r>
              <w:rPr>
                <w:rFonts w:hint="eastAsia"/>
                <w:color w:val="auto"/>
              </w:rPr>
              <w:t>:pH4</w:t>
            </w:r>
            <w:r>
              <w:rPr>
                <w:rFonts w:hint="eastAsia" w:ascii="宋体" w:hAnsi="宋体"/>
                <w:color w:val="auto"/>
              </w:rPr>
              <w:t>，</w:t>
            </w:r>
            <w:r>
              <w:rPr>
                <w:rFonts w:hint="eastAsia"/>
                <w:color w:val="auto"/>
              </w:rPr>
              <w:t>50℃:</w:t>
            </w:r>
            <w:r>
              <w:rPr>
                <w:rFonts w:hint="eastAsia" w:ascii="宋体" w:hAnsi="宋体"/>
                <w:color w:val="auto"/>
              </w:rPr>
              <w:t>稳定</w:t>
            </w:r>
            <w:r>
              <w:rPr>
                <w:rFonts w:hint="eastAsia"/>
                <w:color w:val="auto"/>
              </w:rPr>
              <w:t>;</w:t>
            </w:r>
            <w:r>
              <w:rPr>
                <w:rFonts w:hint="eastAsia" w:ascii="宋体" w:hAnsi="宋体"/>
                <w:color w:val="auto"/>
              </w:rPr>
              <w:t xml:space="preserve">外推 </w:t>
            </w:r>
            <w:r>
              <w:rPr>
                <w:rFonts w:hint="eastAsia"/>
                <w:color w:val="auto"/>
              </w:rPr>
              <w:t>DT50&gt;1</w:t>
            </w:r>
            <w:r>
              <w:rPr>
                <w:rFonts w:hint="eastAsia" w:ascii="宋体" w:hAnsi="宋体"/>
                <w:color w:val="auto"/>
              </w:rPr>
              <w:t>年，</w:t>
            </w:r>
            <w:r>
              <w:rPr>
                <w:rFonts w:hint="eastAsia"/>
                <w:color w:val="auto"/>
              </w:rPr>
              <w:t>20℃</w:t>
            </w:r>
            <w:r>
              <w:rPr>
                <w:rFonts w:hint="eastAsia" w:ascii="宋体" w:hAnsi="宋体"/>
                <w:color w:val="auto"/>
              </w:rPr>
              <w:t>。</w:t>
            </w:r>
            <w:r>
              <w:rPr>
                <w:rFonts w:hint="eastAsia"/>
                <w:color w:val="auto"/>
              </w:rPr>
              <w:t>pH7</w:t>
            </w:r>
            <w:r>
              <w:rPr>
                <w:rFonts w:hint="eastAsia" w:ascii="宋体" w:hAnsi="宋体"/>
                <w:color w:val="auto"/>
              </w:rPr>
              <w:t>，</w:t>
            </w:r>
            <w:r>
              <w:rPr>
                <w:rFonts w:hint="eastAsia"/>
                <w:color w:val="auto"/>
              </w:rPr>
              <w:t>50℃:</w:t>
            </w:r>
            <w:r>
              <w:rPr>
                <w:rFonts w:hint="eastAsia" w:ascii="宋体" w:hAnsi="宋体"/>
                <w:color w:val="auto"/>
              </w:rPr>
              <w:t>稳定</w:t>
            </w:r>
            <w:r>
              <w:rPr>
                <w:rFonts w:hint="eastAsia"/>
                <w:color w:val="auto"/>
              </w:rPr>
              <w:t>;</w:t>
            </w:r>
            <w:r>
              <w:rPr>
                <w:rFonts w:hint="eastAsia" w:ascii="宋体" w:hAnsi="宋体"/>
                <w:color w:val="auto"/>
              </w:rPr>
              <w:t xml:space="preserve">外推 </w:t>
            </w:r>
            <w:r>
              <w:rPr>
                <w:rFonts w:hint="eastAsia"/>
                <w:color w:val="auto"/>
              </w:rPr>
              <w:t>DT50&gt;1</w:t>
            </w:r>
            <w:r>
              <w:rPr>
                <w:rFonts w:hint="eastAsia" w:ascii="宋体" w:hAnsi="宋体"/>
                <w:color w:val="auto"/>
              </w:rPr>
              <w:t>年，</w:t>
            </w:r>
            <w:r>
              <w:rPr>
                <w:rFonts w:hint="eastAsia"/>
                <w:color w:val="auto"/>
              </w:rPr>
              <w:t>20℃</w:t>
            </w:r>
            <w:r>
              <w:rPr>
                <w:rFonts w:hint="eastAsia" w:ascii="宋体" w:hAnsi="宋体"/>
                <w:color w:val="auto"/>
              </w:rPr>
              <w:t>，</w:t>
            </w:r>
            <w:r>
              <w:rPr>
                <w:rFonts w:hint="eastAsia"/>
                <w:color w:val="auto"/>
              </w:rPr>
              <w:t>pH9</w:t>
            </w:r>
            <w:r>
              <w:rPr>
                <w:rFonts w:hint="eastAsia" w:ascii="宋体" w:hAnsi="宋体"/>
                <w:color w:val="auto"/>
              </w:rPr>
              <w:t>，</w:t>
            </w:r>
            <w:r>
              <w:rPr>
                <w:rFonts w:hint="eastAsia"/>
                <w:color w:val="auto"/>
              </w:rPr>
              <w:t>50℃:</w:t>
            </w:r>
            <w:r>
              <w:rPr>
                <w:rFonts w:hint="eastAsia" w:ascii="宋体" w:hAnsi="宋体"/>
                <w:color w:val="auto"/>
              </w:rPr>
              <w:t>稳定</w:t>
            </w:r>
            <w:r>
              <w:rPr>
                <w:rFonts w:hint="eastAsia"/>
                <w:color w:val="auto"/>
              </w:rPr>
              <w:t>;</w:t>
            </w:r>
            <w:r>
              <w:rPr>
                <w:rFonts w:hint="eastAsia" w:ascii="宋体" w:hAnsi="宋体"/>
                <w:color w:val="auto"/>
              </w:rPr>
              <w:t>外推</w:t>
            </w:r>
            <w:r>
              <w:rPr>
                <w:rFonts w:hint="eastAsia"/>
                <w:color w:val="auto"/>
              </w:rPr>
              <w:t>DT50&gt;1</w:t>
            </w:r>
            <w:r>
              <w:rPr>
                <w:rFonts w:hint="eastAsia" w:ascii="宋体" w:hAnsi="宋体"/>
                <w:color w:val="auto"/>
              </w:rPr>
              <w:t>年，</w:t>
            </w:r>
            <w:r>
              <w:rPr>
                <w:rFonts w:hint="eastAsia"/>
                <w:color w:val="auto"/>
              </w:rPr>
              <w:t>20℃</w:t>
            </w:r>
            <w:r>
              <w:rPr>
                <w:rFonts w:hint="eastAsia" w:ascii="宋体" w:hAnsi="宋体"/>
                <w:color w:val="auto"/>
              </w:rPr>
              <w:t>，水中光解</w:t>
            </w:r>
            <w:r>
              <w:rPr>
                <w:rFonts w:hint="eastAsia"/>
                <w:color w:val="auto"/>
              </w:rPr>
              <w:t>:pH5~9</w:t>
            </w:r>
            <w:r>
              <w:rPr>
                <w:rFonts w:hint="eastAsia" w:ascii="宋体" w:hAnsi="宋体"/>
                <w:color w:val="auto"/>
              </w:rPr>
              <w:t>，</w:t>
            </w:r>
            <w:r>
              <w:rPr>
                <w:rFonts w:hint="eastAsia"/>
                <w:color w:val="auto"/>
              </w:rPr>
              <w:t>DT50</w:t>
            </w:r>
            <w:r>
              <w:rPr>
                <w:rFonts w:hint="eastAsia" w:ascii="宋体" w:hAnsi="宋体"/>
                <w:color w:val="auto"/>
              </w:rPr>
              <w:t>为</w:t>
            </w:r>
            <w:r>
              <w:rPr>
                <w:rFonts w:hint="eastAsia"/>
                <w:color w:val="auto"/>
              </w:rPr>
              <w:t>101-163</w:t>
            </w:r>
            <w:r>
              <w:rPr>
                <w:rFonts w:hint="eastAsia" w:ascii="宋体" w:hAnsi="宋体"/>
                <w:color w:val="auto"/>
              </w:rPr>
              <w:t>天。水</w:t>
            </w:r>
            <w:r>
              <w:rPr>
                <w:rFonts w:hint="eastAsia"/>
                <w:color w:val="auto"/>
              </w:rPr>
              <w:t>-</w:t>
            </w:r>
            <w:r>
              <w:rPr>
                <w:rFonts w:hint="eastAsia" w:ascii="宋体" w:hAnsi="宋体"/>
                <w:color w:val="auto"/>
              </w:rPr>
              <w:t>沉积物降解</w:t>
            </w:r>
            <w:r>
              <w:rPr>
                <w:rFonts w:hint="eastAsia"/>
                <w:color w:val="auto"/>
              </w:rPr>
              <w:t>:</w:t>
            </w:r>
            <w:r>
              <w:rPr>
                <w:rFonts w:hint="eastAsia" w:ascii="宋体" w:hAnsi="宋体"/>
                <w:color w:val="auto"/>
              </w:rPr>
              <w:t>水相</w:t>
            </w:r>
            <w:r>
              <w:rPr>
                <w:rFonts w:hint="eastAsia"/>
                <w:color w:val="auto"/>
              </w:rPr>
              <w:t>:DT;</w:t>
            </w:r>
            <w:r>
              <w:rPr>
                <w:rFonts w:hint="eastAsia" w:ascii="宋体" w:hAnsi="宋体"/>
                <w:color w:val="auto"/>
              </w:rPr>
              <w:t>为</w:t>
            </w:r>
            <w:r>
              <w:rPr>
                <w:rFonts w:hint="eastAsia"/>
                <w:color w:val="auto"/>
              </w:rPr>
              <w:t xml:space="preserve">15 </w:t>
            </w:r>
            <w:r>
              <w:rPr>
                <w:rFonts w:hint="eastAsia" w:ascii="宋体" w:hAnsi="宋体"/>
                <w:color w:val="auto"/>
              </w:rPr>
              <w:t>天，沉积物</w:t>
            </w:r>
            <w:r>
              <w:rPr>
                <w:rFonts w:hint="eastAsia"/>
                <w:color w:val="auto"/>
              </w:rPr>
              <w:t>:DT50</w:t>
            </w:r>
            <w:r>
              <w:rPr>
                <w:rFonts w:hint="eastAsia" w:ascii="宋体" w:hAnsi="宋体"/>
                <w:color w:val="auto"/>
              </w:rPr>
              <w:t>为</w:t>
            </w:r>
            <w:r>
              <w:rPr>
                <w:rFonts w:hint="eastAsia"/>
                <w:color w:val="auto"/>
              </w:rPr>
              <w:t xml:space="preserve">200 </w:t>
            </w:r>
            <w:r>
              <w:rPr>
                <w:rFonts w:hint="eastAsia" w:ascii="宋体" w:hAnsi="宋体"/>
                <w:color w:val="auto"/>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生物富集或生物积累性：</w:t>
            </w:r>
            <w:r>
              <w:rPr>
                <w:rFonts w:hint="eastAsia"/>
                <w:color w:val="auto"/>
              </w:rPr>
              <w:t xml:space="preserve">:logPow </w:t>
            </w:r>
            <w:r>
              <w:rPr>
                <w:rFonts w:hint="eastAsia" w:ascii="宋体" w:hAnsi="宋体"/>
                <w:color w:val="auto"/>
              </w:rPr>
              <w:t xml:space="preserve">为 </w:t>
            </w:r>
            <w:r>
              <w:rPr>
                <w:rFonts w:hint="eastAsia"/>
                <w:color w:val="auto"/>
              </w:rP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其它有害作用：无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第十三部分：废弃处置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废弃物性质：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废弃处置方法：处置前参考国家和地方有关法规，建议用锯木、干土或粒状吸附剂吸收后用焚烧炉焚烧法处置。农药废包装物严禁作为他用，不能乱丢放，要妥善处理</w:t>
            </w:r>
            <w:r>
              <w:rPr>
                <w:rFonts w:hint="eastAsia"/>
                <w:color w:val="auto"/>
              </w:rPr>
              <w:t>:</w:t>
            </w:r>
            <w:r>
              <w:rPr>
                <w:rFonts w:hint="eastAsia" w:ascii="宋体" w:hAnsi="宋体"/>
                <w:color w:val="auto"/>
              </w:rPr>
              <w:t>完好无损的可统一回收。大量废弃农药的处理方法、处理场地应征得劳动、环保部门同意，并报上级主管部门备案。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废弃注意事项：处理时操作者注意自身安全防护，必须戴用防护器具等。掩埋时应远离住宅和水源的深坑中</w:t>
            </w:r>
            <w:r>
              <w:rPr>
                <w:rFonts w:hint="eastAsia"/>
                <w:color w:val="auto"/>
              </w:rPr>
              <w:t>;</w:t>
            </w:r>
            <w:r>
              <w:rPr>
                <w:rFonts w:hint="eastAsia" w:ascii="宋体" w:hAnsi="宋体"/>
                <w:color w:val="auto"/>
              </w:rPr>
              <w:t>焚烧时应在专门的炉中进行。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第十四部分：运输信息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危险货物编号：</w:t>
            </w:r>
            <w:r>
              <w:rPr>
                <w:rFonts w:hint="eastAsia"/>
                <w:color w:val="auto"/>
              </w:rPr>
              <w:t>6.1</w:t>
            </w:r>
            <w:r>
              <w:rPr>
                <w:rFonts w:hint="eastAsia" w:ascii="宋体" w:hAnsi="宋体"/>
                <w:color w:val="auto"/>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color w:val="auto"/>
              </w:rPr>
              <w:t>UN</w:t>
            </w:r>
            <w:r>
              <w:rPr>
                <w:rFonts w:hint="eastAsia" w:ascii="宋体" w:hAnsi="宋体"/>
                <w:color w:val="auto"/>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包装类别：</w:t>
            </w:r>
            <w:r>
              <w:rPr>
                <w:rFonts w:hint="eastAsia"/>
                <w:color w:val="auto"/>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包装方法：赤霉酸</w:t>
            </w:r>
            <w:r>
              <w:rPr>
                <w:rFonts w:hint="eastAsia"/>
                <w:color w:val="auto"/>
              </w:rPr>
              <w:t>A4</w:t>
            </w:r>
            <w:r>
              <w:rPr>
                <w:rFonts w:hint="eastAsia" w:ascii="宋体" w:hAnsi="宋体"/>
                <w:color w:val="auto"/>
              </w:rPr>
              <w:t>原药采用内衬塑料袋的纸桶包装，每桶净含量</w:t>
            </w:r>
            <w:r>
              <w:rPr>
                <w:rFonts w:hint="eastAsia"/>
                <w:color w:val="auto"/>
              </w:rPr>
              <w:t>25kg</w:t>
            </w:r>
            <w:r>
              <w:rPr>
                <w:rFonts w:hint="eastAsia" w:ascii="宋体" w:hAnsi="宋体"/>
                <w:color w:val="auto"/>
              </w:rPr>
              <w:t>。计量误差应符合国家质量监督检验检疫总局</w:t>
            </w:r>
            <w:r>
              <w:rPr>
                <w:rFonts w:hint="eastAsia"/>
                <w:color w:val="auto"/>
              </w:rPr>
              <w:t>(</w:t>
            </w:r>
            <w:r>
              <w:rPr>
                <w:rFonts w:hint="eastAsia" w:ascii="宋体" w:hAnsi="宋体"/>
                <w:color w:val="auto"/>
              </w:rPr>
              <w:t>第</w:t>
            </w:r>
            <w:r>
              <w:rPr>
                <w:rFonts w:hint="eastAsia"/>
                <w:color w:val="auto"/>
              </w:rPr>
              <w:t>75</w:t>
            </w:r>
            <w:r>
              <w:rPr>
                <w:rFonts w:hint="eastAsia" w:ascii="宋体" w:hAnsi="宋体"/>
                <w:color w:val="auto"/>
              </w:rPr>
              <w:t>号令</w:t>
            </w:r>
            <w:r>
              <w:rPr>
                <w:rFonts w:hint="eastAsia"/>
                <w:color w:val="auto"/>
              </w:rPr>
              <w:t>)</w:t>
            </w:r>
            <w:r>
              <w:rPr>
                <w:rFonts w:hint="eastAsia" w:ascii="宋体" w:hAnsi="宋体"/>
                <w:color w:val="auto"/>
              </w:rPr>
              <w:t>。根据用户要求或供需双方达成的协议，可以采用其它形式的包装，但应符合国家有关法律法规及</w:t>
            </w:r>
            <w:r>
              <w:rPr>
                <w:rFonts w:hint="eastAsia"/>
                <w:color w:val="auto"/>
              </w:rPr>
              <w:t>GB 190-2009</w:t>
            </w:r>
            <w:r>
              <w:rPr>
                <w:rFonts w:hint="eastAsia" w:ascii="宋体" w:hAnsi="宋体"/>
                <w:color w:val="auto"/>
              </w:rPr>
              <w:t>、</w:t>
            </w:r>
            <w:r>
              <w:rPr>
                <w:rFonts w:hint="eastAsia"/>
                <w:color w:val="auto"/>
              </w:rPr>
              <w:t>GB/T 191-2008</w:t>
            </w:r>
            <w:r>
              <w:rPr>
                <w:rFonts w:hint="eastAsia" w:ascii="宋体" w:hAnsi="宋体"/>
                <w:color w:val="auto"/>
              </w:rPr>
              <w:t>、</w:t>
            </w:r>
            <w:r>
              <w:rPr>
                <w:rFonts w:hint="eastAsia"/>
                <w:color w:val="auto"/>
              </w:rPr>
              <w:t>GB 3796-2006</w:t>
            </w:r>
            <w:r>
              <w:rPr>
                <w:rFonts w:hint="eastAsia" w:ascii="宋体" w:hAnsi="宋体"/>
                <w:color w:val="auto"/>
              </w:rPr>
              <w:t>中的有关规定。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运输注意事项：本品应贮存在干燥、阴凉、通风、防雨处，严防潮湿和日晒，远离火源或热源，装卸应使用装卸工具，避免发生磕磋，造成泄漏事故。请勿与其它农药、肥料、食品、饲料、日用品等同贮同运。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第十五部分：法规信息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6" w:hRule="atLeast"/>
        </w:trPr>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法规信息</w:t>
            </w:r>
            <w:r>
              <w:rPr>
                <w:rFonts w:hint="eastAsia"/>
                <w:color w:val="auto"/>
              </w:rPr>
              <w:t>:</w:t>
            </w:r>
            <w:r>
              <w:rPr>
                <w:rFonts w:hint="eastAsia" w:ascii="宋体" w:hAnsi="宋体"/>
                <w:color w:val="auto"/>
              </w:rPr>
              <w:t>下列法律法规和标准，对化学品的安全使用、储存、运输、装卸、分类和标志等方面均作了相应的规定：</w:t>
            </w:r>
          </w:p>
          <w:p>
            <w:pPr>
              <w:rPr>
                <w:color w:val="auto"/>
              </w:rPr>
            </w:pPr>
            <w:r>
              <w:rPr>
                <w:rFonts w:hint="eastAsia" w:ascii="宋体" w:hAnsi="宋体"/>
                <w:color w:val="auto"/>
              </w:rPr>
              <w:t>中华人民共和国安全生产法；</w:t>
            </w:r>
          </w:p>
          <w:p>
            <w:pPr>
              <w:rPr>
                <w:color w:val="auto"/>
              </w:rPr>
            </w:pPr>
            <w:r>
              <w:rPr>
                <w:rFonts w:hint="eastAsia" w:ascii="宋体" w:hAnsi="宋体"/>
                <w:color w:val="auto"/>
              </w:rPr>
              <w:t>中华人民共和国职业病防治法；</w:t>
            </w:r>
          </w:p>
          <w:p>
            <w:pPr>
              <w:rPr>
                <w:color w:val="auto"/>
              </w:rPr>
            </w:pPr>
            <w:r>
              <w:rPr>
                <w:rFonts w:hint="eastAsia" w:ascii="宋体" w:hAnsi="宋体"/>
                <w:color w:val="auto"/>
              </w:rPr>
              <w:t>中华人民共和国环境保护法；</w:t>
            </w:r>
          </w:p>
          <w:p>
            <w:pPr>
              <w:rPr>
                <w:color w:val="auto"/>
              </w:rPr>
            </w:pPr>
            <w:r>
              <w:rPr>
                <w:rFonts w:hint="eastAsia" w:ascii="宋体" w:hAnsi="宋体"/>
                <w:color w:val="auto"/>
              </w:rPr>
              <w:t>危险化学品安全管理条例；</w:t>
            </w:r>
          </w:p>
          <w:p>
            <w:pPr>
              <w:rPr>
                <w:color w:val="auto"/>
              </w:rPr>
            </w:pPr>
            <w:r>
              <w:rPr>
                <w:rFonts w:hint="eastAsia" w:ascii="宋体" w:hAnsi="宋体"/>
                <w:color w:val="auto"/>
              </w:rPr>
              <w:t>安全生产许可证条例；</w:t>
            </w:r>
          </w:p>
          <w:p>
            <w:pPr>
              <w:rPr>
                <w:color w:val="auto"/>
              </w:rPr>
            </w:pPr>
            <w:r>
              <w:rPr>
                <w:rFonts w:hint="eastAsia" w:ascii="宋体" w:hAnsi="宋体"/>
                <w:color w:val="auto"/>
              </w:rPr>
              <w:t>化学品分类和危险性公示通则</w:t>
            </w:r>
            <w:r>
              <w:rPr>
                <w:rFonts w:hint="eastAsia"/>
                <w:color w:val="auto"/>
              </w:rPr>
              <w:t>(GB13690-2009)</w:t>
            </w:r>
            <w:r>
              <w:rPr>
                <w:rFonts w:hint="eastAsia" w:ascii="宋体" w:hAnsi="宋体"/>
                <w:color w:val="auto"/>
              </w:rPr>
              <w:t>；</w:t>
            </w:r>
          </w:p>
          <w:p>
            <w:pPr>
              <w:rPr>
                <w:color w:val="auto"/>
              </w:rPr>
            </w:pPr>
            <w:r>
              <w:rPr>
                <w:rFonts w:hint="eastAsia" w:ascii="宋体" w:hAnsi="宋体"/>
                <w:color w:val="auto"/>
              </w:rPr>
              <w:t>危险化学品目录（</w:t>
            </w:r>
            <w:r>
              <w:rPr>
                <w:rFonts w:hint="eastAsia"/>
                <w:color w:val="auto"/>
              </w:rPr>
              <w:t>2015</w:t>
            </w:r>
            <w:r>
              <w:rPr>
                <w:rFonts w:hint="eastAsia" w:ascii="宋体" w:hAnsi="宋体"/>
                <w:color w:val="auto"/>
              </w:rPr>
              <w:t>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jc w:val="center"/>
              <w:rPr>
                <w:color w:val="auto"/>
              </w:rPr>
            </w:pPr>
            <w:r>
              <w:rPr>
                <w:rFonts w:hint="eastAsia" w:ascii="宋体" w:hAnsi="宋体"/>
                <w:b/>
                <w:bCs/>
                <w:color w:val="auto"/>
              </w:rPr>
              <w:t>第十六部分：其他信息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参考文献：王以燕，赵永辉，刘绍仁，傅桂平，农药产品安全数据单的编写说明，中华卫生杀虫药械，</w:t>
            </w:r>
            <w:r>
              <w:rPr>
                <w:rFonts w:hint="eastAsia"/>
                <w:color w:val="auto"/>
              </w:rPr>
              <w:t>200713(3): 157-161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填表部门：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数据审核单位：</w:t>
            </w:r>
            <w:r>
              <w:rPr>
                <w:rFonts w:hint="eastAsia"/>
                <w:color w:val="auto"/>
              </w:rPr>
              <w:t>msds</w:t>
            </w:r>
            <w:r>
              <w:rPr>
                <w:rFonts w:hint="eastAsia" w:ascii="宋体" w:hAnsi="宋体"/>
                <w:color w:val="auto"/>
              </w:rPr>
              <w:t>查询网整理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single" w:color="auto" w:sz="4" w:space="0"/>
              <w:left w:val="single" w:color="auto" w:sz="4" w:space="0"/>
              <w:bottom w:val="single" w:color="auto" w:sz="4" w:space="0"/>
              <w:right w:val="single" w:color="auto" w:sz="4" w:space="0"/>
            </w:tcBorders>
          </w:tcPr>
          <w:p>
            <w:pPr>
              <w:rPr>
                <w:color w:val="auto"/>
              </w:rPr>
            </w:pPr>
            <w:r>
              <w:rPr>
                <w:rFonts w:hint="eastAsia" w:ascii="宋体" w:hAnsi="宋体"/>
                <w:color w:val="auto"/>
              </w:rPr>
              <w:t>其他信息：是镰刀菌代谢作用产生的赤霉素</w:t>
            </w:r>
            <w:r>
              <w:rPr>
                <w:rFonts w:hint="eastAsia"/>
                <w:color w:val="auto"/>
              </w:rPr>
              <w:t>A1</w:t>
            </w:r>
            <w:r>
              <w:rPr>
                <w:rFonts w:hint="eastAsia" w:ascii="宋体" w:hAnsi="宋体"/>
                <w:color w:val="auto"/>
              </w:rPr>
              <w:t>、</w:t>
            </w:r>
            <w:r>
              <w:rPr>
                <w:rFonts w:hint="eastAsia"/>
                <w:color w:val="auto"/>
              </w:rPr>
              <w:t>A2</w:t>
            </w:r>
            <w:r>
              <w:rPr>
                <w:rFonts w:hint="eastAsia" w:ascii="宋体" w:hAnsi="宋体"/>
                <w:color w:val="auto"/>
              </w:rPr>
              <w:t>、</w:t>
            </w:r>
            <w:r>
              <w:rPr>
                <w:rFonts w:hint="eastAsia"/>
                <w:color w:val="auto"/>
              </w:rPr>
              <w:t>A3</w:t>
            </w:r>
            <w:r>
              <w:rPr>
                <w:rFonts w:hint="eastAsia" w:ascii="宋体" w:hAnsi="宋体"/>
                <w:color w:val="auto"/>
              </w:rPr>
              <w:t>、</w:t>
            </w:r>
            <w:r>
              <w:rPr>
                <w:rFonts w:hint="eastAsia"/>
                <w:color w:val="auto"/>
              </w:rPr>
              <w:t>A4</w:t>
            </w:r>
            <w:r>
              <w:rPr>
                <w:rFonts w:hint="eastAsia" w:ascii="宋体" w:hAnsi="宋体"/>
                <w:color w:val="auto"/>
              </w:rPr>
              <w:t>等的混合物，活性最强的为赤霉酸。可加工成乳剂、粉剂等。在 碱性溶液中不稳定，弱酸性基础酸性溶液中较稳定。 棉花等作物施后，不孕籽增加，故留种田不宜施药。</w:t>
            </w:r>
          </w:p>
        </w:tc>
      </w:tr>
    </w:tbl>
    <w:p>
      <w:pPr>
        <w:pStyle w:val="49"/>
        <w:ind w:firstLine="560" w:firstLineChars="200"/>
        <w:rPr>
          <w:color w:val="auto"/>
          <w:sz w:val="28"/>
          <w:szCs w:val="28"/>
        </w:rPr>
      </w:pPr>
      <w:r>
        <w:rPr>
          <w:color w:val="auto"/>
          <w:sz w:val="28"/>
          <w:szCs w:val="28"/>
        </w:rPr>
        <w:t>36</w:t>
      </w:r>
      <w:r>
        <w:rPr>
          <w:rFonts w:hint="eastAsia"/>
          <w:color w:val="auto"/>
          <w:sz w:val="28"/>
          <w:szCs w:val="28"/>
        </w:rPr>
        <w:t>）氯化胆碱</w:t>
      </w:r>
    </w:p>
    <w:p>
      <w:pPr>
        <w:pStyle w:val="49"/>
        <w:ind w:firstLine="560" w:firstLineChars="200"/>
        <w:jc w:val="both"/>
        <w:rPr>
          <w:color w:val="auto"/>
          <w:sz w:val="28"/>
          <w:szCs w:val="28"/>
        </w:rPr>
      </w:pPr>
      <w:r>
        <w:rPr>
          <w:color w:val="auto"/>
          <w:sz w:val="28"/>
          <w:szCs w:val="28"/>
        </w:rPr>
        <w:t>化学品中文名称：氯化胆碱 氯化 2-羟乙基三甲胺 增蛋素 氯化上甲基（2-羟乙基） 铵 氯化-β-羟乙基-N,N,N三甲基铵</w:t>
      </w:r>
      <w:r>
        <w:rPr>
          <w:rFonts w:hint="eastAsia"/>
          <w:color w:val="auto"/>
          <w:sz w:val="28"/>
          <w:szCs w:val="28"/>
        </w:rPr>
        <w:t>，</w:t>
      </w:r>
      <w:r>
        <w:rPr>
          <w:color w:val="auto"/>
          <w:sz w:val="28"/>
          <w:szCs w:val="28"/>
        </w:rPr>
        <w:t>化学品英文名称：choline chloride</w:t>
      </w:r>
      <w:r>
        <w:rPr>
          <w:rFonts w:hint="eastAsia"/>
          <w:color w:val="auto"/>
          <w:sz w:val="28"/>
          <w:szCs w:val="28"/>
        </w:rPr>
        <w:t>。外观为吸湿性晶体，熔点</w:t>
      </w:r>
      <w:r>
        <w:rPr>
          <w:color w:val="auto"/>
          <w:sz w:val="28"/>
          <w:szCs w:val="28"/>
        </w:rPr>
        <w:t>302～305</w:t>
      </w:r>
      <w:r>
        <w:rPr>
          <w:rFonts w:hint="eastAsia"/>
          <w:color w:val="auto"/>
          <w:sz w:val="28"/>
          <w:szCs w:val="28"/>
        </w:rPr>
        <w:t>℃，</w:t>
      </w:r>
      <w:r>
        <w:rPr>
          <w:color w:val="auto"/>
          <w:sz w:val="28"/>
          <w:szCs w:val="28"/>
        </w:rPr>
        <w:t>分子式：C5H14ClNO</w:t>
      </w:r>
      <w:r>
        <w:rPr>
          <w:rFonts w:hint="eastAsia"/>
          <w:color w:val="auto"/>
          <w:sz w:val="28"/>
          <w:szCs w:val="28"/>
        </w:rPr>
        <w:t>，</w:t>
      </w:r>
      <w:r>
        <w:rPr>
          <w:color w:val="auto"/>
          <w:sz w:val="28"/>
          <w:szCs w:val="28"/>
        </w:rPr>
        <w:t>分子量：139.63</w:t>
      </w:r>
      <w:r>
        <w:rPr>
          <w:rFonts w:hint="eastAsia"/>
          <w:color w:val="auto"/>
          <w:sz w:val="28"/>
          <w:szCs w:val="28"/>
        </w:rPr>
        <w:t>。主要</w:t>
      </w:r>
      <w:r>
        <w:rPr>
          <w:color w:val="auto"/>
          <w:sz w:val="28"/>
          <w:szCs w:val="28"/>
        </w:rPr>
        <w:t>用于治疗脂肪肝和肝硬化。也作为禽畜饲料添加剂，能刺激卵巢多产蛋、产仔及禽畜、鱼类等增重。</w:t>
      </w:r>
    </w:p>
    <w:p>
      <w:pPr>
        <w:pStyle w:val="49"/>
        <w:ind w:firstLine="560" w:firstLineChars="200"/>
        <w:rPr>
          <w:color w:val="auto"/>
          <w:sz w:val="28"/>
          <w:szCs w:val="28"/>
        </w:rPr>
      </w:pPr>
      <w:r>
        <w:rPr>
          <w:rFonts w:hint="eastAsia"/>
          <w:color w:val="auto"/>
          <w:sz w:val="28"/>
          <w:szCs w:val="28"/>
        </w:rPr>
        <w:t>3</w:t>
      </w:r>
      <w:r>
        <w:rPr>
          <w:color w:val="auto"/>
          <w:sz w:val="28"/>
          <w:szCs w:val="28"/>
        </w:rPr>
        <w:t>7</w:t>
      </w:r>
      <w:r>
        <w:rPr>
          <w:rFonts w:hint="eastAsia"/>
          <w:color w:val="auto"/>
          <w:sz w:val="28"/>
          <w:szCs w:val="28"/>
        </w:rPr>
        <w:t>）胺鲜酯</w:t>
      </w:r>
    </w:p>
    <w:p>
      <w:pPr>
        <w:pStyle w:val="49"/>
        <w:ind w:firstLine="560" w:firstLineChars="200"/>
        <w:jc w:val="both"/>
        <w:rPr>
          <w:color w:val="auto"/>
          <w:sz w:val="28"/>
          <w:szCs w:val="28"/>
        </w:rPr>
      </w:pPr>
      <w:r>
        <w:rPr>
          <w:color w:val="auto"/>
          <w:sz w:val="28"/>
          <w:szCs w:val="28"/>
        </w:rPr>
        <w:t>化学品中文名称：胺鲜酯</w:t>
      </w:r>
      <w:r>
        <w:rPr>
          <w:rFonts w:hint="eastAsia"/>
          <w:color w:val="auto"/>
          <w:sz w:val="28"/>
          <w:szCs w:val="28"/>
        </w:rPr>
        <w:t>，</w:t>
      </w:r>
      <w:r>
        <w:rPr>
          <w:color w:val="auto"/>
          <w:sz w:val="28"/>
          <w:szCs w:val="28"/>
        </w:rPr>
        <w:t>化学品俗名：己酸二乙氨基乙醇酯</w:t>
      </w:r>
      <w:r>
        <w:rPr>
          <w:rFonts w:hint="eastAsia"/>
          <w:color w:val="auto"/>
          <w:sz w:val="28"/>
          <w:szCs w:val="28"/>
        </w:rPr>
        <w:t>；</w:t>
      </w:r>
      <w:r>
        <w:rPr>
          <w:color w:val="auto"/>
        </w:rPr>
        <w:fldChar w:fldCharType="begin"/>
      </w:r>
      <w:r>
        <w:rPr>
          <w:color w:val="auto"/>
        </w:rPr>
        <w:instrText xml:space="preserve"> HYPERLINK "https://baike.so.com/doc/930368-983360.html" </w:instrText>
      </w:r>
      <w:r>
        <w:rPr>
          <w:color w:val="auto"/>
        </w:rPr>
        <w:fldChar w:fldCharType="separate"/>
      </w:r>
      <w:r>
        <w:rPr>
          <w:color w:val="auto"/>
          <w:sz w:val="28"/>
          <w:szCs w:val="28"/>
        </w:rPr>
        <w:t>原药</w:t>
      </w:r>
      <w:r>
        <w:rPr>
          <w:color w:val="auto"/>
          <w:sz w:val="28"/>
          <w:szCs w:val="28"/>
        </w:rPr>
        <w:fldChar w:fldCharType="end"/>
      </w:r>
      <w:r>
        <w:rPr>
          <w:color w:val="auto"/>
          <w:sz w:val="28"/>
          <w:szCs w:val="28"/>
        </w:rPr>
        <w:t>纯品为白色片状晶体，粉碎后为白色粉状物，无可见机械杂质，具有清淡的脂香味和油腻感。CASNo.：10369-83-2</w:t>
      </w:r>
      <w:r>
        <w:rPr>
          <w:rFonts w:hint="eastAsia"/>
          <w:color w:val="auto"/>
          <w:sz w:val="28"/>
          <w:szCs w:val="28"/>
        </w:rPr>
        <w:t>。密度0</w:t>
      </w:r>
      <w:r>
        <w:rPr>
          <w:color w:val="auto"/>
          <w:sz w:val="28"/>
          <w:szCs w:val="28"/>
        </w:rPr>
        <w:t>.907</w:t>
      </w:r>
      <w:r>
        <w:rPr>
          <w:rFonts w:hint="eastAsia"/>
          <w:color w:val="auto"/>
          <w:sz w:val="28"/>
          <w:szCs w:val="28"/>
        </w:rPr>
        <w:t>g</w:t>
      </w:r>
      <w:r>
        <w:rPr>
          <w:color w:val="auto"/>
          <w:sz w:val="28"/>
          <w:szCs w:val="28"/>
        </w:rPr>
        <w:t>/</w:t>
      </w:r>
      <w:r>
        <w:rPr>
          <w:rFonts w:hint="eastAsia"/>
          <w:color w:val="auto"/>
          <w:sz w:val="28"/>
          <w:szCs w:val="28"/>
        </w:rPr>
        <w:t>cm</w:t>
      </w:r>
      <w:r>
        <w:rPr>
          <w:color w:val="auto"/>
          <w:sz w:val="28"/>
          <w:szCs w:val="28"/>
        </w:rPr>
        <w:t>3</w:t>
      </w:r>
      <w:r>
        <w:rPr>
          <w:rFonts w:hint="eastAsia"/>
          <w:color w:val="auto"/>
          <w:sz w:val="28"/>
          <w:szCs w:val="28"/>
        </w:rPr>
        <w:t>，沸点2</w:t>
      </w:r>
      <w:r>
        <w:rPr>
          <w:color w:val="auto"/>
          <w:sz w:val="28"/>
          <w:szCs w:val="28"/>
        </w:rPr>
        <w:t>77</w:t>
      </w:r>
      <w:r>
        <w:rPr>
          <w:rFonts w:hint="eastAsia"/>
          <w:color w:val="auto"/>
          <w:sz w:val="28"/>
          <w:szCs w:val="28"/>
        </w:rPr>
        <w:t>℃，分子式C</w:t>
      </w:r>
      <w:r>
        <w:rPr>
          <w:color w:val="auto"/>
          <w:sz w:val="28"/>
          <w:szCs w:val="28"/>
        </w:rPr>
        <w:t>12</w:t>
      </w:r>
      <w:r>
        <w:rPr>
          <w:rFonts w:hint="eastAsia"/>
          <w:color w:val="auto"/>
          <w:sz w:val="28"/>
          <w:szCs w:val="28"/>
        </w:rPr>
        <w:t>H</w:t>
      </w:r>
      <w:r>
        <w:rPr>
          <w:color w:val="auto"/>
          <w:sz w:val="28"/>
          <w:szCs w:val="28"/>
        </w:rPr>
        <w:t>25</w:t>
      </w:r>
      <w:r>
        <w:rPr>
          <w:rFonts w:hint="eastAsia"/>
          <w:color w:val="auto"/>
          <w:sz w:val="28"/>
          <w:szCs w:val="28"/>
        </w:rPr>
        <w:t>NO</w:t>
      </w:r>
      <w:r>
        <w:rPr>
          <w:color w:val="auto"/>
          <w:sz w:val="28"/>
          <w:szCs w:val="28"/>
        </w:rPr>
        <w:t>2</w:t>
      </w:r>
      <w:r>
        <w:rPr>
          <w:rFonts w:hint="eastAsia"/>
          <w:color w:val="auto"/>
          <w:sz w:val="28"/>
          <w:szCs w:val="28"/>
        </w:rPr>
        <w:t>，分子,</w:t>
      </w:r>
      <w:r>
        <w:rPr>
          <w:color w:val="auto"/>
          <w:sz w:val="28"/>
          <w:szCs w:val="28"/>
        </w:rPr>
        <w:t>215.33</w:t>
      </w:r>
      <w:r>
        <w:rPr>
          <w:rFonts w:hint="eastAsia"/>
          <w:color w:val="auto"/>
          <w:sz w:val="28"/>
          <w:szCs w:val="28"/>
        </w:rPr>
        <w:t>g</w:t>
      </w:r>
      <w:r>
        <w:rPr>
          <w:color w:val="auto"/>
          <w:sz w:val="28"/>
          <w:szCs w:val="28"/>
        </w:rPr>
        <w:t>/</w:t>
      </w:r>
      <w:r>
        <w:rPr>
          <w:rFonts w:hint="eastAsia"/>
          <w:color w:val="auto"/>
          <w:sz w:val="28"/>
          <w:szCs w:val="28"/>
        </w:rPr>
        <w:t>mol。</w:t>
      </w:r>
      <w:r>
        <w:rPr>
          <w:color w:val="auto"/>
          <w:sz w:val="28"/>
          <w:szCs w:val="28"/>
        </w:rPr>
        <w:t>易溶于水，可溶于乙醇、甲醇、丙酮、氯仿等有机溶剂</w:t>
      </w:r>
      <w:r>
        <w:rPr>
          <w:rFonts w:hint="eastAsia"/>
          <w:color w:val="auto"/>
          <w:sz w:val="28"/>
          <w:szCs w:val="28"/>
        </w:rPr>
        <w:t>。</w:t>
      </w:r>
      <w:r>
        <w:rPr>
          <w:color w:val="auto"/>
          <w:sz w:val="28"/>
          <w:szCs w:val="28"/>
        </w:rPr>
        <w:t>是一种新型植物生长调节剂，其具有安全性、无毒性及使用简易等优点，同时可改善作物生长、提高产量及改善作物食用品质。</w:t>
      </w:r>
    </w:p>
    <w:p>
      <w:pPr>
        <w:pStyle w:val="49"/>
        <w:ind w:firstLine="560" w:firstLineChars="200"/>
        <w:rPr>
          <w:color w:val="auto"/>
          <w:sz w:val="28"/>
          <w:szCs w:val="28"/>
        </w:rPr>
      </w:pPr>
      <w:r>
        <w:rPr>
          <w:rFonts w:hint="eastAsia"/>
          <w:color w:val="auto"/>
          <w:sz w:val="28"/>
          <w:szCs w:val="28"/>
        </w:rPr>
        <w:t>3</w:t>
      </w:r>
      <w:r>
        <w:rPr>
          <w:color w:val="auto"/>
          <w:sz w:val="28"/>
          <w:szCs w:val="28"/>
        </w:rPr>
        <w:t>8</w:t>
      </w:r>
      <w:r>
        <w:rPr>
          <w:rFonts w:hint="eastAsia"/>
          <w:color w:val="auto"/>
          <w:sz w:val="28"/>
          <w:szCs w:val="28"/>
        </w:rPr>
        <w:t>）复合肥（主要为磷酸一铵）</w:t>
      </w:r>
    </w:p>
    <w:p>
      <w:pPr>
        <w:pStyle w:val="49"/>
        <w:ind w:firstLine="560" w:firstLineChars="200"/>
        <w:rPr>
          <w:color w:val="auto"/>
          <w:sz w:val="28"/>
          <w:szCs w:val="28"/>
        </w:rPr>
      </w:pPr>
      <w:r>
        <w:rPr>
          <w:rFonts w:hint="eastAsia"/>
          <w:color w:val="auto"/>
          <w:sz w:val="28"/>
          <w:szCs w:val="28"/>
        </w:rPr>
        <w:t>化学品中文名称为磷酸二氢铵或磷酸一铵。性状为透明四角晶体，熔点1</w:t>
      </w:r>
      <w:r>
        <w:rPr>
          <w:color w:val="auto"/>
          <w:sz w:val="28"/>
          <w:szCs w:val="28"/>
        </w:rPr>
        <w:t>80</w:t>
      </w:r>
      <w:r>
        <w:rPr>
          <w:rFonts w:hint="eastAsia"/>
          <w:color w:val="auto"/>
          <w:sz w:val="28"/>
          <w:szCs w:val="28"/>
        </w:rPr>
        <w:t>℃，密度</w:t>
      </w:r>
      <w:r>
        <w:rPr>
          <w:color w:val="auto"/>
          <w:sz w:val="28"/>
          <w:szCs w:val="28"/>
        </w:rPr>
        <w:t>1.803</w:t>
      </w:r>
      <w:r>
        <w:rPr>
          <w:rFonts w:hint="eastAsia"/>
          <w:color w:val="auto"/>
          <w:sz w:val="28"/>
          <w:szCs w:val="28"/>
        </w:rPr>
        <w:t>g</w:t>
      </w:r>
      <w:r>
        <w:rPr>
          <w:color w:val="auto"/>
          <w:sz w:val="28"/>
          <w:szCs w:val="28"/>
        </w:rPr>
        <w:t>/</w:t>
      </w:r>
      <w:r>
        <w:rPr>
          <w:rFonts w:hint="eastAsia"/>
          <w:color w:val="auto"/>
          <w:sz w:val="28"/>
          <w:szCs w:val="28"/>
        </w:rPr>
        <w:t>cm</w:t>
      </w:r>
      <w:r>
        <w:rPr>
          <w:color w:val="auto"/>
          <w:sz w:val="28"/>
          <w:szCs w:val="28"/>
        </w:rPr>
        <w:t>3</w:t>
      </w:r>
      <w:r>
        <w:rPr>
          <w:rFonts w:hint="eastAsia"/>
          <w:color w:val="auto"/>
          <w:sz w:val="28"/>
          <w:szCs w:val="28"/>
        </w:rPr>
        <w:t>。分子式为NH</w:t>
      </w:r>
      <w:r>
        <w:rPr>
          <w:color w:val="auto"/>
          <w:sz w:val="28"/>
          <w:szCs w:val="28"/>
        </w:rPr>
        <w:t>4</w:t>
      </w:r>
      <w:r>
        <w:rPr>
          <w:rFonts w:hint="eastAsia"/>
          <w:color w:val="auto"/>
          <w:sz w:val="28"/>
          <w:szCs w:val="28"/>
        </w:rPr>
        <w:t>H</w:t>
      </w:r>
      <w:r>
        <w:rPr>
          <w:color w:val="auto"/>
          <w:sz w:val="28"/>
          <w:szCs w:val="28"/>
        </w:rPr>
        <w:t>2</w:t>
      </w:r>
      <w:r>
        <w:rPr>
          <w:rFonts w:hint="eastAsia"/>
          <w:color w:val="auto"/>
          <w:sz w:val="28"/>
          <w:szCs w:val="28"/>
        </w:rPr>
        <w:t>PO</w:t>
      </w:r>
      <w:r>
        <w:rPr>
          <w:color w:val="auto"/>
          <w:sz w:val="28"/>
          <w:szCs w:val="28"/>
        </w:rPr>
        <w:t>4</w:t>
      </w:r>
      <w:r>
        <w:rPr>
          <w:rFonts w:hint="eastAsia"/>
          <w:color w:val="auto"/>
          <w:sz w:val="28"/>
          <w:szCs w:val="28"/>
        </w:rPr>
        <w:t>，分子量为1</w:t>
      </w:r>
      <w:r>
        <w:rPr>
          <w:color w:val="auto"/>
          <w:sz w:val="28"/>
          <w:szCs w:val="28"/>
        </w:rPr>
        <w:t>15.03</w:t>
      </w:r>
      <w:r>
        <w:rPr>
          <w:rFonts w:hint="eastAsia"/>
          <w:color w:val="auto"/>
          <w:sz w:val="28"/>
          <w:szCs w:val="28"/>
        </w:rPr>
        <w:t>。</w:t>
      </w:r>
      <w:r>
        <w:rPr>
          <w:color w:val="auto"/>
          <w:sz w:val="28"/>
          <w:szCs w:val="28"/>
        </w:rPr>
        <w:t>用于废料和木材、纸张、织物的防火剂（如作火柴梗和蜡烛芯的灭烬剂），也用于制药物等。也用作反刍动物饲料添加剂。</w:t>
      </w:r>
    </w:p>
    <w:p>
      <w:pPr>
        <w:pStyle w:val="49"/>
        <w:ind w:firstLine="560" w:firstLineChars="200"/>
        <w:rPr>
          <w:color w:val="auto"/>
          <w:sz w:val="28"/>
          <w:szCs w:val="28"/>
        </w:rPr>
      </w:pPr>
      <w:r>
        <w:rPr>
          <w:rFonts w:hint="eastAsia"/>
          <w:color w:val="auto"/>
          <w:sz w:val="28"/>
          <w:szCs w:val="28"/>
        </w:rPr>
        <w:t>3</w:t>
      </w:r>
      <w:r>
        <w:rPr>
          <w:color w:val="auto"/>
          <w:sz w:val="28"/>
          <w:szCs w:val="28"/>
        </w:rPr>
        <w:t>9</w:t>
      </w:r>
      <w:r>
        <w:rPr>
          <w:rFonts w:hint="eastAsia"/>
          <w:color w:val="auto"/>
          <w:sz w:val="28"/>
          <w:szCs w:val="28"/>
        </w:rPr>
        <w:t>）氯化钠</w:t>
      </w:r>
    </w:p>
    <w:p>
      <w:pPr>
        <w:pStyle w:val="49"/>
        <w:ind w:firstLine="560" w:firstLineChars="200"/>
        <w:jc w:val="both"/>
        <w:rPr>
          <w:color w:val="auto"/>
          <w:sz w:val="28"/>
          <w:szCs w:val="28"/>
        </w:rPr>
      </w:pPr>
      <w:r>
        <w:rPr>
          <w:color w:val="auto"/>
          <w:sz w:val="28"/>
          <w:szCs w:val="28"/>
        </w:rPr>
        <w:t>氯化钠（NaCl），外观是白色晶体状，</w:t>
      </w:r>
      <w:r>
        <w:rPr>
          <w:rFonts w:hint="eastAsia"/>
          <w:color w:val="auto"/>
          <w:sz w:val="28"/>
          <w:szCs w:val="28"/>
        </w:rPr>
        <w:t>CAS号7</w:t>
      </w:r>
      <w:r>
        <w:rPr>
          <w:color w:val="auto"/>
          <w:sz w:val="28"/>
          <w:szCs w:val="28"/>
        </w:rPr>
        <w:t>647-14-5</w:t>
      </w:r>
      <w:r>
        <w:rPr>
          <w:rFonts w:hint="eastAsia"/>
          <w:color w:val="auto"/>
          <w:sz w:val="28"/>
          <w:szCs w:val="28"/>
        </w:rPr>
        <w:t>，沸点1</w:t>
      </w:r>
      <w:r>
        <w:rPr>
          <w:color w:val="auto"/>
          <w:sz w:val="28"/>
          <w:szCs w:val="28"/>
        </w:rPr>
        <w:t>465</w:t>
      </w:r>
      <w:r>
        <w:rPr>
          <w:rFonts w:hint="eastAsia"/>
          <w:color w:val="auto"/>
          <w:sz w:val="28"/>
          <w:szCs w:val="28"/>
        </w:rPr>
        <w:t>℃，</w:t>
      </w:r>
      <w:r>
        <w:rPr>
          <w:color w:val="auto"/>
          <w:sz w:val="28"/>
          <w:szCs w:val="28"/>
        </w:rPr>
        <w:t>其来源主要是在海水中，是食盐的主要成分。易溶于水、甘油，微溶于乙醇、液氨；不溶于浓盐酸。在空气中微有潮解性。稳定性比较好，工业上用于制造纯碱和烧碱及其他化工产品，矿石冶炼。</w:t>
      </w:r>
    </w:p>
    <w:p>
      <w:pPr>
        <w:pStyle w:val="49"/>
        <w:ind w:firstLine="560" w:firstLineChars="200"/>
        <w:rPr>
          <w:color w:val="auto"/>
          <w:sz w:val="28"/>
          <w:szCs w:val="28"/>
        </w:rPr>
      </w:pPr>
      <w:r>
        <w:rPr>
          <w:color w:val="auto"/>
          <w:sz w:val="28"/>
          <w:szCs w:val="28"/>
        </w:rPr>
        <w:t>40</w:t>
      </w:r>
      <w:r>
        <w:rPr>
          <w:rFonts w:hint="eastAsia"/>
          <w:color w:val="auto"/>
          <w:sz w:val="28"/>
          <w:szCs w:val="28"/>
        </w:rPr>
        <w:t>）二氧化碳</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分子式：</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CO2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分子量：</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44.01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有害物成分：</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健康危害：</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在低浓度时，对呼吸中枢呈兴奋作用, 高浓度时则产生抑制甚至麻痹作用。中毒机制中还兼有缺氧的因素。急性中毒：人进入高浓度二氧化碳环境，在几秒钟内迅速昏迷倒下，反射消失、瞳孔扩大或缩小、大小便失禁、呕吐等，更严重者出现呼吸停止及休克，甚至死亡。固态(干冰)和液态二氧化碳在常压下迅速汽化，能造成-80～-43℃低温，引起皮肤和眼睛严重的冻伤。慢性影响: 经常接触较高浓度的二氧化碳者，可有头晕、头痛、失眠、易兴奋、无力等神经功能紊乱等。但在生产中是否存在慢性中毒国内外均未见病例报道。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燃爆危险：</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本品不燃。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皮肤接触：</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若有冻伤，就医治疗。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眼睛接触：</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若有冻伤，就医治疗。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吸入：</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危险特性：</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灭火方法：</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本品不燃。尽可能将容器从火场移至空旷处。喷水保持火场容器冷却，直至灭火结束。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应急处理：</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迅速撤离泄漏污染区人员至上风处，并进行隔离，严格限制出入。建议应急处理人员戴自给正压式呼吸器，穿一般作业工作服。尽可能切断泄漏源。合理通风，加速扩散。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操作注意事项：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密闭操作。密闭操作，提供良好的自然通风条件。操作人员必须经过专门培训，严格遵守操作规程。防止气体泄漏到工作场所空气中。远离易燃、可燃物。搬运时轻装轻卸，防止钢瓶及附件破损。配备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储存注意事项：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储存于阴凉、通风的库房。远离火种、热源。库温不宜超过30℃。应与易（可）燃物分开存放，切忌混储。储区应备有泄漏应急处理设备。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中国MAC(mg/m3)：</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TLVTN：</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OSHA 5000ppm,9000mg/m3; ACGIH 5000ppm,9000mg/m3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TLVWN：</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ACGIH 30000ppm,54000mg/m3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工程控制：</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密闭操作。提供良好的自然通风条件。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呼吸系统防护：</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一般不需要特殊防护，高浓度接触时可佩戴空气呼吸器。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眼睛防护：</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一般不需特殊防护。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身体防护：</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穿一般作业工作服。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手防护：</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戴一般作业防护手套。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其他防护：</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避免高浓度吸入。进入罐、限制性空间或其它高浓度区作业，须有人监护。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主要成分：</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外观与性状：</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熔点(℃)：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-56.6(527kPa)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沸点(℃)：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-78.5(升华)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相对密度(水=1)：</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1.56(-79℃)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相对蒸气密度(空气=1)：</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饱和蒸气压(kPa)：</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1013.25(-39℃)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燃烧热(kJ/mol)：</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临界温度(℃)：</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临界压力(MPa)：</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闪点(℃)：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引燃温度(℃)：</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爆炸上限%(V/V)：</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爆炸下限%(V/V)：</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溶解性：</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溶于水、烃类等多数有机溶剂。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主要用途：</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用于制糖工业、制碱工业、制铅白等，也用于冷饮、灭火及有机合成。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急性毒性：</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LD50：无资料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其它有害作用：</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废弃处置方法：</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处置前应参阅国家和地方有关法规。废气直接排入大气。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危险货物编号：</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22019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UN编号：</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包装类别：</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O53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包装方法：</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钢质气瓶；安瓿瓶外普通木箱。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widowControl/>
              <w:spacing w:line="240" w:lineRule="atLeast"/>
              <w:jc w:val="right"/>
              <w:rPr>
                <w:rFonts w:ascii="宋体" w:hAnsi="宋体" w:cs="宋体"/>
                <w:color w:val="auto"/>
                <w:kern w:val="0"/>
              </w:rPr>
            </w:pPr>
            <w:r>
              <w:rPr>
                <w:rFonts w:hint="eastAsia" w:ascii="宋体" w:hAnsi="宋体" w:cs="宋体"/>
                <w:color w:val="auto"/>
                <w:kern w:val="0"/>
              </w:rPr>
              <w:t>运输注意事项：</w:t>
            </w:r>
          </w:p>
        </w:tc>
        <w:tc>
          <w:tcPr>
            <w:tcW w:w="0" w:type="auto"/>
            <w:shd w:val="clear" w:color="auto" w:fill="FFFFFF"/>
            <w:tcMar>
              <w:top w:w="75" w:type="dxa"/>
              <w:left w:w="150" w:type="dxa"/>
              <w:bottom w:w="75" w:type="dxa"/>
              <w:right w:w="75" w:type="dxa"/>
            </w:tcMar>
            <w:vAlign w:val="center"/>
          </w:tcPr>
          <w:p>
            <w:pPr>
              <w:widowControl/>
              <w:spacing w:line="240" w:lineRule="atLeast"/>
              <w:jc w:val="left"/>
              <w:rPr>
                <w:rFonts w:ascii="宋体" w:hAnsi="宋体" w:cs="宋体"/>
                <w:color w:val="auto"/>
                <w:kern w:val="0"/>
              </w:rPr>
            </w:pPr>
            <w:r>
              <w:rPr>
                <w:rFonts w:hint="eastAsia" w:ascii="宋体" w:hAnsi="宋体" w:cs="宋体"/>
                <w:color w:val="auto"/>
                <w:kern w:val="0"/>
              </w:rPr>
              <w:t>采用刚瓶运输时必须戴好钢瓶上的安全帽。钢瓶一般平放，并应将瓶口朝同一方向，不可交叉；高度不得超过车辆的防护栏板，并用三角木垫卡牢，防止滚动。严禁与易燃物或可燃物等混装混运。夏季应早晚运输，防止日光曝晒。铁路运输时要禁止溜放。</w:t>
            </w:r>
          </w:p>
        </w:tc>
      </w:tr>
    </w:tbl>
    <w:p>
      <w:pPr>
        <w:pStyle w:val="49"/>
        <w:ind w:firstLine="560" w:firstLineChars="200"/>
        <w:rPr>
          <w:color w:val="auto"/>
          <w:sz w:val="28"/>
          <w:szCs w:val="28"/>
        </w:rPr>
      </w:pPr>
      <w:r>
        <w:rPr>
          <w:rFonts w:hint="eastAsia"/>
          <w:color w:val="auto"/>
          <w:sz w:val="28"/>
          <w:szCs w:val="28"/>
        </w:rPr>
        <w:t>4</w:t>
      </w:r>
      <w:r>
        <w:rPr>
          <w:color w:val="auto"/>
          <w:sz w:val="28"/>
          <w:szCs w:val="28"/>
        </w:rPr>
        <w:t>1</w:t>
      </w:r>
      <w:r>
        <w:rPr>
          <w:rFonts w:hint="eastAsia"/>
          <w:color w:val="auto"/>
          <w:sz w:val="28"/>
          <w:szCs w:val="28"/>
        </w:rPr>
        <w:t>）硫酸钾</w:t>
      </w:r>
    </w:p>
    <w:p>
      <w:pPr>
        <w:pStyle w:val="27"/>
        <w:shd w:val="clear" w:color="auto" w:fill="FFFFFF"/>
        <w:spacing w:before="0" w:beforeAutospacing="0" w:after="225" w:afterAutospacing="0" w:line="360" w:lineRule="atLeast"/>
        <w:ind w:firstLine="420"/>
        <w:jc w:val="both"/>
        <w:rPr>
          <w:color w:val="auto"/>
          <w:kern w:val="2"/>
          <w:sz w:val="28"/>
          <w:szCs w:val="28"/>
        </w:rPr>
      </w:pPr>
      <w:r>
        <w:rPr>
          <w:color w:val="auto"/>
          <w:kern w:val="2"/>
          <w:sz w:val="28"/>
          <w:szCs w:val="28"/>
        </w:rPr>
        <w:t>硫酸钾是由</w:t>
      </w:r>
      <w:r>
        <w:rPr>
          <w:color w:val="auto"/>
        </w:rPr>
        <w:fldChar w:fldCharType="begin"/>
      </w:r>
      <w:r>
        <w:rPr>
          <w:color w:val="auto"/>
        </w:rPr>
        <w:instrText xml:space="preserve"> HYPERLINK "https://baike.so.com/doc/4933168-5153383.html" \t "_blank" </w:instrText>
      </w:r>
      <w:r>
        <w:rPr>
          <w:color w:val="auto"/>
        </w:rPr>
        <w:fldChar w:fldCharType="separate"/>
      </w:r>
      <w:r>
        <w:rPr>
          <w:color w:val="auto"/>
          <w:kern w:val="2"/>
          <w:sz w:val="28"/>
          <w:szCs w:val="28"/>
        </w:rPr>
        <w:t>硫酸根</w:t>
      </w:r>
      <w:r>
        <w:rPr>
          <w:color w:val="auto"/>
          <w:kern w:val="2"/>
          <w:sz w:val="28"/>
          <w:szCs w:val="28"/>
        </w:rPr>
        <w:fldChar w:fldCharType="end"/>
      </w:r>
      <w:r>
        <w:rPr>
          <w:color w:val="auto"/>
          <w:kern w:val="2"/>
          <w:sz w:val="28"/>
          <w:szCs w:val="28"/>
        </w:rPr>
        <w:t>离子和钾离子组成的盐，通常状况下为无色或白色结晶、颗粒或粉末。无气味，味苦。质硬。</w:t>
      </w:r>
      <w:r>
        <w:rPr>
          <w:rFonts w:hint="eastAsia"/>
          <w:color w:val="auto"/>
          <w:kern w:val="2"/>
          <w:sz w:val="28"/>
          <w:szCs w:val="28"/>
        </w:rPr>
        <w:t>CAS号7</w:t>
      </w:r>
      <w:r>
        <w:rPr>
          <w:color w:val="auto"/>
          <w:kern w:val="2"/>
          <w:sz w:val="28"/>
          <w:szCs w:val="28"/>
        </w:rPr>
        <w:t>778-80-5</w:t>
      </w:r>
      <w:r>
        <w:rPr>
          <w:rFonts w:hint="eastAsia"/>
          <w:color w:val="auto"/>
          <w:kern w:val="2"/>
          <w:sz w:val="28"/>
          <w:szCs w:val="28"/>
        </w:rPr>
        <w:t>，分子式K</w:t>
      </w:r>
      <w:r>
        <w:rPr>
          <w:color w:val="auto"/>
          <w:kern w:val="2"/>
          <w:sz w:val="28"/>
          <w:szCs w:val="28"/>
        </w:rPr>
        <w:t>2SO4</w:t>
      </w:r>
      <w:r>
        <w:rPr>
          <w:rFonts w:hint="eastAsia"/>
          <w:color w:val="auto"/>
          <w:kern w:val="2"/>
          <w:sz w:val="28"/>
          <w:szCs w:val="28"/>
        </w:rPr>
        <w:t>，分子量1</w:t>
      </w:r>
      <w:r>
        <w:rPr>
          <w:color w:val="auto"/>
          <w:kern w:val="2"/>
          <w:sz w:val="28"/>
          <w:szCs w:val="28"/>
        </w:rPr>
        <w:t>74.24</w:t>
      </w:r>
      <w:r>
        <w:rPr>
          <w:rFonts w:hint="eastAsia"/>
          <w:color w:val="auto"/>
          <w:kern w:val="2"/>
          <w:sz w:val="28"/>
          <w:szCs w:val="28"/>
        </w:rPr>
        <w:t>。</w:t>
      </w:r>
      <w:r>
        <w:rPr>
          <w:color w:val="auto"/>
          <w:kern w:val="2"/>
          <w:sz w:val="28"/>
          <w:szCs w:val="28"/>
        </w:rPr>
        <w:fldChar w:fldCharType="begin"/>
      </w:r>
      <w:r>
        <w:rPr>
          <w:color w:val="auto"/>
          <w:kern w:val="2"/>
          <w:sz w:val="28"/>
          <w:szCs w:val="28"/>
        </w:rPr>
        <w:instrText xml:space="preserve"> HYPERLINK "https://baike.so.com/doc/4543147-4753508.html" \t "_blank" </w:instrText>
      </w:r>
      <w:r>
        <w:rPr>
          <w:color w:val="auto"/>
          <w:kern w:val="2"/>
          <w:sz w:val="28"/>
          <w:szCs w:val="28"/>
        </w:rPr>
        <w:fldChar w:fldCharType="separate"/>
      </w:r>
      <w:r>
        <w:rPr>
          <w:color w:val="auto"/>
          <w:kern w:val="2"/>
          <w:sz w:val="28"/>
          <w:szCs w:val="28"/>
        </w:rPr>
        <w:t>化学性质</w:t>
      </w:r>
      <w:r>
        <w:rPr>
          <w:color w:val="auto"/>
          <w:kern w:val="2"/>
          <w:sz w:val="28"/>
          <w:szCs w:val="28"/>
        </w:rPr>
        <w:fldChar w:fldCharType="end"/>
      </w:r>
      <w:r>
        <w:rPr>
          <w:color w:val="auto"/>
          <w:kern w:val="2"/>
          <w:sz w:val="28"/>
          <w:szCs w:val="28"/>
        </w:rPr>
        <w:t>不活泼。在空气中稳定。</w:t>
      </w:r>
      <w:r>
        <w:rPr>
          <w:color w:val="auto"/>
        </w:rPr>
        <w:fldChar w:fldCharType="begin"/>
      </w:r>
      <w:r>
        <w:rPr>
          <w:color w:val="auto"/>
        </w:rPr>
        <w:instrText xml:space="preserve"> HYPERLINK "https://baike.so.com/doc/4210704-4411860.html" \t "_blank" </w:instrText>
      </w:r>
      <w:r>
        <w:rPr>
          <w:color w:val="auto"/>
        </w:rPr>
        <w:fldChar w:fldCharType="separate"/>
      </w:r>
      <w:r>
        <w:rPr>
          <w:color w:val="auto"/>
          <w:kern w:val="2"/>
          <w:sz w:val="28"/>
          <w:szCs w:val="28"/>
        </w:rPr>
        <w:t>密度</w:t>
      </w:r>
      <w:r>
        <w:rPr>
          <w:color w:val="auto"/>
          <w:kern w:val="2"/>
          <w:sz w:val="28"/>
          <w:szCs w:val="28"/>
        </w:rPr>
        <w:fldChar w:fldCharType="end"/>
      </w:r>
      <w:r>
        <w:rPr>
          <w:color w:val="auto"/>
          <w:kern w:val="2"/>
          <w:sz w:val="28"/>
          <w:szCs w:val="28"/>
        </w:rPr>
        <w:t>2.66g/cm。</w:t>
      </w:r>
      <w:r>
        <w:rPr>
          <w:color w:val="auto"/>
          <w:kern w:val="2"/>
          <w:sz w:val="28"/>
          <w:szCs w:val="28"/>
        </w:rPr>
        <w:fldChar w:fldCharType="begin"/>
      </w:r>
      <w:r>
        <w:rPr>
          <w:color w:val="auto"/>
          <w:kern w:val="2"/>
          <w:sz w:val="28"/>
          <w:szCs w:val="28"/>
        </w:rPr>
        <w:instrText xml:space="preserve"> HYPERLINK "https://baike.so.com/doc/367780-389604.html" \t "_blank" </w:instrText>
      </w:r>
      <w:r>
        <w:rPr>
          <w:color w:val="auto"/>
          <w:kern w:val="2"/>
          <w:sz w:val="28"/>
          <w:szCs w:val="28"/>
        </w:rPr>
        <w:fldChar w:fldCharType="separate"/>
      </w:r>
      <w:r>
        <w:rPr>
          <w:color w:val="auto"/>
          <w:kern w:val="2"/>
          <w:sz w:val="28"/>
          <w:szCs w:val="28"/>
        </w:rPr>
        <w:t>熔点</w:t>
      </w:r>
      <w:r>
        <w:rPr>
          <w:color w:val="auto"/>
          <w:kern w:val="2"/>
          <w:sz w:val="28"/>
          <w:szCs w:val="28"/>
        </w:rPr>
        <w:fldChar w:fldCharType="end"/>
      </w:r>
      <w:r>
        <w:rPr>
          <w:color w:val="auto"/>
          <w:kern w:val="2"/>
          <w:sz w:val="28"/>
          <w:szCs w:val="28"/>
        </w:rPr>
        <w:t>1069</w:t>
      </w:r>
      <w:r>
        <w:rPr>
          <w:rFonts w:hint="eastAsia"/>
          <w:color w:val="auto"/>
          <w:kern w:val="2"/>
          <w:sz w:val="28"/>
          <w:szCs w:val="28"/>
        </w:rPr>
        <w:t>℃</w:t>
      </w:r>
      <w:r>
        <w:rPr>
          <w:color w:val="auto"/>
          <w:kern w:val="2"/>
          <w:sz w:val="28"/>
          <w:szCs w:val="28"/>
        </w:rPr>
        <w:t>。水溶液呈中性，常温下pH约为7。1g溶于8.3ml水、4ml沸水、75ml甘油，不溶于</w:t>
      </w:r>
      <w:r>
        <w:rPr>
          <w:color w:val="auto"/>
          <w:kern w:val="2"/>
          <w:sz w:val="28"/>
          <w:szCs w:val="28"/>
        </w:rPr>
        <w:fldChar w:fldCharType="begin"/>
      </w:r>
      <w:r>
        <w:rPr>
          <w:color w:val="auto"/>
          <w:kern w:val="2"/>
          <w:sz w:val="28"/>
          <w:szCs w:val="28"/>
        </w:rPr>
        <w:instrText xml:space="preserve"> HYPERLINK "https://baike.so.com/doc/3036121-3200992.html" \t "_blank" </w:instrText>
      </w:r>
      <w:r>
        <w:rPr>
          <w:color w:val="auto"/>
          <w:kern w:val="2"/>
          <w:sz w:val="28"/>
          <w:szCs w:val="28"/>
        </w:rPr>
        <w:fldChar w:fldCharType="separate"/>
      </w:r>
      <w:r>
        <w:rPr>
          <w:color w:val="auto"/>
          <w:kern w:val="2"/>
          <w:sz w:val="28"/>
          <w:szCs w:val="28"/>
        </w:rPr>
        <w:t>乙醇</w:t>
      </w:r>
      <w:r>
        <w:rPr>
          <w:color w:val="auto"/>
          <w:kern w:val="2"/>
          <w:sz w:val="28"/>
          <w:szCs w:val="28"/>
        </w:rPr>
        <w:fldChar w:fldCharType="end"/>
      </w:r>
      <w:r>
        <w:rPr>
          <w:color w:val="auto"/>
          <w:kern w:val="2"/>
          <w:sz w:val="28"/>
          <w:szCs w:val="28"/>
        </w:rPr>
        <w:t>。主要用途有</w:t>
      </w:r>
      <w:r>
        <w:rPr>
          <w:color w:val="auto"/>
        </w:rPr>
        <w:fldChar w:fldCharType="begin"/>
      </w:r>
      <w:r>
        <w:rPr>
          <w:color w:val="auto"/>
        </w:rPr>
        <w:instrText xml:space="preserve"> HYPERLINK "https://baike.so.com/doc/5743793-5956546.html" \t "_blank" </w:instrText>
      </w:r>
      <w:r>
        <w:rPr>
          <w:color w:val="auto"/>
        </w:rPr>
        <w:fldChar w:fldCharType="separate"/>
      </w:r>
      <w:r>
        <w:rPr>
          <w:color w:val="auto"/>
          <w:kern w:val="2"/>
          <w:sz w:val="28"/>
          <w:szCs w:val="28"/>
        </w:rPr>
        <w:t>血清蛋白</w:t>
      </w:r>
      <w:r>
        <w:rPr>
          <w:color w:val="auto"/>
          <w:kern w:val="2"/>
          <w:sz w:val="28"/>
          <w:szCs w:val="28"/>
        </w:rPr>
        <w:fldChar w:fldCharType="end"/>
      </w:r>
      <w:r>
        <w:rPr>
          <w:color w:val="auto"/>
          <w:kern w:val="2"/>
          <w:sz w:val="28"/>
          <w:szCs w:val="28"/>
        </w:rPr>
        <w:t>生化检验、凯氏定氮用</w:t>
      </w:r>
      <w:r>
        <w:rPr>
          <w:color w:val="auto"/>
        </w:rPr>
        <w:fldChar w:fldCharType="begin"/>
      </w:r>
      <w:r>
        <w:rPr>
          <w:color w:val="auto"/>
        </w:rPr>
        <w:instrText xml:space="preserve"> HYPERLINK "https://baike.so.com/doc/1342587-1419303.html" \t "_blank" </w:instrText>
      </w:r>
      <w:r>
        <w:rPr>
          <w:color w:val="auto"/>
        </w:rPr>
        <w:fldChar w:fldCharType="separate"/>
      </w:r>
      <w:r>
        <w:rPr>
          <w:color w:val="auto"/>
          <w:kern w:val="2"/>
          <w:sz w:val="28"/>
          <w:szCs w:val="28"/>
        </w:rPr>
        <w:t>催化剂</w:t>
      </w:r>
      <w:r>
        <w:rPr>
          <w:color w:val="auto"/>
          <w:kern w:val="2"/>
          <w:sz w:val="28"/>
          <w:szCs w:val="28"/>
        </w:rPr>
        <w:fldChar w:fldCharType="end"/>
      </w:r>
      <w:r>
        <w:rPr>
          <w:color w:val="auto"/>
          <w:kern w:val="2"/>
          <w:sz w:val="28"/>
          <w:szCs w:val="28"/>
        </w:rPr>
        <w:t>、制备其他</w:t>
      </w:r>
      <w:r>
        <w:rPr>
          <w:color w:val="auto"/>
        </w:rPr>
        <w:fldChar w:fldCharType="begin"/>
      </w:r>
      <w:r>
        <w:rPr>
          <w:color w:val="auto"/>
        </w:rPr>
        <w:instrText xml:space="preserve"> HYPERLINK "https://baike.so.com/doc/5686883-5899572.html" \t "_blank" </w:instrText>
      </w:r>
      <w:r>
        <w:rPr>
          <w:color w:val="auto"/>
        </w:rPr>
        <w:fldChar w:fldCharType="separate"/>
      </w:r>
      <w:r>
        <w:rPr>
          <w:color w:val="auto"/>
          <w:kern w:val="2"/>
          <w:sz w:val="28"/>
          <w:szCs w:val="28"/>
        </w:rPr>
        <w:t>钾盐</w:t>
      </w:r>
      <w:r>
        <w:rPr>
          <w:color w:val="auto"/>
          <w:kern w:val="2"/>
          <w:sz w:val="28"/>
          <w:szCs w:val="28"/>
        </w:rPr>
        <w:fldChar w:fldCharType="end"/>
      </w:r>
      <w:r>
        <w:rPr>
          <w:color w:val="auto"/>
          <w:kern w:val="2"/>
          <w:sz w:val="28"/>
          <w:szCs w:val="28"/>
        </w:rPr>
        <w:t>、化肥、</w:t>
      </w:r>
      <w:r>
        <w:rPr>
          <w:color w:val="auto"/>
        </w:rPr>
        <w:fldChar w:fldCharType="begin"/>
      </w:r>
      <w:r>
        <w:rPr>
          <w:color w:val="auto"/>
        </w:rPr>
        <w:instrText xml:space="preserve"> HYPERLINK "https://baike.so.com/doc/6810499-7027453.html" \t "_blank" </w:instrText>
      </w:r>
      <w:r>
        <w:rPr>
          <w:color w:val="auto"/>
        </w:rPr>
        <w:fldChar w:fldCharType="separate"/>
      </w:r>
      <w:r>
        <w:rPr>
          <w:color w:val="auto"/>
          <w:kern w:val="2"/>
          <w:sz w:val="28"/>
          <w:szCs w:val="28"/>
        </w:rPr>
        <w:t>药物</w:t>
      </w:r>
      <w:r>
        <w:rPr>
          <w:color w:val="auto"/>
          <w:kern w:val="2"/>
          <w:sz w:val="28"/>
          <w:szCs w:val="28"/>
        </w:rPr>
        <w:fldChar w:fldCharType="end"/>
      </w:r>
      <w:r>
        <w:rPr>
          <w:color w:val="auto"/>
          <w:kern w:val="2"/>
          <w:sz w:val="28"/>
          <w:szCs w:val="28"/>
        </w:rPr>
        <w:t>、制备玻璃、明矾等。</w:t>
      </w:r>
    </w:p>
    <w:p>
      <w:pPr>
        <w:pStyle w:val="49"/>
        <w:ind w:firstLine="560" w:firstLineChars="200"/>
        <w:rPr>
          <w:color w:val="auto"/>
          <w:sz w:val="28"/>
          <w:szCs w:val="28"/>
        </w:rPr>
      </w:pPr>
      <w:r>
        <w:rPr>
          <w:rFonts w:hint="eastAsia"/>
          <w:color w:val="auto"/>
          <w:sz w:val="28"/>
          <w:szCs w:val="28"/>
        </w:rPr>
        <w:t>4</w:t>
      </w:r>
      <w:r>
        <w:rPr>
          <w:color w:val="auto"/>
          <w:sz w:val="28"/>
          <w:szCs w:val="28"/>
        </w:rPr>
        <w:t>2</w:t>
      </w:r>
      <w:r>
        <w:rPr>
          <w:rFonts w:hint="eastAsia"/>
          <w:color w:val="auto"/>
          <w:sz w:val="28"/>
          <w:szCs w:val="28"/>
        </w:rPr>
        <w:t>）亚硫酸钾</w:t>
      </w:r>
    </w:p>
    <w:p>
      <w:pPr>
        <w:pStyle w:val="27"/>
        <w:shd w:val="clear" w:color="auto" w:fill="FFFFFF"/>
        <w:spacing w:before="0" w:beforeAutospacing="0" w:after="225" w:afterAutospacing="0" w:line="360" w:lineRule="atLeast"/>
        <w:ind w:firstLine="560"/>
        <w:jc w:val="both"/>
        <w:rPr>
          <w:rFonts w:ascii="Arial" w:hAnsi="Arial" w:cs="Arial"/>
          <w:color w:val="auto"/>
          <w:sz w:val="21"/>
        </w:rPr>
      </w:pPr>
      <w:r>
        <w:rPr>
          <w:color w:val="auto"/>
          <w:kern w:val="2"/>
          <w:sz w:val="28"/>
          <w:szCs w:val="28"/>
        </w:rPr>
        <w:t>中文名称:亚</w:t>
      </w:r>
      <w:r>
        <w:rPr>
          <w:color w:val="auto"/>
          <w:kern w:val="2"/>
          <w:sz w:val="28"/>
          <w:szCs w:val="28"/>
        </w:rPr>
        <w:fldChar w:fldCharType="begin"/>
      </w:r>
      <w:r>
        <w:rPr>
          <w:color w:val="auto"/>
          <w:kern w:val="2"/>
          <w:sz w:val="28"/>
          <w:szCs w:val="28"/>
        </w:rPr>
        <w:instrText xml:space="preserve"> HYPERLINK "https://baike.so.com/doc/4895848-5114121.html" \t "_blank" </w:instrText>
      </w:r>
      <w:r>
        <w:rPr>
          <w:color w:val="auto"/>
          <w:kern w:val="2"/>
          <w:sz w:val="28"/>
          <w:szCs w:val="28"/>
        </w:rPr>
        <w:fldChar w:fldCharType="separate"/>
      </w:r>
      <w:r>
        <w:rPr>
          <w:color w:val="auto"/>
          <w:kern w:val="2"/>
          <w:sz w:val="28"/>
          <w:szCs w:val="28"/>
        </w:rPr>
        <w:t>硫酸钾</w:t>
      </w:r>
      <w:r>
        <w:rPr>
          <w:color w:val="auto"/>
          <w:kern w:val="2"/>
          <w:sz w:val="28"/>
          <w:szCs w:val="28"/>
        </w:rPr>
        <w:fldChar w:fldCharType="end"/>
      </w:r>
      <w:r>
        <w:rPr>
          <w:rFonts w:hint="eastAsia"/>
          <w:color w:val="auto"/>
          <w:kern w:val="2"/>
          <w:sz w:val="28"/>
          <w:szCs w:val="28"/>
        </w:rPr>
        <w:t>，</w:t>
      </w:r>
      <w:r>
        <w:rPr>
          <w:color w:val="auto"/>
          <w:kern w:val="2"/>
          <w:sz w:val="28"/>
          <w:szCs w:val="28"/>
        </w:rPr>
        <w:t>英文名称:potassium sulfite</w:t>
      </w:r>
      <w:r>
        <w:rPr>
          <w:rFonts w:hint="eastAsia"/>
          <w:color w:val="auto"/>
          <w:kern w:val="2"/>
          <w:sz w:val="28"/>
          <w:szCs w:val="28"/>
        </w:rPr>
        <w:t>，</w:t>
      </w:r>
      <w:r>
        <w:rPr>
          <w:color w:val="auto"/>
          <w:kern w:val="2"/>
          <w:sz w:val="28"/>
          <w:szCs w:val="28"/>
        </w:rPr>
        <w:t>亚硫酸钾是一种无极化工产品，</w:t>
      </w:r>
      <w:r>
        <w:rPr>
          <w:rFonts w:hint="eastAsia"/>
          <w:color w:val="auto"/>
          <w:kern w:val="2"/>
          <w:sz w:val="28"/>
          <w:szCs w:val="28"/>
        </w:rPr>
        <w:t>外观为白色无臭粗粉，密度1</w:t>
      </w:r>
      <w:r>
        <w:rPr>
          <w:color w:val="auto"/>
          <w:kern w:val="2"/>
          <w:sz w:val="28"/>
          <w:szCs w:val="28"/>
        </w:rPr>
        <w:t>.74g/mL</w:t>
      </w:r>
      <w:r>
        <w:rPr>
          <w:rFonts w:hint="eastAsia"/>
          <w:color w:val="auto"/>
          <w:kern w:val="2"/>
          <w:sz w:val="28"/>
          <w:szCs w:val="28"/>
        </w:rPr>
        <w:t>，</w:t>
      </w:r>
      <w:r>
        <w:rPr>
          <w:color w:val="auto"/>
          <w:kern w:val="2"/>
          <w:sz w:val="28"/>
          <w:szCs w:val="28"/>
        </w:rPr>
        <w:t>其分子式为H2KO3S，分子量为121.1774。CAS号:10117-38-1</w:t>
      </w:r>
      <w:r>
        <w:rPr>
          <w:rFonts w:hint="eastAsia"/>
          <w:color w:val="auto"/>
          <w:kern w:val="2"/>
          <w:sz w:val="28"/>
          <w:szCs w:val="28"/>
        </w:rPr>
        <w:t>。</w:t>
      </w:r>
      <w:r>
        <w:rPr>
          <w:color w:val="auto"/>
          <w:kern w:val="2"/>
          <w:sz w:val="28"/>
          <w:szCs w:val="28"/>
        </w:rPr>
        <w:t>在空气中易变色。极易吸湿。性不稳定，撞击或急热能引起爆炸。易溶于水，水溶液呈强碱性。有腐蚀性。</w:t>
      </w:r>
    </w:p>
    <w:p>
      <w:pPr>
        <w:pStyle w:val="27"/>
        <w:shd w:val="clear" w:color="auto" w:fill="FFFFFF"/>
        <w:spacing w:before="0" w:beforeAutospacing="0" w:after="225" w:afterAutospacing="0" w:line="360" w:lineRule="atLeast"/>
        <w:ind w:firstLine="560"/>
        <w:rPr>
          <w:color w:val="auto"/>
          <w:kern w:val="2"/>
          <w:sz w:val="28"/>
          <w:szCs w:val="28"/>
        </w:rPr>
      </w:pPr>
      <w:r>
        <w:rPr>
          <w:rFonts w:hint="eastAsia"/>
          <w:color w:val="auto"/>
          <w:kern w:val="2"/>
          <w:sz w:val="28"/>
          <w:szCs w:val="28"/>
        </w:rPr>
        <w:t>4</w:t>
      </w:r>
      <w:r>
        <w:rPr>
          <w:color w:val="auto"/>
          <w:kern w:val="2"/>
          <w:sz w:val="28"/>
          <w:szCs w:val="28"/>
        </w:rPr>
        <w:t>3</w:t>
      </w:r>
      <w:r>
        <w:rPr>
          <w:rFonts w:hint="eastAsia"/>
          <w:color w:val="auto"/>
          <w:kern w:val="2"/>
          <w:sz w:val="28"/>
          <w:szCs w:val="28"/>
        </w:rPr>
        <w:t>）三氟乙酸钾</w:t>
      </w:r>
    </w:p>
    <w:p>
      <w:pPr>
        <w:pStyle w:val="49"/>
        <w:ind w:firstLine="560" w:firstLineChars="200"/>
        <w:jc w:val="both"/>
        <w:rPr>
          <w:rFonts w:hAnsi="宋体" w:cs="Times New Roman"/>
          <w:color w:val="auto"/>
          <w:kern w:val="2"/>
          <w:sz w:val="28"/>
          <w:szCs w:val="28"/>
        </w:rPr>
      </w:pPr>
      <w:r>
        <w:rPr>
          <w:rFonts w:hAnsi="宋体" w:cs="Times New Roman"/>
          <w:color w:val="auto"/>
          <w:kern w:val="2"/>
          <w:sz w:val="28"/>
          <w:szCs w:val="28"/>
        </w:rPr>
        <w:t>三氟乙酸钾，英文名称为potassium trifluoroacetate，中文别名为3氟乙酸钾;CAS号为2923-16-2，分子式为C2F3KO2，</w:t>
      </w:r>
      <w:r>
        <w:rPr>
          <w:rFonts w:hint="eastAsia" w:hAnsi="宋体" w:cs="Times New Roman"/>
          <w:color w:val="auto"/>
          <w:kern w:val="2"/>
          <w:sz w:val="28"/>
          <w:szCs w:val="28"/>
        </w:rPr>
        <w:t>密度1</w:t>
      </w:r>
      <w:r>
        <w:rPr>
          <w:rFonts w:hAnsi="宋体" w:cs="Times New Roman"/>
          <w:color w:val="auto"/>
          <w:kern w:val="2"/>
          <w:sz w:val="28"/>
          <w:szCs w:val="28"/>
        </w:rPr>
        <w:t>.49</w:t>
      </w:r>
      <w:r>
        <w:rPr>
          <w:rFonts w:hint="eastAsia" w:hAnsi="宋体" w:cs="Times New Roman"/>
          <w:color w:val="auto"/>
          <w:kern w:val="2"/>
          <w:sz w:val="28"/>
          <w:szCs w:val="28"/>
        </w:rPr>
        <w:t>g</w:t>
      </w:r>
      <w:r>
        <w:rPr>
          <w:rFonts w:hAnsi="宋体" w:cs="Times New Roman"/>
          <w:color w:val="auto"/>
          <w:kern w:val="2"/>
          <w:sz w:val="28"/>
          <w:szCs w:val="28"/>
        </w:rPr>
        <w:t>/</w:t>
      </w:r>
      <w:r>
        <w:rPr>
          <w:rFonts w:hint="eastAsia" w:hAnsi="宋体" w:cs="Times New Roman"/>
          <w:color w:val="auto"/>
          <w:kern w:val="2"/>
          <w:sz w:val="28"/>
          <w:szCs w:val="28"/>
        </w:rPr>
        <w:t>mL，熔点1</w:t>
      </w:r>
      <w:r>
        <w:rPr>
          <w:rFonts w:hAnsi="宋体" w:cs="Times New Roman"/>
          <w:color w:val="auto"/>
          <w:kern w:val="2"/>
          <w:sz w:val="28"/>
          <w:szCs w:val="28"/>
        </w:rPr>
        <w:t>40-142</w:t>
      </w:r>
      <w:r>
        <w:rPr>
          <w:rFonts w:hint="eastAsia" w:hAnsi="宋体" w:cs="Times New Roman"/>
          <w:color w:val="auto"/>
          <w:kern w:val="2"/>
          <w:sz w:val="28"/>
          <w:szCs w:val="28"/>
        </w:rPr>
        <w:t>℃，</w:t>
      </w:r>
      <w:r>
        <w:rPr>
          <w:rFonts w:hAnsi="宋体" w:cs="Times New Roman"/>
          <w:color w:val="auto"/>
          <w:kern w:val="2"/>
          <w:sz w:val="28"/>
          <w:szCs w:val="28"/>
        </w:rPr>
        <w:t>需密闭于阴凉干燥环境中 ，带有刺激性的有机化工原料。</w:t>
      </w:r>
    </w:p>
    <w:p>
      <w:pPr>
        <w:pStyle w:val="49"/>
        <w:ind w:firstLine="560" w:firstLineChars="200"/>
        <w:jc w:val="both"/>
        <w:rPr>
          <w:rFonts w:hAnsi="宋体" w:cs="Times New Roman"/>
          <w:color w:val="auto"/>
          <w:kern w:val="2"/>
          <w:sz w:val="28"/>
          <w:szCs w:val="28"/>
        </w:rPr>
      </w:pPr>
    </w:p>
    <w:p>
      <w:pPr>
        <w:pStyle w:val="49"/>
        <w:ind w:firstLine="560" w:firstLineChars="200"/>
        <w:jc w:val="both"/>
        <w:rPr>
          <w:rFonts w:hAnsi="宋体" w:cs="Times New Roman"/>
          <w:color w:val="auto"/>
          <w:kern w:val="2"/>
          <w:sz w:val="28"/>
          <w:szCs w:val="28"/>
        </w:rPr>
      </w:pPr>
    </w:p>
    <w:p>
      <w:pPr>
        <w:pStyle w:val="49"/>
        <w:ind w:firstLine="560" w:firstLineChars="200"/>
        <w:jc w:val="both"/>
        <w:rPr>
          <w:rFonts w:hAnsi="宋体" w:cs="Times New Roman"/>
          <w:color w:val="auto"/>
          <w:kern w:val="2"/>
          <w:sz w:val="28"/>
          <w:szCs w:val="28"/>
        </w:rPr>
      </w:pPr>
      <w:r>
        <w:rPr>
          <w:rFonts w:hint="eastAsia" w:hAnsi="宋体" w:cs="Times New Roman"/>
          <w:color w:val="auto"/>
          <w:kern w:val="2"/>
          <w:sz w:val="28"/>
          <w:szCs w:val="28"/>
        </w:rPr>
        <w:t>4</w:t>
      </w:r>
      <w:r>
        <w:rPr>
          <w:rFonts w:hAnsi="宋体" w:cs="Times New Roman"/>
          <w:color w:val="auto"/>
          <w:kern w:val="2"/>
          <w:sz w:val="28"/>
          <w:szCs w:val="28"/>
        </w:rPr>
        <w:t>4</w:t>
      </w:r>
      <w:r>
        <w:rPr>
          <w:rFonts w:hint="eastAsia" w:hAnsi="宋体" w:cs="Times New Roman"/>
          <w:color w:val="auto"/>
          <w:kern w:val="2"/>
          <w:sz w:val="28"/>
          <w:szCs w:val="28"/>
        </w:rPr>
        <w:t>）碳酸氢钠</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6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CAS：</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144-55-8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名称：</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酸式碳酸钠</w:t>
            </w:r>
          </w:p>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碳酸氢钠</w:t>
            </w:r>
          </w:p>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sodium acid carbonate</w:t>
            </w:r>
          </w:p>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sodium bicarbonate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分子式：</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NaHCO3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分子量：</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有害物成分：</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碳酸氢钠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健康危害：</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碳酸氢钠在常温下是接近中性的极微弱的碱， 如将其固体或水溶液加热 50℃以上时，可转变为碳酸钠，对人具有刺激性和腐蚀性，对眼睛、皮肤及呼吸道粘膜有刺激性，引起炎症。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燃爆危险：</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本品不燃。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皮肤接触：</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脱去污染的衣着，用大量流动清水冲洗。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眼睛接触：</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吸入：</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脱离现场至空气新鲜处。如呼吸困难，给输氧。就医。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食入：</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危险特性：</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受热分解。未有特殊的燃烧爆炸特性。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有害燃烧产物：</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灭火方法：</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尽可能将容器从火场移至空旷处。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应急处理：</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隔离泄漏污染区，限制出入。建议应急处理人员戴防尘面具（全面罩），穿一般作业工作服。避免扬尘，小心扫起，置于袋中转移至安全场所。若大量泄漏，用塑料布、帆布覆盖。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操作注意事项：</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加强通风。操作人员必须经过专门培训，严格遵守操作规程。建议操作人员佩戴自吸过滤式防尘口罩，戴化学安全防护眼镜。避免产生粉尘。避免与氧化剂、酸类接触。搬运时要轻装轻卸，防止包装及容器损坏。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储存注意事项：</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储存于阴凉、干燥、通风良好的库房。远离火种、热源。保持容器密封。应与氧化剂、酸类分开存放，切忌混储。储区应备有合适的材料收容泄漏物。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工程控制：</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生产过程密闭，加强通风。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呼吸系统防护：</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空气中粉尘浓度较高时，建议佩戴自吸过滤式防尘口罩。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眼睛防护：</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身体防护：</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穿一般作业防护服。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手防护：</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戴一般作业防护手套。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其他防护：</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及时换洗工作服。保持良好的卫生习惯。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主要成分：</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外观与性状：</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白色、有微咸味、粉末或结晶体。</w:t>
            </w:r>
          </w:p>
        </w:tc>
      </w:tr>
      <w:tr>
        <w:tblPrEx>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熔点(℃)：</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相对密度(水=1)：</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燃烧热(kJ/mol)：</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临界温度(℃)：</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临界压力(MPa)：</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闪点(℃)：</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引燃温度(℃)：</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爆炸上限%(V/V)：</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爆炸下限%(V/V)：</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溶解性：</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溶于水，不溶于乙醇等。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主要用途：</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分析化学用试剂, 镀金、镀铂、鞣革、处理羊毛、丝、灭火剂、医药消化剂等, 也用作乳油保存剂、木材防熏剂。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禁配物：</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强氧化剂、强酸。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避免接触的条件：</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潮湿空气。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急性毒性：</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LD50：4220 mg/kg(大鼠经口)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其它有害作用：</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废弃处置方法：</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处置前应参阅国家和地方有关法规。中和后，用安全掩埋法处置。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包装类别：</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Z01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包装方法：</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wordWrap w:val="0"/>
              <w:spacing w:line="276"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运输注意事项：</w:t>
            </w:r>
          </w:p>
        </w:tc>
        <w:tc>
          <w:tcPr>
            <w:tcW w:w="0" w:type="auto"/>
          </w:tcPr>
          <w:p>
            <w:pPr>
              <w:widowControl/>
              <w:wordWrap w:val="0"/>
              <w:spacing w:line="276"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起运时包装要完整，装载应稳妥。运输过程中要确保容器不泄漏、不倒塌、不坠落、不损坏。严禁与氧化剂、酸类等混装混运。运输途中应防曝晒、雨淋，防高温。</w:t>
            </w:r>
          </w:p>
        </w:tc>
      </w:tr>
    </w:tbl>
    <w:p>
      <w:pPr>
        <w:pStyle w:val="49"/>
        <w:ind w:firstLine="560" w:firstLineChars="200"/>
        <w:jc w:val="both"/>
        <w:rPr>
          <w:color w:val="auto"/>
          <w:sz w:val="28"/>
          <w:szCs w:val="28"/>
        </w:rPr>
      </w:pPr>
    </w:p>
    <w:p>
      <w:pPr>
        <w:pStyle w:val="49"/>
        <w:numPr>
          <w:ilvl w:val="0"/>
          <w:numId w:val="23"/>
        </w:numPr>
        <w:ind w:left="0" w:firstLine="560" w:firstLineChars="200"/>
        <w:rPr>
          <w:color w:val="auto"/>
          <w:sz w:val="28"/>
          <w:szCs w:val="28"/>
        </w:rPr>
      </w:pPr>
      <w:r>
        <w:rPr>
          <w:rFonts w:hint="eastAsia"/>
          <w:color w:val="auto"/>
          <w:sz w:val="28"/>
          <w:szCs w:val="28"/>
        </w:rPr>
        <w:t>间氯苯甲酸</w:t>
      </w:r>
    </w:p>
    <w:tbl>
      <w:tblPr>
        <w:tblStyle w:val="31"/>
        <w:tblW w:w="5000" w:type="pct"/>
        <w:tblCellSpacing w:w="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Layout w:type="autofit"/>
        <w:tblCellMar>
          <w:top w:w="30" w:type="dxa"/>
          <w:left w:w="30" w:type="dxa"/>
          <w:bottom w:w="30" w:type="dxa"/>
          <w:right w:w="30" w:type="dxa"/>
        </w:tblCellMar>
      </w:tblPr>
      <w:tblGrid>
        <w:gridCol w:w="2421"/>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CAS：</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535-80-8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名称：</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3-氯苯甲酸</w:t>
            </w:r>
          </w:p>
          <w:p>
            <w:pPr>
              <w:spacing w:line="240" w:lineRule="exact"/>
              <w:jc w:val="left"/>
              <w:rPr>
                <w:rFonts w:ascii="宋体" w:hAnsi="宋体"/>
                <w:color w:val="auto"/>
              </w:rPr>
            </w:pPr>
            <w:r>
              <w:rPr>
                <w:rFonts w:ascii="宋体" w:hAnsi="宋体"/>
                <w:color w:val="auto"/>
              </w:rPr>
              <w:t>间氯苯甲酸</w:t>
            </w:r>
          </w:p>
          <w:p>
            <w:pPr>
              <w:spacing w:line="240" w:lineRule="exact"/>
              <w:jc w:val="left"/>
              <w:rPr>
                <w:rFonts w:ascii="宋体" w:hAnsi="宋体"/>
                <w:color w:val="auto"/>
              </w:rPr>
            </w:pPr>
            <w:r>
              <w:rPr>
                <w:rFonts w:ascii="宋体" w:hAnsi="宋体"/>
                <w:color w:val="auto"/>
              </w:rPr>
              <w:t>m-chlorobenzoic acid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分子式：</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C7H5ClO2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分子量：</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156.57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有害物成分：</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间氯苯甲酸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健康危害：</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本品对眼睛、皮肤、粘膜和上呼吸道有刺激作用。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环境危害：</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对环境有危害，对水体和大气可造成污染。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燃爆危险：</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本品可燃，具刺激性。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皮肤接触：</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脱去污染的衣着，用流动清水冲洗。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眼睛接触：</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吸入：</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脱离现场至空气新鲜处。如呼吸困难，给输氧。就医。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食入：</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危险特性：</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遇明火、高热可燃。受高热分解，放出腐蚀性、刺激性的烟雾。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有害燃烧产物：</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一氧化碳、二氧化碳、氯化氢。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灭火方法：</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消防人员须佩戴防毒面具、穿全身消防服，在上风向灭火。灭火剂：雾状水、泡沫、干粉、二氧化碳、砂土。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应急处理：</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隔离泄漏污染区，限制出入。切断火源。建议应急处理人员戴防尘面具（全面罩），穿防毒服。避免扬尘，小心扫起，置于袋中转移至安全场所。若大量泄漏，用塑料布、帆布覆盖。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操作注意事项：</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密闭操作，局部排风。操作人员必须经过专门培训，严格遵守操作规程。建议操作人员佩戴自吸过滤式防尘口罩，戴化学安全防护眼镜，穿防毒物渗透工作服，戴橡胶手套。远离火种、热源，工作场所严禁吸烟。使用防爆型的通风系统和设备。避免产生粉尘。避免与氧化剂、酸类、碱类接触。搬运时要轻装轻卸，防止包装及容器损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储存注意事项：</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储存于阴凉、通风的库房。远离火种、热源。应与氧化剂、酸类、碱类分开存放，切忌混储。配备相应品种和数量的消防器材。储区应备有合适的材料收容泄漏物。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TLVTN：</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未制订标准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TLVWN：</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未制订标准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工程控制：</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密闭操作，局部排风。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呼吸系统防护：</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空气中粉尘浓度超标时，必须佩戴自吸过滤式防尘口罩。紧急事态抢救或撤离时，应该佩戴空气呼吸器。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眼睛防护：</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身体防护：</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手防护：</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其他防护：</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工作完毕，淋浴更衣。注意个人清洁卫生。定期体检。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主要成分：</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外观与性状：</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白色粉末。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熔点(℃)：</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相对密度(水=1)：</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1.50(25℃)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溶解性：</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不溶于水，溶于甲醇、乙醚。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主要用途：</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用于有机合成和用作染料中间体。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禁配物：</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强氧化剂、强酸、强碱。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急性毒性：</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LD50：&gt;500 mg/kg(兔经皮)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其它有害作用：</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该物质对环境有危害，对水体和大气可造成污染，有机酸易在大气化学和大气物理变化中形成酸雨。因而当PH值降到 5以下时，会给动、植物造成严重危害，鱼的繁殖和发育会受到严重影响，流域土壤和水体底泥中的金属可被溶解进入水中毒害鱼类。水体酸化还会导致水生生物的组成结构发生变化，耐酸的藻类、真菌增多，而有根植物、细菌和脊椎动物减少，有机物的分解率降低。酸化后会严重导致湖泊、河流中鱼类减少或死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废弃处置方法：</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处置前应参阅国家和地方有关法规。建议用焚烧法处置。与燃料混合后，再焚烧。焚烧炉排出的卤化氢通过酸洗涤器除去。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包装类别：</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Z01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包装方法：</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DDEE"/>
          <w:tblCellMar>
            <w:top w:w="30" w:type="dxa"/>
            <w:left w:w="30" w:type="dxa"/>
            <w:bottom w:w="30" w:type="dxa"/>
            <w:right w:w="30" w:type="dxa"/>
          </w:tblCellMar>
        </w:tblPrEx>
        <w:trPr>
          <w:tblCellSpacing w:w="7" w:type="dxa"/>
        </w:trPr>
        <w:tc>
          <w:tcPr>
            <w:tcW w:w="2400" w:type="dxa"/>
            <w:shd w:val="clear" w:color="auto" w:fill="FFFFFF"/>
            <w:tcMar>
              <w:top w:w="75" w:type="dxa"/>
              <w:left w:w="0" w:type="dxa"/>
              <w:bottom w:w="75" w:type="dxa"/>
              <w:right w:w="0" w:type="dxa"/>
            </w:tcMar>
          </w:tcPr>
          <w:p>
            <w:pPr>
              <w:spacing w:line="240" w:lineRule="exact"/>
              <w:jc w:val="right"/>
              <w:rPr>
                <w:rFonts w:ascii="宋体" w:hAnsi="宋体"/>
                <w:color w:val="auto"/>
              </w:rPr>
            </w:pPr>
            <w:r>
              <w:rPr>
                <w:rFonts w:ascii="宋体" w:hAnsi="宋体"/>
                <w:color w:val="auto"/>
              </w:rPr>
              <w:t>运输注意事项：</w:t>
            </w:r>
          </w:p>
        </w:tc>
        <w:tc>
          <w:tcPr>
            <w:tcW w:w="0" w:type="auto"/>
            <w:shd w:val="clear" w:color="auto" w:fill="FFFFFF"/>
            <w:tcMar>
              <w:top w:w="75" w:type="dxa"/>
              <w:left w:w="150" w:type="dxa"/>
              <w:bottom w:w="75" w:type="dxa"/>
              <w:right w:w="75" w:type="dxa"/>
            </w:tcMar>
            <w:vAlign w:val="center"/>
          </w:tcPr>
          <w:p>
            <w:pPr>
              <w:spacing w:line="240" w:lineRule="exact"/>
              <w:jc w:val="left"/>
              <w:rPr>
                <w:rFonts w:ascii="宋体" w:hAnsi="宋体"/>
                <w:color w:val="auto"/>
              </w:rPr>
            </w:pPr>
            <w:r>
              <w:rPr>
                <w:rFonts w:ascii="宋体" w:hAnsi="宋体"/>
                <w:color w:val="auto"/>
              </w:rPr>
              <w:t>起运时包装要完整，装载应稳妥。运输过程中要确保容器不泄漏、不倒塌、不坠落、不损坏。严禁与氧化剂、酸类、碱类、食用化学品等混装混运。运输途中应防曝晒、雨淋，防高温。车辆运输完毕应进行彻底清扫。</w:t>
            </w:r>
          </w:p>
        </w:tc>
      </w:tr>
    </w:tbl>
    <w:p>
      <w:pPr>
        <w:pStyle w:val="49"/>
        <w:numPr>
          <w:ilvl w:val="0"/>
          <w:numId w:val="23"/>
        </w:numPr>
        <w:ind w:left="0" w:firstLine="560" w:firstLineChars="200"/>
        <w:rPr>
          <w:color w:val="auto"/>
          <w:sz w:val="28"/>
          <w:szCs w:val="28"/>
        </w:rPr>
      </w:pPr>
      <w:r>
        <w:rPr>
          <w:rFonts w:hint="eastAsia"/>
          <w:color w:val="auto"/>
          <w:sz w:val="28"/>
          <w:szCs w:val="28"/>
        </w:rPr>
        <w:t>柴油</w:t>
      </w:r>
    </w:p>
    <w:tbl>
      <w:tblPr>
        <w:tblStyle w:val="31"/>
        <w:tblW w:w="8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1921"/>
        <w:gridCol w:w="1410"/>
        <w:gridCol w:w="1410"/>
        <w:gridCol w:w="1553"/>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品名</w:t>
            </w:r>
          </w:p>
        </w:tc>
        <w:tc>
          <w:tcPr>
            <w:tcW w:w="1921"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color w:val="auto"/>
                <w:kern w:val="0"/>
              </w:rPr>
            </w:pPr>
            <w:r>
              <w:rPr>
                <w:rFonts w:ascii="宋体" w:hAnsi="宋体"/>
                <w:color w:val="auto"/>
                <w:kern w:val="0"/>
              </w:rPr>
              <w:t>柴油</w:t>
            </w:r>
          </w:p>
        </w:tc>
        <w:tc>
          <w:tcPr>
            <w:tcW w:w="1410"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别名</w:t>
            </w:r>
          </w:p>
        </w:tc>
        <w:tc>
          <w:tcPr>
            <w:tcW w:w="1410"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color w:val="auto"/>
                <w:kern w:val="0"/>
              </w:rPr>
            </w:pPr>
          </w:p>
        </w:tc>
        <w:tc>
          <w:tcPr>
            <w:tcW w:w="1553"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危险货物编号</w:t>
            </w:r>
          </w:p>
        </w:tc>
        <w:tc>
          <w:tcPr>
            <w:tcW w:w="1586"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ind w:firstLine="210" w:firstLineChars="100"/>
              <w:jc w:val="center"/>
              <w:textAlignment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英文名称</w:t>
            </w:r>
          </w:p>
        </w:tc>
        <w:tc>
          <w:tcPr>
            <w:tcW w:w="1921"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ind w:firstLine="315" w:firstLineChars="150"/>
              <w:jc w:val="center"/>
              <w:textAlignment w:val="center"/>
              <w:rPr>
                <w:color w:val="auto"/>
                <w:kern w:val="0"/>
              </w:rPr>
            </w:pPr>
            <w:r>
              <w:rPr>
                <w:color w:val="auto"/>
                <w:kern w:val="0"/>
              </w:rPr>
              <w:t>Diesel oil</w:t>
            </w:r>
          </w:p>
        </w:tc>
        <w:tc>
          <w:tcPr>
            <w:tcW w:w="1410"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分子式</w:t>
            </w:r>
          </w:p>
        </w:tc>
        <w:tc>
          <w:tcPr>
            <w:tcW w:w="1410"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color w:val="auto"/>
                <w:kern w:val="0"/>
              </w:rPr>
            </w:pPr>
          </w:p>
        </w:tc>
        <w:tc>
          <w:tcPr>
            <w:tcW w:w="1553"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分子量</w:t>
            </w:r>
          </w:p>
        </w:tc>
        <w:tc>
          <w:tcPr>
            <w:tcW w:w="1586"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ind w:left="2" w:hanging="2"/>
              <w:jc w:val="center"/>
              <w:textAlignment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理</w:t>
            </w:r>
          </w:p>
          <w:p>
            <w:pPr>
              <w:wordWrap w:val="0"/>
              <w:topLinePunct/>
              <w:adjustRightInd w:val="0"/>
              <w:snapToGrid w:val="0"/>
              <w:jc w:val="center"/>
              <w:textAlignment w:val="center"/>
              <w:rPr>
                <w:b/>
                <w:bCs/>
                <w:color w:val="auto"/>
                <w:kern w:val="0"/>
              </w:rPr>
            </w:pPr>
            <w:r>
              <w:rPr>
                <w:rFonts w:ascii="宋体" w:hAnsi="宋体"/>
                <w:b/>
                <w:bCs/>
                <w:color w:val="auto"/>
                <w:kern w:val="0"/>
              </w:rPr>
              <w:t>化</w:t>
            </w:r>
          </w:p>
          <w:p>
            <w:pPr>
              <w:wordWrap w:val="0"/>
              <w:topLinePunct/>
              <w:adjustRightInd w:val="0"/>
              <w:snapToGrid w:val="0"/>
              <w:jc w:val="center"/>
              <w:textAlignment w:val="center"/>
              <w:rPr>
                <w:b/>
                <w:bCs/>
                <w:color w:val="auto"/>
                <w:kern w:val="0"/>
              </w:rPr>
            </w:pPr>
            <w:r>
              <w:rPr>
                <w:rFonts w:ascii="宋体" w:hAnsi="宋体"/>
                <w:b/>
                <w:bCs/>
                <w:color w:val="auto"/>
                <w:kern w:val="0"/>
              </w:rPr>
              <w:t>性</w:t>
            </w:r>
          </w:p>
          <w:p>
            <w:pPr>
              <w:wordWrap w:val="0"/>
              <w:topLinePunct/>
              <w:adjustRightInd w:val="0"/>
              <w:snapToGrid w:val="0"/>
              <w:jc w:val="center"/>
              <w:textAlignment w:val="center"/>
              <w:rPr>
                <w:b/>
                <w:bCs/>
                <w:color w:val="auto"/>
                <w:kern w:val="0"/>
              </w:rPr>
            </w:pPr>
            <w:r>
              <w:rPr>
                <w:rFonts w:ascii="宋体" w:hAnsi="宋体"/>
                <w:b/>
                <w:bCs/>
                <w:color w:val="auto"/>
                <w:kern w:val="0"/>
              </w:rPr>
              <w:t>质</w:t>
            </w:r>
          </w:p>
        </w:tc>
        <w:tc>
          <w:tcPr>
            <w:tcW w:w="7880" w:type="dxa"/>
            <w:gridSpan w:val="5"/>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textAlignment w:val="center"/>
              <w:rPr>
                <w:color w:val="auto"/>
              </w:rPr>
            </w:pPr>
            <w:r>
              <w:rPr>
                <w:color w:val="auto"/>
              </w:rPr>
              <w:t>外观与性状：稍有粘性的棕色液体。</w:t>
            </w:r>
          </w:p>
          <w:p>
            <w:pPr>
              <w:wordWrap w:val="0"/>
              <w:topLinePunct/>
              <w:adjustRightInd w:val="0"/>
              <w:snapToGrid w:val="0"/>
              <w:textAlignment w:val="center"/>
              <w:rPr>
                <w:color w:val="auto"/>
              </w:rPr>
            </w:pPr>
            <w:r>
              <w:rPr>
                <w:color w:val="auto"/>
              </w:rPr>
              <w:t>熔点（℃）：&lt;-18</w:t>
            </w:r>
          </w:p>
          <w:p>
            <w:pPr>
              <w:wordWrap w:val="0"/>
              <w:topLinePunct/>
              <w:adjustRightInd w:val="0"/>
              <w:snapToGrid w:val="0"/>
              <w:textAlignment w:val="center"/>
              <w:rPr>
                <w:color w:val="auto"/>
              </w:rPr>
            </w:pPr>
            <w:r>
              <w:rPr>
                <w:color w:val="auto"/>
              </w:rPr>
              <w:t>沸点（℃）：282-338</w:t>
            </w:r>
          </w:p>
          <w:p>
            <w:pPr>
              <w:wordWrap w:val="0"/>
              <w:topLinePunct/>
              <w:adjustRightInd w:val="0"/>
              <w:snapToGrid w:val="0"/>
              <w:textAlignment w:val="center"/>
              <w:rPr>
                <w:color w:val="auto"/>
              </w:rPr>
            </w:pPr>
            <w:r>
              <w:rPr>
                <w:color w:val="auto"/>
              </w:rPr>
              <w:t>相对密度（水＝1）：0.8-0.9</w:t>
            </w:r>
          </w:p>
          <w:p>
            <w:pPr>
              <w:wordWrap w:val="0"/>
              <w:topLinePunct/>
              <w:adjustRightInd w:val="0"/>
              <w:snapToGrid w:val="0"/>
              <w:textAlignment w:val="center"/>
              <w:rPr>
                <w:color w:val="auto"/>
              </w:rPr>
            </w:pPr>
            <w:r>
              <w:rPr>
                <w:color w:val="auto"/>
              </w:rPr>
              <w:t>相对密度（空气＝1）：</w:t>
            </w:r>
          </w:p>
          <w:p>
            <w:pPr>
              <w:wordWrap w:val="0"/>
              <w:topLinePunct/>
              <w:adjustRightInd w:val="0"/>
              <w:snapToGrid w:val="0"/>
              <w:textAlignment w:val="center"/>
              <w:rPr>
                <w:color w:val="auto"/>
              </w:rPr>
            </w:pPr>
            <w:r>
              <w:rPr>
                <w:color w:val="auto"/>
              </w:rPr>
              <w:t>饱和蒸气压（kPa）：无资料</w:t>
            </w:r>
          </w:p>
          <w:p>
            <w:pPr>
              <w:wordWrap w:val="0"/>
              <w:topLinePunct/>
              <w:adjustRightInd w:val="0"/>
              <w:snapToGrid w:val="0"/>
              <w:textAlignment w:val="center"/>
              <w:rPr>
                <w:color w:val="auto"/>
              </w:rPr>
            </w:pPr>
            <w:r>
              <w:rPr>
                <w:color w:val="auto"/>
              </w:rPr>
              <w:t xml:space="preserve">燃烧热（Kj/mol）：无资料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燃烧</w:t>
            </w:r>
          </w:p>
          <w:p>
            <w:pPr>
              <w:wordWrap w:val="0"/>
              <w:topLinePunct/>
              <w:adjustRightInd w:val="0"/>
              <w:snapToGrid w:val="0"/>
              <w:jc w:val="center"/>
              <w:textAlignment w:val="center"/>
              <w:rPr>
                <w:b/>
                <w:bCs/>
                <w:color w:val="auto"/>
                <w:kern w:val="0"/>
              </w:rPr>
            </w:pPr>
            <w:r>
              <w:rPr>
                <w:rFonts w:ascii="宋体" w:hAnsi="宋体"/>
                <w:b/>
                <w:bCs/>
                <w:color w:val="auto"/>
                <w:kern w:val="0"/>
              </w:rPr>
              <w:t>爆炸</w:t>
            </w:r>
          </w:p>
          <w:p>
            <w:pPr>
              <w:wordWrap w:val="0"/>
              <w:topLinePunct/>
              <w:adjustRightInd w:val="0"/>
              <w:snapToGrid w:val="0"/>
              <w:jc w:val="center"/>
              <w:textAlignment w:val="center"/>
              <w:rPr>
                <w:b/>
                <w:bCs/>
                <w:color w:val="auto"/>
                <w:kern w:val="0"/>
              </w:rPr>
            </w:pPr>
            <w:r>
              <w:rPr>
                <w:rFonts w:ascii="宋体" w:hAnsi="宋体"/>
                <w:b/>
                <w:bCs/>
                <w:color w:val="auto"/>
                <w:kern w:val="0"/>
              </w:rPr>
              <w:t>危险</w:t>
            </w:r>
          </w:p>
          <w:p>
            <w:pPr>
              <w:wordWrap w:val="0"/>
              <w:topLinePunct/>
              <w:adjustRightInd w:val="0"/>
              <w:snapToGrid w:val="0"/>
              <w:jc w:val="center"/>
              <w:textAlignment w:val="center"/>
              <w:rPr>
                <w:b/>
                <w:bCs/>
                <w:color w:val="auto"/>
                <w:kern w:val="0"/>
              </w:rPr>
            </w:pPr>
            <w:r>
              <w:rPr>
                <w:rFonts w:ascii="宋体" w:hAnsi="宋体"/>
                <w:b/>
                <w:bCs/>
                <w:color w:val="auto"/>
                <w:kern w:val="0"/>
              </w:rPr>
              <w:t>性</w:t>
            </w:r>
          </w:p>
        </w:tc>
        <w:tc>
          <w:tcPr>
            <w:tcW w:w="7880" w:type="dxa"/>
            <w:gridSpan w:val="5"/>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textAlignment w:val="center"/>
              <w:rPr>
                <w:color w:val="auto"/>
              </w:rPr>
            </w:pPr>
            <w:r>
              <w:rPr>
                <w:color w:val="auto"/>
              </w:rPr>
              <w:t>燃烧性：可燃</w:t>
            </w:r>
          </w:p>
          <w:p>
            <w:pPr>
              <w:wordWrap w:val="0"/>
              <w:topLinePunct/>
              <w:adjustRightInd w:val="0"/>
              <w:snapToGrid w:val="0"/>
              <w:textAlignment w:val="center"/>
              <w:rPr>
                <w:color w:val="auto"/>
              </w:rPr>
            </w:pPr>
            <w:r>
              <w:rPr>
                <w:color w:val="auto"/>
              </w:rPr>
              <w:t>建规火险等级：丙类</w:t>
            </w:r>
          </w:p>
          <w:p>
            <w:pPr>
              <w:wordWrap w:val="0"/>
              <w:topLinePunct/>
              <w:adjustRightInd w:val="0"/>
              <w:snapToGrid w:val="0"/>
              <w:textAlignment w:val="center"/>
              <w:rPr>
                <w:color w:val="auto"/>
              </w:rPr>
            </w:pPr>
            <w:r>
              <w:rPr>
                <w:color w:val="auto"/>
              </w:rPr>
              <w:t>闪点：</w:t>
            </w:r>
            <w:r>
              <w:rPr>
                <w:rFonts w:hint="eastAsia"/>
                <w:color w:val="auto"/>
              </w:rPr>
              <w:t>≥</w:t>
            </w:r>
            <w:r>
              <w:rPr>
                <w:color w:val="auto"/>
              </w:rPr>
              <w:t>60℃</w:t>
            </w:r>
          </w:p>
          <w:p>
            <w:pPr>
              <w:wordWrap w:val="0"/>
              <w:topLinePunct/>
              <w:adjustRightInd w:val="0"/>
              <w:snapToGrid w:val="0"/>
              <w:textAlignment w:val="center"/>
              <w:rPr>
                <w:color w:val="auto"/>
              </w:rPr>
            </w:pPr>
            <w:r>
              <w:rPr>
                <w:color w:val="auto"/>
              </w:rPr>
              <w:t>爆炸下限（V%）：无资料</w:t>
            </w:r>
          </w:p>
          <w:p>
            <w:pPr>
              <w:wordWrap w:val="0"/>
              <w:topLinePunct/>
              <w:adjustRightInd w:val="0"/>
              <w:snapToGrid w:val="0"/>
              <w:textAlignment w:val="center"/>
              <w:rPr>
                <w:color w:val="auto"/>
              </w:rPr>
            </w:pPr>
            <w:r>
              <w:rPr>
                <w:color w:val="auto"/>
              </w:rPr>
              <w:t>自燃温度：257℃</w:t>
            </w:r>
          </w:p>
          <w:p>
            <w:pPr>
              <w:wordWrap w:val="0"/>
              <w:topLinePunct/>
              <w:adjustRightInd w:val="0"/>
              <w:snapToGrid w:val="0"/>
              <w:textAlignment w:val="center"/>
              <w:rPr>
                <w:color w:val="auto"/>
              </w:rPr>
            </w:pPr>
            <w:r>
              <w:rPr>
                <w:color w:val="auto"/>
              </w:rPr>
              <w:t>危险特性：遇明火、高热或与氧化剂接触，有引起燃烧爆炸的危险。若遇高热，容器内压增大，有开裂和爆炸的危险。</w:t>
            </w:r>
          </w:p>
          <w:p>
            <w:pPr>
              <w:wordWrap w:val="0"/>
              <w:topLinePunct/>
              <w:adjustRightInd w:val="0"/>
              <w:snapToGrid w:val="0"/>
              <w:textAlignment w:val="center"/>
              <w:rPr>
                <w:color w:val="auto"/>
              </w:rPr>
            </w:pPr>
            <w:r>
              <w:rPr>
                <w:color w:val="auto"/>
              </w:rPr>
              <w:t>稳定性：稳定            聚合危害：无      禁忌物：强氧化剂、卤素。</w:t>
            </w:r>
          </w:p>
          <w:p>
            <w:pPr>
              <w:wordWrap w:val="0"/>
              <w:topLinePunct/>
              <w:adjustRightInd w:val="0"/>
              <w:snapToGrid w:val="0"/>
              <w:textAlignment w:val="center"/>
              <w:rPr>
                <w:color w:val="auto"/>
              </w:rPr>
            </w:pPr>
            <w:r>
              <w:rPr>
                <w:color w:val="auto"/>
              </w:rPr>
              <w:t>灭火方法：泡沫、二氧化碳、干粉、砂土。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毒性</w:t>
            </w:r>
          </w:p>
          <w:p>
            <w:pPr>
              <w:wordWrap w:val="0"/>
              <w:topLinePunct/>
              <w:adjustRightInd w:val="0"/>
              <w:snapToGrid w:val="0"/>
              <w:jc w:val="center"/>
              <w:textAlignment w:val="center"/>
              <w:rPr>
                <w:b/>
                <w:bCs/>
                <w:color w:val="auto"/>
                <w:kern w:val="0"/>
              </w:rPr>
            </w:pPr>
            <w:r>
              <w:rPr>
                <w:rFonts w:ascii="宋体" w:hAnsi="宋体"/>
                <w:b/>
                <w:bCs/>
                <w:color w:val="auto"/>
                <w:kern w:val="0"/>
              </w:rPr>
              <w:t>及</w:t>
            </w:r>
          </w:p>
          <w:p>
            <w:pPr>
              <w:wordWrap w:val="0"/>
              <w:topLinePunct/>
              <w:adjustRightInd w:val="0"/>
              <w:snapToGrid w:val="0"/>
              <w:jc w:val="center"/>
              <w:textAlignment w:val="center"/>
              <w:rPr>
                <w:b/>
                <w:bCs/>
                <w:color w:val="auto"/>
                <w:kern w:val="0"/>
              </w:rPr>
            </w:pPr>
            <w:r>
              <w:rPr>
                <w:rFonts w:ascii="宋体" w:hAnsi="宋体"/>
                <w:b/>
                <w:bCs/>
                <w:color w:val="auto"/>
                <w:kern w:val="0"/>
              </w:rPr>
              <w:t>健康</w:t>
            </w:r>
          </w:p>
          <w:p>
            <w:pPr>
              <w:wordWrap w:val="0"/>
              <w:topLinePunct/>
              <w:adjustRightInd w:val="0"/>
              <w:snapToGrid w:val="0"/>
              <w:jc w:val="center"/>
              <w:textAlignment w:val="center"/>
              <w:rPr>
                <w:b/>
                <w:bCs/>
                <w:color w:val="auto"/>
                <w:kern w:val="0"/>
              </w:rPr>
            </w:pPr>
            <w:r>
              <w:rPr>
                <w:rFonts w:ascii="宋体" w:hAnsi="宋体"/>
                <w:b/>
                <w:bCs/>
                <w:color w:val="auto"/>
                <w:kern w:val="0"/>
              </w:rPr>
              <w:t>危害</w:t>
            </w:r>
          </w:p>
          <w:p>
            <w:pPr>
              <w:wordWrap w:val="0"/>
              <w:topLinePunct/>
              <w:adjustRightInd w:val="0"/>
              <w:snapToGrid w:val="0"/>
              <w:jc w:val="center"/>
              <w:textAlignment w:val="center"/>
              <w:rPr>
                <w:b/>
                <w:bCs/>
                <w:color w:val="auto"/>
                <w:kern w:val="0"/>
              </w:rPr>
            </w:pPr>
            <w:r>
              <w:rPr>
                <w:rFonts w:ascii="宋体" w:hAnsi="宋体"/>
                <w:b/>
                <w:bCs/>
                <w:color w:val="auto"/>
                <w:kern w:val="0"/>
              </w:rPr>
              <w:t>性</w:t>
            </w:r>
          </w:p>
        </w:tc>
        <w:tc>
          <w:tcPr>
            <w:tcW w:w="7880" w:type="dxa"/>
            <w:gridSpan w:val="5"/>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textAlignment w:val="center"/>
              <w:rPr>
                <w:color w:val="auto"/>
              </w:rPr>
            </w:pPr>
            <w:r>
              <w:rPr>
                <w:color w:val="auto"/>
              </w:rPr>
              <w:t>接触限值：中国MAC：未制定标准。</w:t>
            </w:r>
          </w:p>
          <w:p>
            <w:pPr>
              <w:wordWrap w:val="0"/>
              <w:topLinePunct/>
              <w:adjustRightInd w:val="0"/>
              <w:snapToGrid w:val="0"/>
              <w:textAlignment w:val="center"/>
              <w:rPr>
                <w:color w:val="auto"/>
              </w:rPr>
            </w:pPr>
            <w:r>
              <w:rPr>
                <w:color w:val="auto"/>
              </w:rPr>
              <w:t>侵入途径：吸入，食入，经皮吸收。</w:t>
            </w:r>
          </w:p>
          <w:p>
            <w:pPr>
              <w:wordWrap w:val="0"/>
              <w:topLinePunct/>
              <w:adjustRightInd w:val="0"/>
              <w:snapToGrid w:val="0"/>
              <w:textAlignment w:val="center"/>
              <w:rPr>
                <w:color w:val="auto"/>
              </w:rPr>
            </w:pPr>
            <w:r>
              <w:rPr>
                <w:color w:val="auto"/>
              </w:rPr>
              <w:t>健康危害：具有刺激作用。皮肤接触柴油可引起接触性皮炎，油性痤疮，吸入可引起性肺炎。能经胎盘进入胎儿血中。柴油废气可引起眼、鼻刺激症状，头晕及头痛。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急救</w:t>
            </w:r>
          </w:p>
        </w:tc>
        <w:tc>
          <w:tcPr>
            <w:tcW w:w="7880" w:type="dxa"/>
            <w:gridSpan w:val="5"/>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textAlignment w:val="center"/>
              <w:rPr>
                <w:color w:val="auto"/>
              </w:rPr>
            </w:pPr>
            <w:r>
              <w:rPr>
                <w:color w:val="auto"/>
              </w:rPr>
              <w:t>吸入：迅速脱离污染区，就医。防治吸入性肺炎。</w:t>
            </w:r>
          </w:p>
          <w:p>
            <w:pPr>
              <w:wordWrap w:val="0"/>
              <w:topLinePunct/>
              <w:adjustRightInd w:val="0"/>
              <w:snapToGrid w:val="0"/>
              <w:textAlignment w:val="center"/>
              <w:rPr>
                <w:color w:val="auto"/>
              </w:rPr>
            </w:pPr>
            <w:r>
              <w:rPr>
                <w:color w:val="auto"/>
              </w:rPr>
              <w:t>食入：误服者饮牛奶或植物油，洗胃或灌肠，就医。</w:t>
            </w:r>
            <w:r>
              <w:rPr>
                <w:color w:val="auto"/>
              </w:rPr>
              <w:tab/>
            </w:r>
            <w:r>
              <w:rPr>
                <w:color w:val="auto"/>
              </w:rPr>
              <w:tab/>
            </w:r>
          </w:p>
          <w:p>
            <w:pPr>
              <w:wordWrap w:val="0"/>
              <w:topLinePunct/>
              <w:adjustRightInd w:val="0"/>
              <w:snapToGrid w:val="0"/>
              <w:textAlignment w:val="center"/>
              <w:rPr>
                <w:color w:val="auto"/>
              </w:rPr>
            </w:pPr>
            <w:r>
              <w:rPr>
                <w:color w:val="auto"/>
              </w:rPr>
              <w:t>眼睛接触：立即提起眼睑，用流动清水或生理盐水冲洗至少15分钟，就医。</w:t>
            </w:r>
          </w:p>
          <w:p>
            <w:pPr>
              <w:wordWrap w:val="0"/>
              <w:topLinePunct/>
              <w:adjustRightInd w:val="0"/>
              <w:snapToGrid w:val="0"/>
              <w:textAlignment w:val="center"/>
              <w:rPr>
                <w:color w:val="auto"/>
              </w:rPr>
            </w:pPr>
            <w:r>
              <w:rPr>
                <w:color w:val="auto"/>
              </w:rPr>
              <w:t>皮肤接触：脱去污染的衣着，用肥皂和大量清水清洗污染皮肤。</w:t>
            </w:r>
            <w:r>
              <w:rPr>
                <w:color w:val="auto"/>
              </w:rPr>
              <w:tab/>
            </w:r>
          </w:p>
          <w:p>
            <w:pPr>
              <w:wordWrap w:val="0"/>
              <w:topLinePunct/>
              <w:adjustRightInd w:val="0"/>
              <w:snapToGrid w:val="0"/>
              <w:textAlignment w:val="center"/>
              <w:rPr>
                <w:color w:val="auto"/>
              </w:rPr>
            </w:pPr>
            <w:r>
              <w:rPr>
                <w:color w:val="auto"/>
              </w:rPr>
              <w:t>生产过程密闭，注意通风。高浓度接触时，戴防毒面具，工作场所禁止吸烟必要时戴防护眼镜，穿相应的工作服，戴防护手套。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1057" w:type="dxa"/>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jc w:val="center"/>
              <w:textAlignment w:val="center"/>
              <w:rPr>
                <w:b/>
                <w:bCs/>
                <w:color w:val="auto"/>
                <w:kern w:val="0"/>
              </w:rPr>
            </w:pPr>
            <w:r>
              <w:rPr>
                <w:rFonts w:ascii="宋体" w:hAnsi="宋体"/>
                <w:b/>
                <w:bCs/>
                <w:color w:val="auto"/>
                <w:kern w:val="0"/>
              </w:rPr>
              <w:t>泄漏</w:t>
            </w:r>
          </w:p>
          <w:p>
            <w:pPr>
              <w:wordWrap w:val="0"/>
              <w:topLinePunct/>
              <w:adjustRightInd w:val="0"/>
              <w:snapToGrid w:val="0"/>
              <w:jc w:val="center"/>
              <w:textAlignment w:val="center"/>
              <w:rPr>
                <w:b/>
                <w:bCs/>
                <w:color w:val="auto"/>
                <w:kern w:val="0"/>
              </w:rPr>
            </w:pPr>
            <w:r>
              <w:rPr>
                <w:rFonts w:ascii="宋体" w:hAnsi="宋体"/>
                <w:b/>
                <w:bCs/>
                <w:color w:val="auto"/>
                <w:kern w:val="0"/>
              </w:rPr>
              <w:t>处置</w:t>
            </w:r>
          </w:p>
        </w:tc>
        <w:tc>
          <w:tcPr>
            <w:tcW w:w="7880" w:type="dxa"/>
            <w:gridSpan w:val="5"/>
            <w:tcBorders>
              <w:top w:val="single" w:color="auto" w:sz="4" w:space="0"/>
              <w:left w:val="single" w:color="auto" w:sz="4" w:space="0"/>
              <w:bottom w:val="single" w:color="auto" w:sz="4" w:space="0"/>
              <w:right w:val="single" w:color="auto" w:sz="4" w:space="0"/>
            </w:tcBorders>
            <w:vAlign w:val="center"/>
          </w:tcPr>
          <w:p>
            <w:pPr>
              <w:wordWrap w:val="0"/>
              <w:topLinePunct/>
              <w:adjustRightInd w:val="0"/>
              <w:snapToGrid w:val="0"/>
              <w:textAlignment w:val="center"/>
              <w:rPr>
                <w:color w:val="auto"/>
              </w:rPr>
            </w:pPr>
            <w:r>
              <w:rPr>
                <w:color w:val="auto"/>
              </w:rPr>
              <w:t>切断一切火源，迅速撤离污染区人员至上风处。使用防毒面具，穿防静电工作服。在确保安全的前提下堵漏。用砂土或其它不燃性吸附剂混合吸收，然后收集至废物处理。</w:t>
            </w:r>
          </w:p>
        </w:tc>
      </w:tr>
    </w:tbl>
    <w:p>
      <w:pPr>
        <w:pStyle w:val="49"/>
        <w:numPr>
          <w:ilvl w:val="0"/>
          <w:numId w:val="23"/>
        </w:numPr>
        <w:rPr>
          <w:color w:val="auto"/>
          <w:sz w:val="28"/>
          <w:szCs w:val="28"/>
        </w:rPr>
      </w:pPr>
      <w:r>
        <w:rPr>
          <w:rFonts w:hint="eastAsia"/>
          <w:color w:val="auto"/>
          <w:sz w:val="28"/>
          <w:szCs w:val="28"/>
        </w:rPr>
        <w:t>硫酸钠</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6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分子式：</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Na2SO4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分子量：</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142.04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有害物成分：</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硫酸钠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健康危害：</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对眼睛和皮肤有刺激作用。基本无毒。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环境危害：</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对环境有危害，对大气可造成污染。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燃爆危险：</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本品不燃，具刺激性。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皮肤接触：</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脱去污染的衣着，用大量流动清水冲洗。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眼睛接触：</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吸入：</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脱离现场至空气新鲜处。如呼吸困难，给输氧。就医。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食入：</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危险特性：</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未有特殊的燃烧爆炸特性。受高热分解产生有毒的硫化物烟气。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有害燃烧产物：</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灭火方法：</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消防人员必须穿全身防火防毒服，在上风向灭火。灭火时尽可能将容器从火场移至空旷处。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应急处理：</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隔离泄漏污染区，限制出入。建议应急处理人员戴防尘面具（全面罩），穿防毒服。避免扬尘，小心扫起，置于袋中转移至安全场所。若大量泄漏，用塑料布、帆布覆盖。收集回收或运至废物处理场所处置。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操作注意事项：</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密闭操作，加强通风。操作人员必须经过专门培训，严格遵守操作规程。建议操作人员佩戴自吸过滤式防尘口罩，戴化学安全防护眼镜，穿防毒物渗透工作服，戴橡胶手套。避免产生粉尘。避免与酸类接触。搬运时轻装轻卸，防止包装破损。配备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储存注意事项：</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储存于阴凉、通风的库房。远离火种、热源。应与酸类等分开存放，切忌混储。储区应备有合适的材料收容泄漏物。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前苏联MAC(mg/m3)：</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工程控制：</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生产过程密闭，加强通风。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呼吸系统防护：</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空气中粉尘浓度超标时，必须佩戴自吸过滤式防尘口罩。紧急事态抢救或撤离时，应该佩戴空气呼吸器。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眼睛防护：</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身体防护：</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穿防毒物渗透工作服。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手防护：</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戴橡胶手套。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其他防护：</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及时换洗工作服。保持良好的卫生习惯。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主要成分：</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纯品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外观与性状：</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白色、无臭、有苦味的结晶或粉末, 有吸湿性。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熔点(℃)：</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相对密度(水=1)：</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燃烧热(kJ/mol)：</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临界温度(℃)：</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临界压力(MPa)：</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闪点(℃)：</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引燃温度(℃)：</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爆炸上限%(V/V)：</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爆炸下限%(V/V)：</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溶解性：</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不溶于乙醇，溶于水，溶于甘油。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主要用途：</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用于制水玻璃、玻璃、瓷釉、纸浆、致冷混合剂、洗涤剂、干燥剂、染料稀释剂、分析化学试剂、医药品等。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禁配物：</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强酸、铝、镁。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急性毒性：</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LD50：5989 mg/kg(小鼠经口) LC50：无资料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其它有害作用：</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该物质对环境有危害，应特别注意对大气的污染。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废弃处置方法：</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处置前应参阅国家和地方有关法规。中和后，用安全掩埋法处置。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包装类别：</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Z01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包装方法：</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0" w:type="dxa"/>
          </w:tcPr>
          <w:p>
            <w:pPr>
              <w:widowControl/>
              <w:spacing w:line="280" w:lineRule="exact"/>
              <w:jc w:val="right"/>
              <w:rPr>
                <w:rFonts w:ascii="微软雅黑" w:hAnsi="微软雅黑" w:eastAsia="微软雅黑" w:cs="宋体"/>
                <w:color w:val="auto"/>
                <w:kern w:val="0"/>
              </w:rPr>
            </w:pPr>
            <w:r>
              <w:rPr>
                <w:rFonts w:hint="eastAsia" w:ascii="微软雅黑" w:hAnsi="微软雅黑" w:eastAsia="微软雅黑" w:cs="宋体"/>
                <w:color w:val="auto"/>
                <w:kern w:val="0"/>
              </w:rPr>
              <w:t>运输注意事项：</w:t>
            </w:r>
          </w:p>
        </w:tc>
        <w:tc>
          <w:tcPr>
            <w:tcW w:w="0" w:type="auto"/>
          </w:tcPr>
          <w:p>
            <w:pPr>
              <w:widowControl/>
              <w:spacing w:line="280" w:lineRule="exact"/>
              <w:jc w:val="left"/>
              <w:rPr>
                <w:rFonts w:ascii="微软雅黑" w:hAnsi="微软雅黑" w:eastAsia="微软雅黑" w:cs="宋体"/>
                <w:color w:val="auto"/>
                <w:kern w:val="0"/>
              </w:rPr>
            </w:pPr>
            <w:r>
              <w:rPr>
                <w:rFonts w:hint="eastAsia" w:ascii="微软雅黑" w:hAnsi="微软雅黑" w:eastAsia="微软雅黑" w:cs="宋体"/>
                <w:color w:val="auto"/>
                <w:kern w:val="0"/>
              </w:rPr>
              <w:t>起运时包装要完整，装载应稳妥。运输过程中要确保容器不泄漏、不倒塌、不坠落、不损坏。严禁与酸类、食用化学品等混装混运。运输途中应防曝晒、雨淋，防高温。车辆运输完毕应进行彻底清扫。</w:t>
            </w:r>
          </w:p>
        </w:tc>
      </w:tr>
    </w:tbl>
    <w:p>
      <w:pPr>
        <w:pStyle w:val="49"/>
        <w:rPr>
          <w:color w:val="auto"/>
          <w:sz w:val="28"/>
          <w:szCs w:val="28"/>
        </w:rPr>
      </w:pPr>
    </w:p>
    <w:p>
      <w:pPr>
        <w:keepNext/>
        <w:pageBreakBefore/>
        <w:widowControl/>
        <w:spacing w:line="360" w:lineRule="auto"/>
        <w:jc w:val="left"/>
        <w:outlineLvl w:val="0"/>
        <w:rPr>
          <w:b/>
          <w:color w:val="auto"/>
          <w:kern w:val="44"/>
          <w:sz w:val="32"/>
          <w:szCs w:val="32"/>
        </w:rPr>
      </w:pPr>
      <w:bookmarkStart w:id="248" w:name="_Toc144109238"/>
      <w:r>
        <w:rPr>
          <w:rFonts w:hint="eastAsia"/>
          <w:b/>
          <w:color w:val="auto"/>
          <w:kern w:val="44"/>
          <w:sz w:val="32"/>
          <w:szCs w:val="32"/>
        </w:rPr>
        <w:t>附录B</w:t>
      </w:r>
      <w:r>
        <w:rPr>
          <w:b/>
          <w:color w:val="auto"/>
          <w:kern w:val="44"/>
          <w:sz w:val="32"/>
          <w:szCs w:val="32"/>
        </w:rPr>
        <w:t>.</w:t>
      </w:r>
      <w:r>
        <w:rPr>
          <w:rFonts w:hint="eastAsia"/>
          <w:b/>
          <w:color w:val="auto"/>
          <w:kern w:val="44"/>
          <w:sz w:val="32"/>
          <w:szCs w:val="32"/>
        </w:rPr>
        <w:t>危险、有害因素的辨识及分析过程</w:t>
      </w:r>
      <w:bookmarkEnd w:id="248"/>
    </w:p>
    <w:p>
      <w:pPr>
        <w:ind w:firstLine="560" w:firstLineChars="200"/>
        <w:rPr>
          <w:rFonts w:ascii="宋体" w:hAnsi="宋体"/>
          <w:color w:val="auto"/>
          <w:sz w:val="28"/>
          <w:szCs w:val="28"/>
        </w:rPr>
      </w:pPr>
      <w:r>
        <w:rPr>
          <w:rFonts w:ascii="宋体" w:hAnsi="宋体"/>
          <w:color w:val="auto"/>
          <w:sz w:val="28"/>
          <w:szCs w:val="28"/>
        </w:rPr>
        <w:t>危险因素是指能对人造成伤亡或对物造成突发性损坏的因素。有害因素是指能影响人的身体健康，导致疾病，或对物造成慢性损坏的因素。危险、有害因素分析是验收评价的重要环节，是验收评价的基础。</w:t>
      </w:r>
    </w:p>
    <w:p>
      <w:pPr>
        <w:keepNext/>
        <w:keepLines/>
        <w:spacing w:line="600" w:lineRule="exact"/>
        <w:jc w:val="left"/>
        <w:outlineLvl w:val="1"/>
        <w:rPr>
          <w:b/>
          <w:color w:val="auto"/>
          <w:sz w:val="30"/>
          <w:szCs w:val="30"/>
        </w:rPr>
      </w:pPr>
      <w:bookmarkStart w:id="249" w:name="_Toc144109239"/>
      <w:r>
        <w:rPr>
          <w:rFonts w:hint="eastAsia"/>
          <w:b/>
          <w:color w:val="auto"/>
          <w:sz w:val="30"/>
          <w:szCs w:val="30"/>
        </w:rPr>
        <w:t>B</w:t>
      </w:r>
      <w:r>
        <w:rPr>
          <w:b/>
          <w:color w:val="auto"/>
          <w:sz w:val="30"/>
          <w:szCs w:val="30"/>
        </w:rPr>
        <w:t xml:space="preserve">.1 </w:t>
      </w:r>
      <w:r>
        <w:rPr>
          <w:rFonts w:hint="eastAsia"/>
          <w:b/>
          <w:color w:val="auto"/>
          <w:sz w:val="30"/>
          <w:szCs w:val="30"/>
        </w:rPr>
        <w:t>危险、有害物质的辨识</w:t>
      </w:r>
      <w:bookmarkEnd w:id="249"/>
    </w:p>
    <w:p>
      <w:pPr>
        <w:keepNext/>
        <w:keepLines/>
        <w:spacing w:line="600" w:lineRule="exact"/>
        <w:jc w:val="left"/>
        <w:outlineLvl w:val="2"/>
        <w:rPr>
          <w:rFonts w:ascii="Calibri" w:hAnsi="Calibri"/>
          <w:b/>
          <w:color w:val="auto"/>
          <w:sz w:val="28"/>
          <w:szCs w:val="32"/>
        </w:rPr>
      </w:pPr>
      <w:bookmarkStart w:id="250" w:name="_Toc144109240"/>
      <w:r>
        <w:rPr>
          <w:rFonts w:hint="eastAsia" w:ascii="Calibri" w:hAnsi="Calibri"/>
          <w:b/>
          <w:color w:val="auto"/>
          <w:sz w:val="28"/>
          <w:szCs w:val="32"/>
        </w:rPr>
        <w:t>B</w:t>
      </w:r>
      <w:r>
        <w:rPr>
          <w:rFonts w:ascii="Calibri" w:hAnsi="Calibri"/>
          <w:b/>
          <w:color w:val="auto"/>
          <w:sz w:val="28"/>
          <w:szCs w:val="32"/>
        </w:rPr>
        <w:t>.1.1</w:t>
      </w:r>
      <w:r>
        <w:rPr>
          <w:rFonts w:hint="eastAsia" w:ascii="Calibri" w:hAnsi="Calibri"/>
          <w:b/>
          <w:color w:val="auto"/>
          <w:sz w:val="28"/>
          <w:szCs w:val="32"/>
        </w:rPr>
        <w:t>辨识依据</w:t>
      </w:r>
      <w:bookmarkEnd w:id="250"/>
    </w:p>
    <w:p>
      <w:pPr>
        <w:pStyle w:val="72"/>
        <w:spacing w:line="360" w:lineRule="auto"/>
        <w:ind w:firstLine="560"/>
        <w:jc w:val="left"/>
        <w:rPr>
          <w:color w:val="auto"/>
        </w:rPr>
      </w:pPr>
      <w:r>
        <w:rPr>
          <w:rFonts w:hint="eastAsia"/>
          <w:color w:val="auto"/>
        </w:rPr>
        <w:t>《危险货物分类和品名编号》（GB6944-2012）</w:t>
      </w:r>
    </w:p>
    <w:p>
      <w:pPr>
        <w:pStyle w:val="72"/>
        <w:spacing w:line="360" w:lineRule="auto"/>
        <w:ind w:firstLine="560"/>
        <w:jc w:val="left"/>
        <w:rPr>
          <w:color w:val="auto"/>
        </w:rPr>
      </w:pPr>
      <w:r>
        <w:rPr>
          <w:rFonts w:hint="eastAsia"/>
          <w:color w:val="auto"/>
        </w:rPr>
        <w:t>《化学品分类和危险性公示 通则》（</w:t>
      </w:r>
      <w:r>
        <w:rPr>
          <w:rFonts w:hint="eastAsia" w:cs="Arial"/>
          <w:color w:val="auto"/>
        </w:rPr>
        <w:t>GB13690-2009）</w:t>
      </w:r>
    </w:p>
    <w:p>
      <w:pPr>
        <w:pStyle w:val="72"/>
        <w:spacing w:line="360" w:lineRule="auto"/>
        <w:ind w:firstLine="560"/>
        <w:jc w:val="left"/>
        <w:rPr>
          <w:color w:val="auto"/>
        </w:rPr>
      </w:pPr>
      <w:r>
        <w:rPr>
          <w:rFonts w:hint="eastAsia"/>
          <w:color w:val="auto"/>
        </w:rPr>
        <w:t>《危险货物品名表》（GB12268-2012）</w:t>
      </w:r>
    </w:p>
    <w:p>
      <w:pPr>
        <w:pStyle w:val="72"/>
        <w:spacing w:line="360" w:lineRule="auto"/>
        <w:ind w:firstLine="560"/>
        <w:jc w:val="left"/>
        <w:rPr>
          <w:color w:val="auto"/>
        </w:rPr>
      </w:pPr>
      <w:r>
        <w:rPr>
          <w:rFonts w:hint="eastAsia"/>
          <w:color w:val="auto"/>
        </w:rPr>
        <w:t>《危险化学品目录》（20</w:t>
      </w:r>
      <w:r>
        <w:rPr>
          <w:color w:val="auto"/>
        </w:rPr>
        <w:t>22</w:t>
      </w:r>
      <w:r>
        <w:rPr>
          <w:rFonts w:hint="eastAsia"/>
          <w:color w:val="auto"/>
        </w:rPr>
        <w:t>版）应急管理部等十部门[</w:t>
      </w:r>
      <w:r>
        <w:rPr>
          <w:color w:val="auto"/>
        </w:rPr>
        <w:t>2022]</w:t>
      </w:r>
      <w:r>
        <w:rPr>
          <w:rFonts w:hint="eastAsia"/>
          <w:color w:val="auto"/>
        </w:rPr>
        <w:t>第</w:t>
      </w:r>
      <w:r>
        <w:rPr>
          <w:color w:val="auto"/>
        </w:rPr>
        <w:t>8</w:t>
      </w:r>
      <w:r>
        <w:rPr>
          <w:rFonts w:hint="eastAsia"/>
          <w:color w:val="auto"/>
        </w:rPr>
        <w:t>号</w:t>
      </w:r>
    </w:p>
    <w:p>
      <w:pPr>
        <w:keepNext/>
        <w:keepLines/>
        <w:spacing w:line="600" w:lineRule="exact"/>
        <w:jc w:val="left"/>
        <w:outlineLvl w:val="2"/>
        <w:rPr>
          <w:rFonts w:ascii="Calibri" w:hAnsi="Calibri"/>
          <w:b/>
          <w:color w:val="auto"/>
          <w:sz w:val="28"/>
          <w:szCs w:val="32"/>
        </w:rPr>
      </w:pPr>
      <w:bookmarkStart w:id="251" w:name="_Toc144109241"/>
      <w:r>
        <w:rPr>
          <w:rFonts w:hint="eastAsia" w:ascii="Calibri" w:hAnsi="Calibri"/>
          <w:b/>
          <w:color w:val="auto"/>
          <w:sz w:val="28"/>
          <w:szCs w:val="32"/>
        </w:rPr>
        <w:t>B</w:t>
      </w:r>
      <w:r>
        <w:rPr>
          <w:rFonts w:ascii="Calibri" w:hAnsi="Calibri"/>
          <w:b/>
          <w:color w:val="auto"/>
          <w:sz w:val="28"/>
          <w:szCs w:val="32"/>
        </w:rPr>
        <w:t>.1.2</w:t>
      </w:r>
      <w:r>
        <w:rPr>
          <w:rFonts w:hint="eastAsia" w:ascii="Calibri" w:hAnsi="Calibri"/>
          <w:b/>
          <w:color w:val="auto"/>
          <w:sz w:val="28"/>
          <w:szCs w:val="32"/>
        </w:rPr>
        <w:t>主要危险物质分析</w:t>
      </w:r>
      <w:bookmarkEnd w:id="251"/>
    </w:p>
    <w:p>
      <w:pPr>
        <w:pStyle w:val="72"/>
        <w:spacing w:line="360" w:lineRule="auto"/>
        <w:ind w:firstLine="560"/>
        <w:rPr>
          <w:color w:val="auto"/>
        </w:rPr>
      </w:pPr>
      <w:r>
        <w:rPr>
          <w:rFonts w:hint="eastAsia"/>
          <w:color w:val="auto"/>
        </w:rPr>
        <w:t>该项目2</w:t>
      </w:r>
      <w:r>
        <w:rPr>
          <w:color w:val="auto"/>
        </w:rPr>
        <w:t>4-</w:t>
      </w:r>
      <w:r>
        <w:rPr>
          <w:rFonts w:hint="eastAsia"/>
          <w:color w:val="auto"/>
        </w:rPr>
        <w:t>表芸苔素内酯生产过程中涉及物料为麦角甾醇、四氢呋喃、三乙胺、甲基磺酰氯、丙酮、碳酸氢钾、四甲基哌啶氧化物、甲苯、次氯酸钠、甲醇、硫酸、液氨、金属锂、氯化铵、对甲苯磺酸、溴化钠、二甲基甲酰胺、乙酸乙酯、叔丁醇、铁氰化钾、碳酸钾、甲基磺酰胺、锇酸钾、奎尼丁、亚硫酸氢钠、二氯甲烷、NaCl、硅胶、三氟乙酸酐、双氧水等。</w:t>
      </w:r>
    </w:p>
    <w:p>
      <w:pPr>
        <w:pStyle w:val="72"/>
        <w:spacing w:line="360" w:lineRule="auto"/>
        <w:ind w:firstLine="560"/>
        <w:rPr>
          <w:color w:val="auto"/>
        </w:rPr>
      </w:pPr>
      <w:r>
        <w:rPr>
          <w:rFonts w:hint="eastAsia"/>
          <w:color w:val="auto"/>
        </w:rPr>
        <w:t>该项目2</w:t>
      </w:r>
      <w:r>
        <w:rPr>
          <w:color w:val="auto"/>
        </w:rPr>
        <w:t>8-</w:t>
      </w:r>
      <w:r>
        <w:rPr>
          <w:rFonts w:hint="eastAsia"/>
          <w:color w:val="auto"/>
        </w:rPr>
        <w:t>高芸苔素内酯生产过程中涉及物料为豆甾醇、甲基磺酰氯、丁酮、三乙胺、NaCl、碳酸氢钾、次氯酸钠、四甲基哌啶氧化物、碳酸氢钠、溴化钠、二甲基甲酰胺、溴化氢、乙酸乙酯、碳酸钾、铁氰化钾、叔丁醇、奎尼丁、甲基磺酰胺、双氧水、二氯甲烷、三氟乙酸酐、石油醚、硅胶、亚硫酸氢钠等。</w:t>
      </w:r>
    </w:p>
    <w:p>
      <w:pPr>
        <w:pStyle w:val="72"/>
        <w:spacing w:line="360" w:lineRule="auto"/>
        <w:ind w:firstLine="560"/>
        <w:rPr>
          <w:color w:val="auto"/>
        </w:rPr>
      </w:pPr>
      <w:r>
        <w:rPr>
          <w:rFonts w:hint="eastAsia"/>
          <w:color w:val="auto"/>
        </w:rPr>
        <w:t>该项目丙酰芸苔素内酯生产过程中涉及物料为豆甾醇、三乙胺、甲基磺酰氯、丁酮、NaCl、碳酸氢钾、次氯酸钠、四甲基哌啶氧化物、碳酸氢钠、溴化钠、二甲基甲酰胺、溴化氢、乙酸乙酯、碳酸钾、N</w:t>
      </w:r>
      <w:r>
        <w:rPr>
          <w:color w:val="auto"/>
        </w:rPr>
        <w:t>-</w:t>
      </w:r>
      <w:r>
        <w:rPr>
          <w:rFonts w:hint="eastAsia"/>
          <w:color w:val="auto"/>
        </w:rPr>
        <w:t>甲基氧化吗啉、叔丁醇、四氢呋喃、亚硫酸钠、丙酸酐、间氯过氧苯甲酸、石油醚、硅胶、亚硫酸氢钠等。</w:t>
      </w:r>
    </w:p>
    <w:p>
      <w:pPr>
        <w:pStyle w:val="72"/>
        <w:spacing w:line="360" w:lineRule="auto"/>
        <w:ind w:firstLine="560"/>
        <w:rPr>
          <w:color w:val="auto"/>
        </w:rPr>
      </w:pPr>
      <w:r>
        <w:rPr>
          <w:rFonts w:hint="eastAsia"/>
          <w:color w:val="auto"/>
        </w:rPr>
        <w:t>芸苔素内酯合成过程中涉及中间产物氢氧化锂、二氧化碳、氯化钠、氨气、氢气、溴化钠、亚铁氰化钾、过氧三氟乙酸、碳酸氢钾、</w:t>
      </w:r>
      <w:r>
        <w:rPr>
          <w:rFonts w:ascii="Times New Roman" w:hAnsi="Times New Roman"/>
          <w:color w:val="auto"/>
        </w:rPr>
        <w:t>N-</w:t>
      </w:r>
      <w:r>
        <w:rPr>
          <w:rFonts w:hint="eastAsia"/>
          <w:color w:val="auto"/>
        </w:rPr>
        <w:t>甲基吗啉、硫酸钾、亚硫酸钾、三氟乙酸、三氟乙酸钾、甲基磺酸、氯化氢、氨基锂、氯化锂、二氧化硫、间氯苯甲酸、硫酸氢钠、硫酸钠等。</w:t>
      </w:r>
    </w:p>
    <w:p>
      <w:pPr>
        <w:pStyle w:val="72"/>
        <w:spacing w:line="360" w:lineRule="auto"/>
        <w:ind w:firstLine="560"/>
        <w:rPr>
          <w:color w:val="auto"/>
        </w:rPr>
      </w:pPr>
      <w:r>
        <w:rPr>
          <w:rFonts w:hint="eastAsia"/>
          <w:color w:val="auto"/>
        </w:rPr>
        <w:t>该项目芸苔素制剂生产过程中涉及物料为2</w:t>
      </w:r>
      <w:r>
        <w:rPr>
          <w:color w:val="auto"/>
        </w:rPr>
        <w:t>4-</w:t>
      </w:r>
      <w:r>
        <w:rPr>
          <w:rFonts w:hint="eastAsia"/>
          <w:color w:val="auto"/>
        </w:rPr>
        <w:t>表芸苔素内酯、2</w:t>
      </w:r>
      <w:r>
        <w:rPr>
          <w:color w:val="auto"/>
        </w:rPr>
        <w:t>8-</w:t>
      </w:r>
      <w:r>
        <w:rPr>
          <w:rFonts w:hint="eastAsia"/>
          <w:color w:val="auto"/>
        </w:rPr>
        <w:t>高芸苔素内酯、丙酰芸苔素内酯、NP</w:t>
      </w:r>
      <w:r>
        <w:rPr>
          <w:color w:val="auto"/>
        </w:rPr>
        <w:t>-10</w:t>
      </w:r>
      <w:r>
        <w:rPr>
          <w:rFonts w:hint="eastAsia"/>
          <w:color w:val="auto"/>
        </w:rPr>
        <w:t>、乙醇、消泡剂、异丙醇、S</w:t>
      </w:r>
      <w:r>
        <w:rPr>
          <w:color w:val="auto"/>
        </w:rPr>
        <w:t>-</w:t>
      </w:r>
      <w:r>
        <w:rPr>
          <w:rFonts w:hint="eastAsia"/>
          <w:color w:val="auto"/>
        </w:rPr>
        <w:t>诱抗素、赤霉酸A</w:t>
      </w:r>
      <w:r>
        <w:rPr>
          <w:color w:val="auto"/>
        </w:rPr>
        <w:t>3</w:t>
      </w:r>
      <w:r>
        <w:rPr>
          <w:rFonts w:hint="eastAsia"/>
          <w:color w:val="auto"/>
        </w:rPr>
        <w:t>、烯效唑、黄原胶、苯甲酸钠、乙二醇、白炭黑、SC</w:t>
      </w:r>
      <w:r>
        <w:rPr>
          <w:color w:val="auto"/>
        </w:rPr>
        <w:t>001</w:t>
      </w:r>
      <w:r>
        <w:rPr>
          <w:rFonts w:hint="eastAsia"/>
          <w:color w:val="auto"/>
        </w:rPr>
        <w:t>、苄氨基嘌呤、三十烷醇、氯吡脲、噻苯隆、环己酮、氨基寡糖素、朗钛LT</w:t>
      </w:r>
      <w:r>
        <w:rPr>
          <w:color w:val="auto"/>
        </w:rPr>
        <w:t>-569</w:t>
      </w:r>
      <w:r>
        <w:rPr>
          <w:rFonts w:hint="eastAsia"/>
          <w:color w:val="auto"/>
        </w:rPr>
        <w:t>、三聚磷酸钠、吲哚丁酸、肥料载体、赤霉素A</w:t>
      </w:r>
      <w:r>
        <w:rPr>
          <w:color w:val="auto"/>
        </w:rPr>
        <w:t>4</w:t>
      </w:r>
      <w:r>
        <w:rPr>
          <w:rFonts w:hint="eastAsia"/>
          <w:color w:val="auto"/>
        </w:rPr>
        <w:t>、氯化胆碱、胺鲜酯等。</w:t>
      </w:r>
    </w:p>
    <w:p>
      <w:pPr>
        <w:pStyle w:val="72"/>
        <w:spacing w:line="360" w:lineRule="auto"/>
        <w:ind w:firstLine="560"/>
        <w:rPr>
          <w:color w:val="auto"/>
        </w:rPr>
      </w:pPr>
      <w:r>
        <w:rPr>
          <w:rFonts w:hint="eastAsia"/>
          <w:color w:val="auto"/>
        </w:rPr>
        <w:t>发电机涉及使用柴油。</w:t>
      </w:r>
    </w:p>
    <w:p>
      <w:pPr>
        <w:keepNext/>
        <w:keepLines/>
        <w:spacing w:line="600" w:lineRule="exact"/>
        <w:jc w:val="left"/>
        <w:outlineLvl w:val="1"/>
        <w:rPr>
          <w:b/>
          <w:color w:val="auto"/>
          <w:sz w:val="30"/>
          <w:szCs w:val="30"/>
        </w:rPr>
      </w:pPr>
      <w:bookmarkStart w:id="252" w:name="_Toc144109242"/>
      <w:r>
        <w:rPr>
          <w:rFonts w:hint="eastAsia"/>
          <w:b/>
          <w:color w:val="auto"/>
          <w:sz w:val="30"/>
          <w:szCs w:val="30"/>
        </w:rPr>
        <w:t>B</w:t>
      </w:r>
      <w:r>
        <w:rPr>
          <w:b/>
          <w:color w:val="auto"/>
          <w:sz w:val="30"/>
          <w:szCs w:val="30"/>
        </w:rPr>
        <w:t xml:space="preserve">.2 </w:t>
      </w:r>
      <w:r>
        <w:rPr>
          <w:rFonts w:hint="eastAsia"/>
          <w:b/>
          <w:color w:val="auto"/>
          <w:sz w:val="30"/>
          <w:szCs w:val="30"/>
        </w:rPr>
        <w:t>危险、有害因素的辨识</w:t>
      </w:r>
      <w:bookmarkEnd w:id="252"/>
    </w:p>
    <w:p>
      <w:pPr>
        <w:keepNext/>
        <w:keepLines/>
        <w:spacing w:line="600" w:lineRule="exact"/>
        <w:jc w:val="left"/>
        <w:outlineLvl w:val="2"/>
        <w:rPr>
          <w:rFonts w:ascii="Calibri" w:hAnsi="Calibri"/>
          <w:b/>
          <w:color w:val="auto"/>
          <w:sz w:val="28"/>
          <w:szCs w:val="32"/>
        </w:rPr>
      </w:pPr>
      <w:bookmarkStart w:id="253" w:name="_Toc144109243"/>
      <w:r>
        <w:rPr>
          <w:rFonts w:hint="eastAsia" w:ascii="Calibri" w:hAnsi="Calibri"/>
          <w:b/>
          <w:color w:val="auto"/>
          <w:sz w:val="28"/>
          <w:szCs w:val="32"/>
        </w:rPr>
        <w:t>B</w:t>
      </w:r>
      <w:r>
        <w:rPr>
          <w:rFonts w:ascii="Calibri" w:hAnsi="Calibri"/>
          <w:b/>
          <w:color w:val="auto"/>
          <w:sz w:val="28"/>
          <w:szCs w:val="32"/>
        </w:rPr>
        <w:t>.2.1</w:t>
      </w:r>
      <w:r>
        <w:rPr>
          <w:rFonts w:hint="eastAsia" w:ascii="Calibri" w:hAnsi="Calibri"/>
          <w:b/>
          <w:color w:val="auto"/>
          <w:sz w:val="28"/>
          <w:szCs w:val="32"/>
        </w:rPr>
        <w:t xml:space="preserve"> 辨识依据及产生原因</w:t>
      </w:r>
      <w:bookmarkEnd w:id="253"/>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1.依据</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危险因素是指能对人造成伤亡或对物造成突发性损坏的因素，有害因素是指能影响人的身体健康，导致疾病，或对物造成慢性损坏的因素。危险、有害因素分析是安全评价的重要环节，也是安全评价的基础。</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对该项目的危险、有害因素进行辨识，依据《生产过程危险和有害因素分类与代码》GB13681-20</w:t>
      </w:r>
      <w:r>
        <w:rPr>
          <w:rFonts w:ascii="宋体" w:hAnsi="宋体"/>
          <w:color w:val="auto"/>
          <w:sz w:val="28"/>
          <w:szCs w:val="28"/>
        </w:rPr>
        <w:t>22</w:t>
      </w:r>
      <w:r>
        <w:rPr>
          <w:rFonts w:hint="eastAsia" w:ascii="宋体" w:hAnsi="宋体"/>
          <w:color w:val="auto"/>
          <w:sz w:val="28"/>
          <w:szCs w:val="28"/>
        </w:rPr>
        <w:t>和《企业职工伤亡事故分类》GB6441-1986的同时，通过对该项目的厂址、平面布局、建（构）筑物、物质、生产工</w:t>
      </w:r>
      <w:r>
        <w:rPr>
          <w:rFonts w:hint="eastAsia" w:ascii="宋体" w:hAnsi="宋体"/>
          <w:color w:val="auto"/>
          <w:spacing w:val="-6"/>
          <w:sz w:val="28"/>
          <w:szCs w:val="28"/>
        </w:rPr>
        <w:t>艺及设备、辅助生产设施（含公用工程）及职业卫生等方面进行分析而得出。</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2.产生原因</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危险、危害因素尽管表现形式不同，但从本质上讲，之所以能造成危险、危害后果（发生伤亡事故、损害人身健康和造成物的损坏等），均可归结为存在能量、有害物质和能量、有害物质失去控制等方面因素的综合作用，并导致能量的意外释放或有害物质泄漏、扩散的结果。存在能量、有害物质和失控是危险、危害因素产生的根本原因。危险、危害因素主要产生原因如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 能量、有害物质</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能量、有害物质是危险、危害因素产生的根源，也是最根本的危险、危害因素。一般地说，系统具有的能量越大、存在的危害物质的数量越多，系统的潜在危险性和危害性也越大。另一方面，只要进行生产活动，就需要相应的能量和物质（包括有害物质），因此生产活动中的危险、危害因素是客观存在的，是不能完全消除的。</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1）能量就是做工的能力。它即可以造福人类，也可能造成人员伤亡和财产损失。一切产生、供给能量的能源和能量的载体在一定条件下，都可能是危险、危害因素。</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2）有害物质在一定条件下能损伤人体的生理机能和正常代谢功能，破坏设备和物品的效能，也是主要的危险、危害因素。</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 失控</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在生产中，人们通过工艺和工艺装备使能量、物质（包括有害物质）按人们的意愿在系统中流动、转换，进行生产。同时又必须结束和控制这些能量及有害物质，消除、减少产生不良后果的条件，使之不能发生危险、危害后果。如果发生失控(没有采取控制、屏蔽措施或控制、屏蔽措施失效)，就会发生能量、危害物质的意外释放和泄漏，从而造成人员伤害和财产损失。所以失控也是一类危险、危害因素，它主要体现在设备故障(或缺陷)、人员失误和管理缺陷3个方面。此外环境因素是引起失控的间接原因。</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1）故障（包括生产、控制、安全装置和辅助设施等故障）</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故障(含缺陷)是指系统、设备、元件等在运行过程中由于性能(含安全性能)低下而不能实现预定功能(包括安全功能)的现象。故障的发生具有随机性、渐近性或突发性。造成故障发生的原因很复杂（设计、制造、磨损、疲劳、老化、检查和维修、保养、人员失误、环境和其他系统的影响等），通过定期检查维修保养和分析总结可使多数故障在预定期间内得到控制（避免或减少）。掌握各类故障发生的规律是防止故障发生的重要手段，这需要应用大量统计数据和概率统计的方法进行分析和研究。</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2）人员失误</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人员失误泛指不安全行为中产生不良后果的行为(即职工在劳动过程中，违反劳动纪律、操作程序和操作方法等具有危险性的做法)。人员失误在一定经济、技术条件下，是引发危险、危害因素的重要因素。人员失误在规律和失误率通过大量的观测、统计和分析，是可以预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我国《企业职工伤亡事故分类标准》（GB 6441—1986）附录中将不安全行为归纳为操作失误(忽视安全、忽视警告)、造成安全装置失效、使用不安全设备、手代替工具操作、物体存放不当、冒险进入危险场所、攀坐不安全位置、在吊物下作业(停留)、机器运转时加油(修理、检查、调整、清扫等)、有分散注意力行为、忽视使用必须使用的个人防护用品或用具、不安全装束、对易燃易爆等危险品处理错误等13类。</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3）管理缺陷</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安全生产管理是为保证及时、有效地实现目标，在预测、分析的基础上进行的计划、组织、协调、检查等工作，是预防发生事故和人员失误的有效手段。管理缺陷是影响失控发生的重要因素。</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4）客观因素</w:t>
      </w:r>
    </w:p>
    <w:p>
      <w:pPr>
        <w:ind w:firstLine="560" w:firstLineChars="200"/>
        <w:rPr>
          <w:rFonts w:ascii="Calibri" w:hAnsi="Calibri"/>
          <w:color w:val="auto"/>
        </w:rPr>
      </w:pPr>
      <w:r>
        <w:rPr>
          <w:rFonts w:hint="eastAsia" w:ascii="宋体" w:hAnsi="宋体"/>
          <w:color w:val="auto"/>
          <w:sz w:val="28"/>
          <w:szCs w:val="28"/>
        </w:rPr>
        <w:t>温度、湿度、风雨雪、照明、视野、噪声、振动、通风换气、色彩等环境因素都会引起设备故障或人员失误，也是发生失控的间接因素。</w:t>
      </w:r>
    </w:p>
    <w:p>
      <w:pPr>
        <w:keepNext/>
        <w:keepLines/>
        <w:spacing w:line="600" w:lineRule="exact"/>
        <w:jc w:val="left"/>
        <w:outlineLvl w:val="2"/>
        <w:rPr>
          <w:rFonts w:ascii="Calibri" w:hAnsi="Calibri"/>
          <w:b/>
          <w:color w:val="auto"/>
          <w:sz w:val="28"/>
          <w:szCs w:val="32"/>
        </w:rPr>
      </w:pPr>
      <w:bookmarkStart w:id="254" w:name="_Toc144109244"/>
      <w:r>
        <w:rPr>
          <w:rFonts w:hint="eastAsia" w:ascii="Calibri" w:hAnsi="Calibri"/>
          <w:b/>
          <w:color w:val="auto"/>
          <w:sz w:val="28"/>
          <w:szCs w:val="32"/>
        </w:rPr>
        <w:t>B</w:t>
      </w:r>
      <w:r>
        <w:rPr>
          <w:rFonts w:ascii="Calibri" w:hAnsi="Calibri"/>
          <w:b/>
          <w:color w:val="auto"/>
          <w:sz w:val="28"/>
          <w:szCs w:val="32"/>
        </w:rPr>
        <w:t>.2.2</w:t>
      </w:r>
      <w:r>
        <w:rPr>
          <w:rFonts w:hint="eastAsia" w:ascii="Calibri" w:hAnsi="Calibri"/>
          <w:b/>
          <w:color w:val="auto"/>
          <w:sz w:val="28"/>
          <w:szCs w:val="32"/>
        </w:rPr>
        <w:t xml:space="preserve"> 项目厂址与总平危险有害因素辨识分析</w:t>
      </w:r>
      <w:bookmarkEnd w:id="254"/>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 xml:space="preserve">.2.2.1 </w:t>
      </w:r>
      <w:r>
        <w:rPr>
          <w:rFonts w:hint="eastAsia" w:ascii="Calibri" w:hAnsi="Calibri"/>
          <w:b/>
          <w:color w:val="auto"/>
          <w:sz w:val="28"/>
          <w:szCs w:val="32"/>
        </w:rPr>
        <w:t>项目厂址危险有害因素辨识分析</w:t>
      </w:r>
    </w:p>
    <w:p>
      <w:pPr>
        <w:autoSpaceDE w:val="0"/>
        <w:autoSpaceDN w:val="0"/>
        <w:adjustRightInd w:val="0"/>
        <w:snapToGrid w:val="0"/>
        <w:spacing w:line="520" w:lineRule="exact"/>
        <w:ind w:firstLine="560" w:firstLineChars="200"/>
        <w:rPr>
          <w:color w:val="auto"/>
          <w:sz w:val="28"/>
          <w:szCs w:val="28"/>
        </w:rPr>
      </w:pPr>
      <w:r>
        <w:rPr>
          <w:rFonts w:hint="eastAsia" w:ascii="宋体" w:hAnsi="宋体"/>
          <w:color w:val="auto"/>
          <w:sz w:val="28"/>
          <w:szCs w:val="28"/>
        </w:rPr>
        <w:t>项目场址位于吉安市新干县盐化工业城内，建项目厂址东侧紧邻盐化大道，运输条件相当便利；</w:t>
      </w:r>
      <w:r>
        <w:rPr>
          <w:color w:val="auto"/>
          <w:sz w:val="28"/>
          <w:szCs w:val="28"/>
        </w:rPr>
        <w:t>新干盐化工业城地形属低丘山地，区内有多座小山包，山脊、沟谷纵横交错，总体地势东高西低。盐化工业城场地南面到北面长约11公里，东西宽处约2公里。场地南半部有多座小山包，高差较大，最高海拔标高达100m，最低35.0m。场地北半部较为平坦，海拔标高一般在50～70m之间。大部分沟谷中无长年性流水，仅在雨季形成暂时性地表流水。新干盐化工业城低洼沟谷处由粘土、亚砂土、流砂及卵石组成，厚度2～10m。山坡地质由砂砾岩组成，厚度202～408m。岩层倾角平缓，地质结构稳定，无沉陷、滑坡现象。场地地层岩性：上覆第四系（Q）土层，为粉质粘土，下伏岩层为白垩系（K）红砂岩等，工程地质条件良好。</w:t>
      </w:r>
    </w:p>
    <w:p>
      <w:pPr>
        <w:spacing w:line="520" w:lineRule="exact"/>
        <w:ind w:firstLine="560" w:firstLineChars="200"/>
        <w:rPr>
          <w:color w:val="auto"/>
          <w:sz w:val="28"/>
          <w:szCs w:val="28"/>
        </w:rPr>
      </w:pPr>
      <w:r>
        <w:rPr>
          <w:color w:val="auto"/>
          <w:sz w:val="28"/>
          <w:szCs w:val="28"/>
        </w:rPr>
        <w:t>新干盐化工业城所在地区属亚热带季风型气候区，气温温和，雨水充足，四季分明。根据新干县气象局统计从1971年至2007年近40年资料显示，年平均气温为17.5℃，极端最高气温40.5℃，极端最低气温-9.1℃，年平均气压1.0102×10</w:t>
      </w:r>
      <w:r>
        <w:rPr>
          <w:color w:val="auto"/>
          <w:sz w:val="28"/>
          <w:szCs w:val="28"/>
          <w:vertAlign w:val="superscript"/>
        </w:rPr>
        <w:t>5</w:t>
      </w:r>
      <w:r>
        <w:rPr>
          <w:color w:val="auto"/>
          <w:sz w:val="28"/>
          <w:szCs w:val="28"/>
        </w:rPr>
        <w:t>Pa，年平均降雨量为1604.5mm，年平均蒸发量为1425.9mm，降雨量季节分布不均，以2～7月份降雨量最为集中，降水量约占全年总降水量的50%，年平均无霜期283天。平均风速2.0m/s，常年主导风向为东北偏北风，夏季主导风向以东风为主</w:t>
      </w:r>
      <w:r>
        <w:rPr>
          <w:rFonts w:hint="eastAsia"/>
          <w:color w:val="auto"/>
          <w:sz w:val="28"/>
          <w:szCs w:val="28"/>
        </w:rPr>
        <w:t>，</w:t>
      </w:r>
      <w:r>
        <w:rPr>
          <w:color w:val="auto"/>
          <w:sz w:val="28"/>
          <w:szCs w:val="28"/>
        </w:rPr>
        <w:t>年平均雷暴日69.9</w:t>
      </w:r>
      <w:r>
        <w:rPr>
          <w:rFonts w:hint="eastAsia"/>
          <w:color w:val="auto"/>
          <w:sz w:val="28"/>
          <w:szCs w:val="28"/>
        </w:rPr>
        <w:t>天。</w:t>
      </w:r>
    </w:p>
    <w:p>
      <w:pPr>
        <w:spacing w:line="360" w:lineRule="auto"/>
        <w:ind w:firstLine="560" w:firstLineChars="200"/>
        <w:jc w:val="left"/>
        <w:rPr>
          <w:rFonts w:ascii="Calibri" w:hAnsi="Calibri"/>
          <w:color w:val="auto"/>
          <w:sz w:val="28"/>
          <w:szCs w:val="28"/>
        </w:rPr>
      </w:pPr>
      <w:r>
        <w:rPr>
          <w:rFonts w:hint="eastAsia"/>
          <w:color w:val="auto"/>
          <w:sz w:val="28"/>
          <w:szCs w:val="28"/>
        </w:rPr>
        <w:t>1</w:t>
      </w:r>
      <w:r>
        <w:rPr>
          <w:rFonts w:hint="eastAsia" w:ascii="宋体" w:hAnsi="宋体"/>
          <w:color w:val="auto"/>
          <w:sz w:val="28"/>
          <w:szCs w:val="28"/>
        </w:rPr>
        <w:t>）不良地质</w:t>
      </w:r>
    </w:p>
    <w:p>
      <w:pPr>
        <w:spacing w:line="360" w:lineRule="auto"/>
        <w:ind w:firstLine="560" w:firstLineChars="200"/>
        <w:jc w:val="left"/>
        <w:rPr>
          <w:color w:val="auto"/>
          <w:sz w:val="28"/>
          <w:szCs w:val="28"/>
        </w:rPr>
      </w:pPr>
      <w:r>
        <w:rPr>
          <w:rFonts w:hint="eastAsia" w:ascii="宋体" w:hAnsi="宋体"/>
          <w:color w:val="auto"/>
          <w:sz w:val="28"/>
          <w:szCs w:val="28"/>
        </w:rPr>
        <w:t>不良地质条件对地基及整个厂区建筑物都有很大影响。该项目所在地为</w:t>
      </w:r>
      <w:r>
        <w:rPr>
          <w:rFonts w:ascii="宋体" w:hAnsi="宋体"/>
          <w:color w:val="auto"/>
          <w:sz w:val="28"/>
          <w:szCs w:val="28"/>
        </w:rPr>
        <w:t>冲积平原地形，由亚粘土、亚砂土及砂砾层组成，多为湖积及冲湖积淤泥质粘性土</w:t>
      </w:r>
      <w:r>
        <w:rPr>
          <w:rFonts w:hint="eastAsia" w:ascii="宋体" w:hAnsi="宋体"/>
          <w:color w:val="auto"/>
          <w:sz w:val="28"/>
          <w:szCs w:val="28"/>
        </w:rPr>
        <w:t>；拟建地层中存在填土层</w:t>
      </w:r>
      <w:r>
        <w:rPr>
          <w:rFonts w:hint="eastAsia" w:ascii="宋体" w:hAnsi="宋体"/>
          <w:color w:val="auto"/>
          <w:kern w:val="0"/>
          <w:sz w:val="28"/>
          <w:szCs w:val="28"/>
        </w:rPr>
        <w:t>；</w:t>
      </w:r>
      <w:r>
        <w:rPr>
          <w:rFonts w:hint="eastAsia" w:ascii="宋体" w:hAnsi="宋体"/>
          <w:color w:val="auto"/>
          <w:sz w:val="28"/>
          <w:szCs w:val="28"/>
        </w:rPr>
        <w:t>工程土建部分如未按工程场地的建筑类别进行必要的地基处理，或地基处理不当，工程运行过程中可能发生地基不均匀下沉，会对厂房、设备、管线造成不安全隐患，尤其是大型储罐、厂房等建筑易遭受外力如振动、风力和外加载荷等附加应力的作用而产生变形裂缝，造成不安全隐患。</w:t>
      </w:r>
    </w:p>
    <w:p>
      <w:pPr>
        <w:spacing w:line="360" w:lineRule="auto"/>
        <w:ind w:firstLine="560" w:firstLineChars="200"/>
        <w:jc w:val="left"/>
        <w:rPr>
          <w:color w:val="auto"/>
          <w:sz w:val="28"/>
          <w:szCs w:val="28"/>
        </w:rPr>
      </w:pPr>
      <w:r>
        <w:rPr>
          <w:rFonts w:hint="eastAsia" w:ascii="宋体" w:hAnsi="宋体"/>
          <w:color w:val="auto"/>
          <w:sz w:val="28"/>
          <w:szCs w:val="28"/>
        </w:rPr>
        <w:t>该项目地下水、土壤对混凝土结构具弱腐蚀性，对钢筋混凝土结构中钢筋具微腐蚀性，如未按规范进行防腐设计，则会造成不安全隐患，严重者引发坍塌事故。</w:t>
      </w:r>
    </w:p>
    <w:p>
      <w:pPr>
        <w:spacing w:line="360" w:lineRule="auto"/>
        <w:ind w:firstLine="560" w:firstLineChars="200"/>
        <w:rPr>
          <w:color w:val="auto"/>
          <w:sz w:val="28"/>
          <w:szCs w:val="28"/>
        </w:rPr>
      </w:pPr>
      <w:r>
        <w:rPr>
          <w:rFonts w:hint="eastAsia"/>
          <w:color w:val="auto"/>
          <w:sz w:val="28"/>
          <w:szCs w:val="28"/>
        </w:rPr>
        <w:t>2</w:t>
      </w:r>
      <w:r>
        <w:rPr>
          <w:rFonts w:hint="eastAsia" w:ascii="宋体" w:hAnsi="宋体"/>
          <w:color w:val="auto"/>
          <w:sz w:val="28"/>
          <w:szCs w:val="28"/>
        </w:rPr>
        <w:t>）水文气象条件</w:t>
      </w:r>
    </w:p>
    <w:p>
      <w:pPr>
        <w:spacing w:line="360" w:lineRule="auto"/>
        <w:ind w:firstLine="560" w:firstLineChars="200"/>
        <w:rPr>
          <w:color w:val="auto"/>
          <w:sz w:val="28"/>
          <w:szCs w:val="28"/>
        </w:rPr>
      </w:pPr>
      <w:r>
        <w:rPr>
          <w:rFonts w:hint="eastAsia" w:ascii="宋体" w:hAnsi="宋体"/>
          <w:color w:val="auto"/>
          <w:sz w:val="28"/>
          <w:szCs w:val="28"/>
        </w:rPr>
        <w:t>水文气象条件对整个工程项目有很大的影响。洪水、内涝、大风、暴雪等恶劣天气都易造成建筑物和设备装置的破坏，进而威胁人身安全。夏季过高气温容使人易中暑，冬季气温过低则可能导致冻伤或冻坏设备、管道，不但影响生产，而且容易造成事故危及人身安全。</w:t>
      </w:r>
    </w:p>
    <w:p>
      <w:pPr>
        <w:spacing w:line="360" w:lineRule="auto"/>
        <w:ind w:firstLine="560" w:firstLineChars="200"/>
        <w:rPr>
          <w:color w:val="auto"/>
          <w:sz w:val="28"/>
          <w:szCs w:val="28"/>
        </w:rPr>
      </w:pPr>
      <w:r>
        <w:rPr>
          <w:rFonts w:hint="eastAsia" w:ascii="宋体" w:hAnsi="宋体"/>
          <w:color w:val="auto"/>
          <w:sz w:val="28"/>
          <w:szCs w:val="28"/>
        </w:rPr>
        <w:t>如遇暴雨、大雾及六级以上大风进行户外吊装作业，可能导致起重伤害事故；如遇强风、高温、低温雨天、雪天等恶劣天气进行户外登高作业，如不采取有针对性的防护措施，可能发生高处坠落、物体打击事故。</w:t>
      </w:r>
    </w:p>
    <w:p>
      <w:pPr>
        <w:spacing w:line="360" w:lineRule="auto"/>
        <w:ind w:firstLine="560" w:firstLineChars="200"/>
        <w:rPr>
          <w:color w:val="auto"/>
          <w:sz w:val="28"/>
          <w:szCs w:val="28"/>
        </w:rPr>
      </w:pPr>
      <w:r>
        <w:rPr>
          <w:rFonts w:hint="eastAsia" w:ascii="宋体" w:hAnsi="宋体"/>
          <w:color w:val="auto"/>
          <w:sz w:val="28"/>
          <w:szCs w:val="28"/>
        </w:rPr>
        <w:t>另外，项目所在地年平均降水量</w:t>
      </w:r>
      <w:r>
        <w:rPr>
          <w:color w:val="auto"/>
          <w:sz w:val="28"/>
          <w:szCs w:val="28"/>
        </w:rPr>
        <w:t>1604.5</w:t>
      </w:r>
      <w:r>
        <w:rPr>
          <w:rFonts w:hint="eastAsia"/>
          <w:color w:val="auto"/>
          <w:sz w:val="28"/>
          <w:szCs w:val="28"/>
        </w:rPr>
        <w:t>mm</w:t>
      </w:r>
      <w:r>
        <w:rPr>
          <w:rFonts w:hint="eastAsia" w:ascii="宋体" w:hAnsi="宋体"/>
          <w:color w:val="auto"/>
          <w:sz w:val="28"/>
          <w:szCs w:val="28"/>
        </w:rPr>
        <w:t>，遇暴雨天，如果厂区内排水系统不符合要求或出现故障不畅通，就会造成内涝灾害，而损坏拟建工程设备、厂房、地下建（构）筑物，造成生产事故等；该公司拟设完善的厂区内排水系统，场外设有完善的城市排水系统，内涝灾害威胁较小。</w:t>
      </w:r>
    </w:p>
    <w:p>
      <w:pPr>
        <w:spacing w:line="360" w:lineRule="auto"/>
        <w:ind w:firstLine="560" w:firstLineChars="200"/>
        <w:rPr>
          <w:color w:val="auto"/>
          <w:sz w:val="28"/>
          <w:szCs w:val="28"/>
        </w:rPr>
      </w:pPr>
      <w:r>
        <w:rPr>
          <w:rFonts w:hint="eastAsia" w:ascii="宋体" w:hAnsi="宋体"/>
          <w:color w:val="auto"/>
          <w:sz w:val="28"/>
          <w:szCs w:val="28"/>
        </w:rPr>
        <w:t>雷电可分为直击雷、静电感应雷、电磁感应雷和球雷等。直击雷放电、二次放电、球雷侵入、雷电流转化的高温、冲击电压击穿电气设备绝缘路均可能引起爆炸和火灾。直击雷放电、二次放电、球雷打击、跨步电压、绝缘击穿均可能造成电击，造成设备损坏和人员伤亡。毁坏设备和设施。冲击电压可击穿电气设备的绝缘、力效应可毁坏设备和设施。事故停电、电力设备或电力线路损坏后可能导致大规模停电。</w:t>
      </w:r>
      <w:r>
        <w:rPr>
          <w:rFonts w:ascii="宋体" w:hAnsi="宋体"/>
          <w:color w:val="auto"/>
          <w:sz w:val="28"/>
          <w:szCs w:val="28"/>
        </w:rPr>
        <w:t>如火灾、爆炸危险环境内设备、管路防静电设计或施工不规范，在使用、输送、贮存属导电性差的物料时所产生的静电电荷，</w:t>
      </w:r>
      <w:r>
        <w:rPr>
          <w:rFonts w:hint="eastAsia" w:ascii="宋体" w:hAnsi="宋体"/>
          <w:color w:val="auto"/>
          <w:sz w:val="28"/>
          <w:szCs w:val="28"/>
        </w:rPr>
        <w:t>如</w:t>
      </w:r>
      <w:r>
        <w:rPr>
          <w:rFonts w:ascii="宋体" w:hAnsi="宋体"/>
          <w:color w:val="auto"/>
          <w:sz w:val="28"/>
          <w:szCs w:val="28"/>
        </w:rPr>
        <w:t>不能及时消除，随着时间延续，静电荷将越聚越多，静电电压逐渐升高，当达到一定程度时，</w:t>
      </w:r>
      <w:r>
        <w:rPr>
          <w:rFonts w:hint="eastAsia" w:ascii="宋体" w:hAnsi="宋体"/>
          <w:color w:val="auto"/>
          <w:sz w:val="28"/>
          <w:szCs w:val="28"/>
        </w:rPr>
        <w:t>就会</w:t>
      </w:r>
      <w:r>
        <w:rPr>
          <w:rFonts w:ascii="宋体" w:hAnsi="宋体"/>
          <w:color w:val="auto"/>
          <w:sz w:val="28"/>
          <w:szCs w:val="28"/>
        </w:rPr>
        <w:t>发生放电产生火花</w:t>
      </w:r>
      <w:r>
        <w:rPr>
          <w:rFonts w:hint="eastAsia" w:ascii="宋体" w:hAnsi="宋体"/>
          <w:color w:val="auto"/>
          <w:sz w:val="28"/>
          <w:szCs w:val="28"/>
        </w:rPr>
        <w:t>，</w:t>
      </w:r>
      <w:r>
        <w:rPr>
          <w:rFonts w:ascii="宋体" w:hAnsi="宋体"/>
          <w:color w:val="auto"/>
          <w:sz w:val="28"/>
          <w:szCs w:val="28"/>
        </w:rPr>
        <w:t>或使用可产生火花的工具、穿用不防静电的鞋、服装等，均可能引燃易燃易爆物质，造成火灾、爆炸。</w:t>
      </w:r>
    </w:p>
    <w:p>
      <w:pPr>
        <w:spacing w:line="360" w:lineRule="auto"/>
        <w:ind w:firstLine="560" w:firstLineChars="200"/>
        <w:rPr>
          <w:color w:val="auto"/>
          <w:sz w:val="28"/>
          <w:szCs w:val="28"/>
        </w:rPr>
      </w:pPr>
      <w:r>
        <w:rPr>
          <w:rFonts w:hint="eastAsia" w:ascii="宋体" w:hAnsi="宋体"/>
          <w:color w:val="auto"/>
          <w:sz w:val="28"/>
          <w:szCs w:val="28"/>
        </w:rPr>
        <w:t>该项目所在地夏天多雷雨天气，雷暴日</w:t>
      </w:r>
      <w:r>
        <w:rPr>
          <w:color w:val="auto"/>
          <w:sz w:val="28"/>
          <w:szCs w:val="28"/>
        </w:rPr>
        <w:t>69.9</w:t>
      </w:r>
      <w:r>
        <w:rPr>
          <w:rFonts w:hint="eastAsia" w:ascii="宋体" w:hAnsi="宋体"/>
          <w:color w:val="auto"/>
          <w:sz w:val="28"/>
          <w:szCs w:val="28"/>
        </w:rPr>
        <w:t>天，如果该项目防雷接地系统不符合要求或损坏，如遇雷击，会可造成人员伤亡，生产设备设施及建筑物的损坏。</w:t>
      </w:r>
    </w:p>
    <w:p>
      <w:pPr>
        <w:spacing w:line="360" w:lineRule="auto"/>
        <w:ind w:firstLine="560" w:firstLineChars="200"/>
        <w:jc w:val="left"/>
        <w:rPr>
          <w:color w:val="auto"/>
          <w:sz w:val="28"/>
          <w:szCs w:val="28"/>
        </w:rPr>
      </w:pPr>
      <w:r>
        <w:rPr>
          <w:rFonts w:hint="eastAsia" w:ascii="宋体" w:hAnsi="宋体"/>
          <w:color w:val="auto"/>
          <w:sz w:val="28"/>
          <w:szCs w:val="28"/>
        </w:rPr>
        <w:t>当地的平均风速为</w:t>
      </w:r>
      <w:r>
        <w:rPr>
          <w:color w:val="auto"/>
          <w:sz w:val="28"/>
          <w:szCs w:val="28"/>
        </w:rPr>
        <w:t>2.0</w:t>
      </w:r>
      <w:r>
        <w:rPr>
          <w:rFonts w:hint="eastAsia"/>
          <w:color w:val="auto"/>
          <w:sz w:val="28"/>
          <w:szCs w:val="28"/>
        </w:rPr>
        <w:t>m/s</w:t>
      </w:r>
      <w:r>
        <w:rPr>
          <w:rFonts w:hint="eastAsia" w:ascii="宋体" w:hAnsi="宋体"/>
          <w:color w:val="auto"/>
          <w:sz w:val="28"/>
          <w:szCs w:val="28"/>
        </w:rPr>
        <w:t>。风对装置生产过程中安全性的影响，主要表现在可燃、有毒有害物质的无组织排放（系指泄漏量），风可加速向外扩散，从而使泄漏的有害气体到达较远的区域，造成事故的扩大和对周围大气环境的污染。</w:t>
      </w:r>
    </w:p>
    <w:p>
      <w:pPr>
        <w:spacing w:line="360" w:lineRule="auto"/>
        <w:ind w:firstLine="560" w:firstLineChars="200"/>
        <w:jc w:val="left"/>
        <w:rPr>
          <w:color w:val="auto"/>
          <w:sz w:val="28"/>
          <w:szCs w:val="28"/>
        </w:rPr>
      </w:pPr>
      <w:r>
        <w:rPr>
          <w:rFonts w:hint="eastAsia" w:ascii="宋体" w:hAnsi="宋体"/>
          <w:color w:val="auto"/>
          <w:sz w:val="28"/>
          <w:szCs w:val="28"/>
        </w:rPr>
        <w:t>当地年最高温度</w:t>
      </w:r>
      <w:r>
        <w:rPr>
          <w:color w:val="auto"/>
          <w:sz w:val="28"/>
          <w:szCs w:val="28"/>
        </w:rPr>
        <w:t>40.5</w:t>
      </w:r>
      <w:r>
        <w:rPr>
          <w:rFonts w:hint="eastAsia" w:ascii="宋体" w:hAnsi="宋体"/>
          <w:color w:val="auto"/>
          <w:sz w:val="28"/>
          <w:szCs w:val="28"/>
        </w:rPr>
        <w:t>℃，高温天气会加大易燃易爆、有毒物料的挥发性，容易引起容器爆炸事故，且长期暴露在高温天气会</w:t>
      </w:r>
      <w:r>
        <w:rPr>
          <w:rFonts w:hint="eastAsia" w:ascii="宋体" w:hAnsi="宋体"/>
          <w:color w:val="auto"/>
          <w:kern w:val="0"/>
          <w:sz w:val="28"/>
          <w:szCs w:val="28"/>
        </w:rPr>
        <w:t>易引起中暑事故</w:t>
      </w:r>
      <w:r>
        <w:rPr>
          <w:rFonts w:hint="eastAsia" w:ascii="宋体" w:hAnsi="宋体"/>
          <w:color w:val="auto"/>
          <w:sz w:val="28"/>
          <w:szCs w:val="28"/>
        </w:rPr>
        <w:t>。</w:t>
      </w:r>
    </w:p>
    <w:p>
      <w:pPr>
        <w:spacing w:line="360" w:lineRule="auto"/>
        <w:ind w:firstLine="560" w:firstLineChars="200"/>
        <w:rPr>
          <w:color w:val="auto"/>
          <w:sz w:val="28"/>
          <w:szCs w:val="28"/>
        </w:rPr>
      </w:pPr>
      <w:r>
        <w:rPr>
          <w:rFonts w:hint="eastAsia"/>
          <w:color w:val="auto"/>
          <w:sz w:val="28"/>
          <w:szCs w:val="28"/>
        </w:rPr>
        <w:t>4</w:t>
      </w:r>
      <w:r>
        <w:rPr>
          <w:rFonts w:hint="eastAsia" w:ascii="宋体" w:hAnsi="宋体"/>
          <w:color w:val="auto"/>
          <w:sz w:val="28"/>
          <w:szCs w:val="28"/>
        </w:rPr>
        <w:t>）地震</w:t>
      </w:r>
    </w:p>
    <w:p>
      <w:pPr>
        <w:spacing w:line="360" w:lineRule="auto"/>
        <w:ind w:firstLine="560" w:firstLineChars="200"/>
        <w:rPr>
          <w:color w:val="auto"/>
          <w:sz w:val="28"/>
          <w:szCs w:val="28"/>
        </w:rPr>
      </w:pPr>
      <w:r>
        <w:rPr>
          <w:rFonts w:hint="eastAsia" w:ascii="宋体" w:hAnsi="宋体"/>
          <w:color w:val="auto"/>
          <w:sz w:val="28"/>
          <w:szCs w:val="28"/>
        </w:rPr>
        <w:t>地震是危害度较大的自然现象，地震对建（构）筑物、设备有极大的破坏作用，它可造成厂房等建筑物的倒塌、破坏输卤管道、破坏整个厂区的供电、排水系统，造成机械损害，人员伤亡。因此建（构）筑物应根据该项目场地的地震基本烈度设防。否则一旦发生地震灾害时，如果厂房及建（构）筑物的抗震等级不够时，会发生厂房坍塌、倾倒事故，大型设备发生偏移、倾斜，从而损坏设备的使用，对人员和财产造成危害。该项目所在区域地震烈度</w:t>
      </w:r>
      <w:r>
        <w:rPr>
          <w:rFonts w:hint="eastAsia"/>
          <w:color w:val="auto"/>
          <w:sz w:val="28"/>
          <w:szCs w:val="28"/>
        </w:rPr>
        <w:t>Ⅵ度，地震的威胁较小。</w:t>
      </w:r>
    </w:p>
    <w:p>
      <w:pPr>
        <w:spacing w:line="360" w:lineRule="auto"/>
        <w:ind w:firstLine="560" w:firstLineChars="200"/>
        <w:rPr>
          <w:color w:val="auto"/>
          <w:sz w:val="28"/>
          <w:szCs w:val="28"/>
        </w:rPr>
      </w:pPr>
      <w:r>
        <w:rPr>
          <w:rFonts w:hint="eastAsia"/>
          <w:color w:val="auto"/>
          <w:sz w:val="28"/>
          <w:szCs w:val="28"/>
        </w:rPr>
        <w:t>5</w:t>
      </w:r>
      <w:r>
        <w:rPr>
          <w:rFonts w:hint="eastAsia" w:ascii="宋体" w:hAnsi="宋体"/>
          <w:color w:val="auto"/>
          <w:sz w:val="28"/>
          <w:szCs w:val="28"/>
        </w:rPr>
        <w:t>）</w:t>
      </w:r>
      <w:r>
        <w:rPr>
          <w:rFonts w:ascii="宋体" w:hAnsi="宋体"/>
          <w:color w:val="auto"/>
          <w:sz w:val="28"/>
          <w:szCs w:val="28"/>
        </w:rPr>
        <w:t>周围环境</w:t>
      </w:r>
    </w:p>
    <w:p>
      <w:pPr>
        <w:ind w:firstLine="560" w:firstLineChars="200"/>
        <w:rPr>
          <w:color w:val="auto"/>
          <w:sz w:val="28"/>
          <w:szCs w:val="28"/>
        </w:rPr>
      </w:pPr>
      <w:r>
        <w:rPr>
          <w:rFonts w:hint="eastAsia" w:ascii="宋体" w:hAnsi="宋体"/>
          <w:color w:val="auto"/>
          <w:sz w:val="28"/>
          <w:szCs w:val="28"/>
        </w:rPr>
        <w:t>该公司周边存在企业和居民区、道路，最近居民区距离该项目最近建构筑物边界超过</w:t>
      </w:r>
      <w:r>
        <w:rPr>
          <w:rFonts w:hint="eastAsia"/>
          <w:color w:val="auto"/>
          <w:sz w:val="28"/>
          <w:szCs w:val="28"/>
        </w:rPr>
        <w:t>100m</w:t>
      </w:r>
      <w:r>
        <w:rPr>
          <w:rFonts w:hint="eastAsia" w:ascii="宋体" w:hAnsi="宋体"/>
          <w:color w:val="auto"/>
          <w:sz w:val="28"/>
          <w:szCs w:val="28"/>
        </w:rPr>
        <w:t>，对项目影响不大。如居民区居民未在安全距离范围内燃放烟花，可能引起火灾、爆炸事故。厂区周边存在危险化学品生产企业和工贸企业、道路，但如发生可燃、有毒气体泄漏事故，且可燃、有毒气体随大气扩散到周边其它场所，可能引起火灾、爆炸及中毒窒息事故；该项目装置区、储罐区发生泄漏、火灾爆炸事故，可能会波及周边企业，引发灾难性事故。</w:t>
      </w:r>
    </w:p>
    <w:p>
      <w:pPr>
        <w:ind w:firstLine="560" w:firstLineChars="200"/>
        <w:rPr>
          <w:color w:val="auto"/>
          <w:sz w:val="28"/>
          <w:szCs w:val="28"/>
        </w:rPr>
      </w:pPr>
      <w:r>
        <w:rPr>
          <w:rFonts w:hint="eastAsia" w:ascii="宋体" w:hAnsi="宋体"/>
          <w:color w:val="auto"/>
          <w:sz w:val="28"/>
          <w:szCs w:val="28"/>
        </w:rPr>
        <w:t>该公司现有装置与该项目留有足够的防火间距，但如发生可燃、有毒气体泄漏事故，且可燃、有毒气体随大气扩散到周边其它场所，可能引起火灾、爆炸及中毒窒息事故。如装置区、储罐区发生火灾爆炸事故，可能会波及该项目装置设施，引发灾难性事故。</w:t>
      </w:r>
    </w:p>
    <w:p>
      <w:pPr>
        <w:ind w:firstLine="560" w:firstLineChars="200"/>
        <w:rPr>
          <w:rFonts w:ascii="宋体" w:hAnsi="宋体"/>
          <w:color w:val="auto"/>
          <w:sz w:val="28"/>
          <w:szCs w:val="28"/>
        </w:rPr>
      </w:pPr>
      <w:r>
        <w:rPr>
          <w:rFonts w:hint="eastAsia" w:ascii="宋体" w:hAnsi="宋体"/>
          <w:color w:val="auto"/>
          <w:sz w:val="28"/>
          <w:szCs w:val="28"/>
        </w:rPr>
        <w:t>由以上的分析可知，项目厂址所在地的自然危险因素为气象、水文、地质、地震、雷击等，其会对厂址的安全产生一些影响，但采取一定的措施后是安全的。</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.2.2.2</w:t>
      </w:r>
      <w:r>
        <w:rPr>
          <w:rFonts w:hint="eastAsia" w:ascii="Calibri" w:hAnsi="Calibri"/>
          <w:b/>
          <w:color w:val="auto"/>
          <w:sz w:val="28"/>
          <w:szCs w:val="32"/>
        </w:rPr>
        <w:t>总平面布置与建筑物危险有害因素辨识分析</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该项目产品及原辅材料多、生产装置中存在腐蚀性物质。检维修过程中存在使用易燃气体和可燃液体。因此，规范进行平面布置显得十分重要。</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功能分区不合理会造成安全生产管理不便，增大了事故发生的机率，一旦发生事故救援困难、受害人数增加，财产损失加大，事故后果扩大。</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装置与装置之间；装置与厂房相互之间防火间距如不能符合《精细化工企业工程设计防火标准》、《建筑设计防火规范》等规范要求，容易引发火灾爆炸事故及火灾蔓延，火情扩大，给消防灭火、事故处置和人员抢救都带来不利影响。</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厂区通道不畅；路面宽度、架空管道高度不符合消防要求；无环形通道或无回车场，都将给消防灭火带来不利影响。</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按规范要求设置出入口，合理的进行人流、物流，保证人员迅速疏散，物流畅通，有利于事故的应急处理。</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项目设计时未按防洪要求设计，场内排水设施不完备造成大雨季节发生洪涝灾害，引发火灾、电气故障、触电等事故，还会因物料外泄造成环境污染事件。</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该项目生产厂房和仓库其耐火等级必须达到二级以上，符合防火要求。且要设置防雷和防直接雷设施，否则，一旦发生火灾或因雷击导致的火灾事故，会迅速穿顶，甚至造成厂房倒塌等危害。</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该项目生产车间、仓储区等之间的间距应考虑到消防施救和人员疏散的要求，否则可能造成火情或其它事故的扩大。</w:t>
      </w:r>
    </w:p>
    <w:p>
      <w:pPr>
        <w:autoSpaceDE w:val="0"/>
        <w:autoSpaceDN w:val="0"/>
        <w:adjustRightInd w:val="0"/>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生产装置和仓库很大，基础负荷也很大，若基础设计、施工有问题，易造成基础沉降，会引起设备、管线损坏，物料泄漏，造成中毒、火灾、爆炸事故。</w:t>
      </w:r>
    </w:p>
    <w:p>
      <w:pPr>
        <w:keepNext/>
        <w:keepLines/>
        <w:spacing w:line="600" w:lineRule="exact"/>
        <w:jc w:val="left"/>
        <w:outlineLvl w:val="2"/>
        <w:rPr>
          <w:rFonts w:ascii="Calibri" w:hAnsi="Calibri"/>
          <w:b/>
          <w:color w:val="auto"/>
          <w:sz w:val="28"/>
          <w:szCs w:val="32"/>
        </w:rPr>
      </w:pPr>
      <w:bookmarkStart w:id="255" w:name="_Toc144109245"/>
      <w:r>
        <w:rPr>
          <w:rFonts w:hint="eastAsia" w:ascii="Calibri" w:hAnsi="Calibri"/>
          <w:b/>
          <w:color w:val="auto"/>
          <w:sz w:val="28"/>
          <w:szCs w:val="32"/>
        </w:rPr>
        <w:t>B</w:t>
      </w:r>
      <w:r>
        <w:rPr>
          <w:rFonts w:ascii="Calibri" w:hAnsi="Calibri"/>
          <w:b/>
          <w:color w:val="auto"/>
          <w:sz w:val="28"/>
          <w:szCs w:val="32"/>
        </w:rPr>
        <w:t>.2.3</w:t>
      </w:r>
      <w:r>
        <w:rPr>
          <w:rFonts w:hint="eastAsia" w:ascii="Calibri" w:hAnsi="Calibri"/>
          <w:b/>
          <w:color w:val="auto"/>
          <w:sz w:val="28"/>
          <w:szCs w:val="32"/>
        </w:rPr>
        <w:t xml:space="preserve"> 按导致事故类别进行</w:t>
      </w:r>
      <w:r>
        <w:rPr>
          <w:rFonts w:ascii="Calibri" w:hAnsi="Calibri"/>
          <w:b/>
          <w:color w:val="auto"/>
          <w:sz w:val="28"/>
          <w:szCs w:val="32"/>
        </w:rPr>
        <w:t>危险</w:t>
      </w:r>
      <w:r>
        <w:rPr>
          <w:rFonts w:hint="eastAsia" w:ascii="Calibri" w:hAnsi="Calibri"/>
          <w:b/>
          <w:color w:val="auto"/>
          <w:sz w:val="28"/>
          <w:szCs w:val="32"/>
        </w:rPr>
        <w:t>、有害</w:t>
      </w:r>
      <w:r>
        <w:rPr>
          <w:rFonts w:ascii="Calibri" w:hAnsi="Calibri"/>
          <w:b/>
          <w:color w:val="auto"/>
          <w:sz w:val="28"/>
          <w:szCs w:val="32"/>
        </w:rPr>
        <w:t>因素辨识</w:t>
      </w:r>
      <w:r>
        <w:rPr>
          <w:rFonts w:hint="eastAsia" w:ascii="Calibri" w:hAnsi="Calibri"/>
          <w:b/>
          <w:color w:val="auto"/>
          <w:sz w:val="28"/>
          <w:szCs w:val="32"/>
        </w:rPr>
        <w:t>与分析</w:t>
      </w:r>
      <w:bookmarkEnd w:id="255"/>
    </w:p>
    <w:p>
      <w:pPr>
        <w:ind w:firstLine="560" w:firstLineChars="200"/>
        <w:rPr>
          <w:color w:val="auto"/>
        </w:rPr>
      </w:pPr>
      <w:r>
        <w:rPr>
          <w:rFonts w:hint="eastAsia" w:ascii="宋体" w:hAnsi="宋体"/>
          <w:color w:val="auto"/>
          <w:sz w:val="28"/>
          <w:szCs w:val="28"/>
        </w:rPr>
        <w:t>参照《企业职工伤亡事故分类标准》(GB 6441-1986)，综合考虑起因物、引起事故的诱导性原因、致害物、伤害方式等。</w:t>
      </w:r>
    </w:p>
    <w:p>
      <w:pPr>
        <w:keepNext/>
        <w:keepLines/>
        <w:spacing w:line="600" w:lineRule="exact"/>
        <w:jc w:val="left"/>
        <w:outlineLvl w:val="3"/>
        <w:rPr>
          <w:rFonts w:ascii="Calibri" w:hAnsi="Calibri"/>
          <w:b/>
          <w:color w:val="auto"/>
          <w:sz w:val="28"/>
          <w:szCs w:val="32"/>
        </w:rPr>
      </w:pPr>
      <w:bookmarkStart w:id="256" w:name="_Toc24207"/>
      <w:bookmarkStart w:id="257" w:name="_Toc35435389"/>
      <w:r>
        <w:rPr>
          <w:rFonts w:hint="eastAsia" w:ascii="Calibri" w:hAnsi="Calibri"/>
          <w:b/>
          <w:color w:val="auto"/>
          <w:sz w:val="28"/>
          <w:szCs w:val="32"/>
        </w:rPr>
        <w:t>B</w:t>
      </w:r>
      <w:r>
        <w:rPr>
          <w:rFonts w:ascii="Calibri" w:hAnsi="Calibri"/>
          <w:b/>
          <w:color w:val="auto"/>
          <w:sz w:val="28"/>
          <w:szCs w:val="32"/>
        </w:rPr>
        <w:t>.2.3.1</w:t>
      </w:r>
      <w:r>
        <w:rPr>
          <w:rFonts w:hint="eastAsia" w:ascii="Calibri" w:hAnsi="Calibri"/>
          <w:b/>
          <w:color w:val="auto"/>
          <w:sz w:val="28"/>
          <w:szCs w:val="32"/>
        </w:rPr>
        <w:t xml:space="preserve"> </w:t>
      </w:r>
      <w:bookmarkEnd w:id="256"/>
      <w:bookmarkEnd w:id="257"/>
      <w:r>
        <w:rPr>
          <w:rFonts w:hint="eastAsia" w:ascii="Calibri" w:hAnsi="Calibri"/>
          <w:b/>
          <w:color w:val="auto"/>
          <w:sz w:val="28"/>
          <w:szCs w:val="32"/>
        </w:rPr>
        <w:t>生产系统中危险因素的辨识与分析</w:t>
      </w:r>
    </w:p>
    <w:p>
      <w:pPr>
        <w:ind w:firstLine="560" w:firstLineChars="200"/>
        <w:rPr>
          <w:rFonts w:ascii="宋体" w:hAnsi="宋体"/>
          <w:color w:val="auto"/>
          <w:sz w:val="28"/>
          <w:szCs w:val="28"/>
        </w:rPr>
      </w:pPr>
      <w:r>
        <w:rPr>
          <w:rFonts w:hint="eastAsia" w:ascii="宋体" w:hAnsi="宋体"/>
          <w:color w:val="auto"/>
          <w:sz w:val="28"/>
          <w:szCs w:val="28"/>
        </w:rPr>
        <w:t>该项目工艺生产装置包括芸苔素内酯生产装置和芸苔素制剂生产装置；生产原辅料中涉及较多易燃液体、氧化性以及腐蚀性物质。同时存在液氨等高毒物质，甲基磺酰氯为剧毒物质；液氮、二氧化碳等为窒息性气体。</w:t>
      </w:r>
    </w:p>
    <w:p>
      <w:pPr>
        <w:ind w:firstLine="560" w:firstLineChars="200"/>
        <w:rPr>
          <w:color w:val="auto"/>
        </w:rPr>
      </w:pPr>
      <w:r>
        <w:rPr>
          <w:rFonts w:hint="eastAsia" w:ascii="宋体" w:hAnsi="宋体"/>
          <w:color w:val="auto"/>
          <w:sz w:val="28"/>
          <w:szCs w:val="28"/>
        </w:rPr>
        <w:t>根据该项目可行性研究报告、物质的危险、有害因素和该公司提供的其他资料分析，按照《企业工伤事故分类》GB6441-1986的规定，该项目生产过程中的主要危险因素有：火灾、爆炸、中毒与窒息、灼烫等，此外还存在触电、高处坠落、机械伤害、物体打击、起重伤害、车辆伤害、冻伤、淹溺及粉尘、噪声、高温热辐射等危险、有害因素。</w:t>
      </w:r>
    </w:p>
    <w:p>
      <w:pPr>
        <w:spacing w:line="600" w:lineRule="exact"/>
        <w:ind w:firstLine="562" w:firstLineChars="200"/>
        <w:rPr>
          <w:rFonts w:hAnsi="宋体"/>
          <w:b/>
          <w:color w:val="auto"/>
          <w:sz w:val="28"/>
          <w:szCs w:val="28"/>
        </w:rPr>
      </w:pPr>
      <w:r>
        <w:rPr>
          <w:rFonts w:hint="eastAsia" w:hAnsi="宋体"/>
          <w:b/>
          <w:color w:val="auto"/>
          <w:sz w:val="28"/>
          <w:szCs w:val="28"/>
        </w:rPr>
        <w:t>1</w:t>
      </w:r>
      <w:r>
        <w:rPr>
          <w:rFonts w:hAnsi="宋体"/>
          <w:b/>
          <w:color w:val="auto"/>
          <w:sz w:val="28"/>
          <w:szCs w:val="28"/>
        </w:rPr>
        <w:t>.</w:t>
      </w:r>
      <w:r>
        <w:rPr>
          <w:rFonts w:hint="eastAsia" w:hAnsi="宋体"/>
          <w:b/>
          <w:color w:val="auto"/>
          <w:sz w:val="28"/>
          <w:szCs w:val="28"/>
        </w:rPr>
        <w:t>火灾爆炸</w:t>
      </w:r>
    </w:p>
    <w:p>
      <w:pPr>
        <w:spacing w:line="360" w:lineRule="auto"/>
        <w:ind w:firstLine="560" w:firstLineChars="200"/>
        <w:rPr>
          <w:rFonts w:hAnsi="宋体"/>
          <w:color w:val="auto"/>
          <w:kern w:val="0"/>
          <w:sz w:val="28"/>
          <w:szCs w:val="28"/>
        </w:rPr>
      </w:pPr>
      <w:r>
        <w:rPr>
          <w:rFonts w:hint="eastAsia" w:ascii="宋体" w:hAnsi="宋体"/>
          <w:color w:val="auto"/>
          <w:sz w:val="28"/>
          <w:szCs w:val="28"/>
        </w:rPr>
        <w:t>该</w:t>
      </w:r>
      <w:r>
        <w:rPr>
          <w:rFonts w:ascii="宋体" w:hAnsi="宋体"/>
          <w:color w:val="auto"/>
          <w:sz w:val="28"/>
          <w:szCs w:val="28"/>
        </w:rPr>
        <w:t>项目涉及的危险化学品多为易燃、易爆及腐蚀性物质，主要包括</w:t>
      </w:r>
      <w:r>
        <w:rPr>
          <w:rFonts w:hint="eastAsia" w:ascii="宋体" w:hAnsi="宋体"/>
          <w:color w:val="auto"/>
          <w:sz w:val="28"/>
          <w:szCs w:val="28"/>
        </w:rPr>
        <w:t>三乙胺、四氢呋喃、丙酮、甲苯、甲醇、乙酸乙酯、液氨、DMF、叔丁醇、三氟乙酸酐、二氯甲烷、丁酮、石油醚、乙醇、异丙醇、NP</w:t>
      </w:r>
      <w:r>
        <w:rPr>
          <w:rFonts w:ascii="宋体" w:hAnsi="宋体"/>
          <w:color w:val="auto"/>
          <w:sz w:val="28"/>
          <w:szCs w:val="28"/>
        </w:rPr>
        <w:t>-10</w:t>
      </w:r>
      <w:r>
        <w:rPr>
          <w:rFonts w:hint="eastAsia" w:ascii="宋体" w:hAnsi="宋体"/>
          <w:color w:val="auto"/>
          <w:sz w:val="28"/>
          <w:szCs w:val="28"/>
        </w:rPr>
        <w:t>、环己酮等</w:t>
      </w:r>
      <w:r>
        <w:rPr>
          <w:rFonts w:ascii="宋体" w:hAnsi="宋体"/>
          <w:color w:val="auto"/>
          <w:sz w:val="28"/>
          <w:szCs w:val="28"/>
        </w:rPr>
        <w:t>易燃液体</w:t>
      </w:r>
      <w:r>
        <w:rPr>
          <w:rFonts w:hint="eastAsia" w:ascii="宋体" w:hAnsi="宋体"/>
          <w:color w:val="auto"/>
          <w:sz w:val="28"/>
          <w:szCs w:val="28"/>
        </w:rPr>
        <w:t>；液氨、三乙胺、甲基磺酰氯、硫酸、氢溴酸、三氟乙酸酐、丙酸酐、吲哚丁酸、亚硫酸氢钠、氢氧化锂（中间产物）、过氧三氟乙酸（中间产物）、三氟乙酸（中间产物）等具有腐蚀性</w:t>
      </w:r>
      <w:r>
        <w:rPr>
          <w:rFonts w:ascii="宋体" w:hAnsi="宋体"/>
          <w:color w:val="auto"/>
          <w:sz w:val="28"/>
          <w:szCs w:val="28"/>
        </w:rPr>
        <w:t>。生产过程存在高温、</w:t>
      </w:r>
      <w:r>
        <w:rPr>
          <w:rFonts w:hint="eastAsia" w:ascii="宋体" w:hAnsi="宋体"/>
          <w:color w:val="auto"/>
          <w:sz w:val="28"/>
          <w:szCs w:val="28"/>
        </w:rPr>
        <w:t>深冷、负压等工艺条件，存在磺酰化、氧化、还原、水解重排、酯化</w:t>
      </w:r>
      <w:r>
        <w:rPr>
          <w:rFonts w:hint="eastAsia" w:ascii="宋体" w:hAnsi="宋体"/>
          <w:bCs/>
          <w:color w:val="auto"/>
          <w:sz w:val="28"/>
          <w:szCs w:val="28"/>
        </w:rPr>
        <w:t>等</w:t>
      </w:r>
      <w:r>
        <w:rPr>
          <w:rFonts w:hint="eastAsia" w:ascii="宋体" w:hAnsi="宋体"/>
          <w:color w:val="auto"/>
          <w:sz w:val="28"/>
          <w:szCs w:val="28"/>
        </w:rPr>
        <w:t>化学反应；生产过程中涉及压力容器、压力管道</w:t>
      </w:r>
      <w:r>
        <w:rPr>
          <w:rFonts w:ascii="宋体" w:hAnsi="宋体"/>
          <w:color w:val="auto"/>
          <w:sz w:val="28"/>
          <w:szCs w:val="28"/>
        </w:rPr>
        <w:t>。</w:t>
      </w:r>
      <w:r>
        <w:rPr>
          <w:rFonts w:hint="eastAsia" w:ascii="宋体" w:hAnsi="宋体"/>
          <w:color w:val="auto"/>
          <w:sz w:val="28"/>
          <w:szCs w:val="28"/>
        </w:rPr>
        <w:t>具有</w:t>
      </w:r>
      <w:r>
        <w:rPr>
          <w:rFonts w:ascii="宋体" w:hAnsi="宋体"/>
          <w:color w:val="auto"/>
          <w:sz w:val="28"/>
          <w:szCs w:val="28"/>
        </w:rPr>
        <w:t>工艺流程路线长，装置复杂，压力等级众多、管路输送路线长，设备、器材、机器的品种多的特点。</w:t>
      </w:r>
      <w:r>
        <w:rPr>
          <w:rFonts w:hint="eastAsia" w:ascii="宋体" w:hAnsi="宋体"/>
          <w:color w:val="auto"/>
          <w:sz w:val="28"/>
          <w:szCs w:val="28"/>
        </w:rPr>
        <w:t>该项目</w:t>
      </w:r>
      <w:r>
        <w:rPr>
          <w:rFonts w:ascii="宋体" w:hAnsi="宋体"/>
          <w:color w:val="auto"/>
          <w:sz w:val="28"/>
          <w:szCs w:val="28"/>
        </w:rPr>
        <w:t>主要生产装置火灾危险性分类为甲类。根据《爆炸危险环境电力装置设计规范》，主要生产</w:t>
      </w:r>
      <w:r>
        <w:rPr>
          <w:rFonts w:hint="eastAsia" w:ascii="宋体" w:hAnsi="宋体"/>
          <w:color w:val="auto"/>
          <w:sz w:val="28"/>
          <w:szCs w:val="28"/>
        </w:rPr>
        <w:t>、储存</w:t>
      </w:r>
      <w:r>
        <w:rPr>
          <w:rFonts w:ascii="宋体" w:hAnsi="宋体"/>
          <w:color w:val="auto"/>
          <w:sz w:val="28"/>
          <w:szCs w:val="28"/>
        </w:rPr>
        <w:t>装置区域大部</w:t>
      </w:r>
      <w:r>
        <w:rPr>
          <w:rFonts w:hint="eastAsia" w:ascii="宋体" w:hAnsi="宋体"/>
          <w:color w:val="auto"/>
          <w:sz w:val="28"/>
          <w:szCs w:val="28"/>
        </w:rPr>
        <w:t>分为气体爆炸危险1、2区</w:t>
      </w:r>
      <w:r>
        <w:rPr>
          <w:rFonts w:hint="eastAsia" w:ascii="宋体" w:hAnsi="宋体"/>
          <w:color w:val="auto"/>
          <w:kern w:val="0"/>
          <w:sz w:val="28"/>
          <w:szCs w:val="28"/>
        </w:rPr>
        <w:t>。同时装置过程中有</w:t>
      </w:r>
      <w:r>
        <w:rPr>
          <w:rFonts w:hint="eastAsia" w:ascii="宋体" w:hAnsi="宋体"/>
          <w:color w:val="auto"/>
          <w:sz w:val="28"/>
          <w:szCs w:val="28"/>
        </w:rPr>
        <w:t>较强的腐蚀性物料</w:t>
      </w:r>
      <w:r>
        <w:rPr>
          <w:rFonts w:hint="eastAsia" w:ascii="宋体" w:hAnsi="宋体"/>
          <w:color w:val="auto"/>
          <w:kern w:val="0"/>
          <w:sz w:val="28"/>
          <w:szCs w:val="28"/>
        </w:rPr>
        <w:t>存在，</w:t>
      </w:r>
      <w:r>
        <w:rPr>
          <w:rFonts w:hint="eastAsia" w:ascii="宋体" w:hAnsi="宋体"/>
          <w:color w:val="auto"/>
          <w:sz w:val="28"/>
          <w:szCs w:val="28"/>
        </w:rPr>
        <w:t>腐蚀问题比较突出。</w:t>
      </w:r>
      <w:r>
        <w:rPr>
          <w:rFonts w:ascii="宋体" w:hAnsi="宋体"/>
          <w:color w:val="auto"/>
          <w:sz w:val="28"/>
          <w:szCs w:val="28"/>
        </w:rPr>
        <w:t>因此</w:t>
      </w:r>
      <w:r>
        <w:rPr>
          <w:rFonts w:hint="eastAsia" w:ascii="宋体" w:hAnsi="宋体"/>
          <w:color w:val="auto"/>
          <w:sz w:val="28"/>
          <w:szCs w:val="28"/>
        </w:rPr>
        <w:t>，</w:t>
      </w:r>
      <w:r>
        <w:rPr>
          <w:rFonts w:ascii="宋体" w:hAnsi="宋体"/>
          <w:color w:val="auto"/>
          <w:sz w:val="28"/>
          <w:szCs w:val="28"/>
        </w:rPr>
        <w:t>该公司设备</w:t>
      </w:r>
      <w:r>
        <w:rPr>
          <w:rFonts w:hint="eastAsia" w:ascii="宋体" w:hAnsi="宋体"/>
          <w:color w:val="auto"/>
          <w:sz w:val="28"/>
          <w:szCs w:val="28"/>
        </w:rPr>
        <w:t>、</w:t>
      </w:r>
      <w:r>
        <w:rPr>
          <w:rFonts w:ascii="宋体" w:hAnsi="宋体"/>
          <w:color w:val="auto"/>
          <w:sz w:val="28"/>
          <w:szCs w:val="28"/>
        </w:rPr>
        <w:t>管道</w:t>
      </w:r>
      <w:r>
        <w:rPr>
          <w:rFonts w:hint="eastAsia" w:ascii="宋体" w:hAnsi="宋体"/>
          <w:color w:val="auto"/>
          <w:sz w:val="28"/>
          <w:szCs w:val="28"/>
        </w:rPr>
        <w:t>，</w:t>
      </w:r>
      <w:r>
        <w:rPr>
          <w:rFonts w:ascii="宋体" w:hAnsi="宋体"/>
          <w:color w:val="auto"/>
          <w:sz w:val="28"/>
          <w:szCs w:val="28"/>
        </w:rPr>
        <w:t>任何设计不当，设备选材不妥，安装差错，投料生产操作失误都极易发生着火爆炸事故。该</w:t>
      </w:r>
      <w:r>
        <w:rPr>
          <w:rFonts w:hint="eastAsia" w:ascii="宋体" w:hAnsi="宋体"/>
          <w:color w:val="auto"/>
          <w:sz w:val="28"/>
          <w:szCs w:val="28"/>
        </w:rPr>
        <w:t>项目各</w:t>
      </w:r>
      <w:r>
        <w:rPr>
          <w:rFonts w:ascii="宋体" w:hAnsi="宋体"/>
          <w:color w:val="auto"/>
          <w:sz w:val="28"/>
          <w:szCs w:val="28"/>
        </w:rPr>
        <w:t>生产装置需要严格控制的工艺指标很多，调节手段较复杂，一旦出现失误即可能造成事故，其生产装置静、动密封点甚多，特别是动密封点（机械密封和填料涵密封）是泄漏易燃、易爆物料的重要监视部位。</w:t>
      </w:r>
      <w:r>
        <w:rPr>
          <w:rFonts w:ascii="宋体" w:hAnsi="宋体"/>
          <w:color w:val="auto"/>
          <w:kern w:val="0"/>
          <w:sz w:val="28"/>
          <w:szCs w:val="28"/>
        </w:rPr>
        <w:t>一旦发生泄漏，极易造成火灾或爆炸。</w:t>
      </w:r>
    </w:p>
    <w:p>
      <w:pPr>
        <w:spacing w:line="360" w:lineRule="auto"/>
        <w:ind w:firstLine="560" w:firstLineChars="200"/>
        <w:rPr>
          <w:color w:val="auto"/>
          <w:sz w:val="28"/>
          <w:szCs w:val="28"/>
        </w:rPr>
      </w:pPr>
      <w:r>
        <w:rPr>
          <w:rFonts w:ascii="宋体" w:hAnsi="宋体"/>
          <w:color w:val="auto"/>
          <w:sz w:val="28"/>
          <w:szCs w:val="28"/>
        </w:rPr>
        <w:t>设备或管道安装质量差、以及设备开停频繁、温度升降骤变等原因，极易引起设备、管道及其连接点、阀门、法兰等部位泄漏，造成着火爆炸。</w:t>
      </w:r>
    </w:p>
    <w:p>
      <w:pPr>
        <w:spacing w:line="360" w:lineRule="auto"/>
        <w:ind w:firstLine="560" w:firstLineChars="200"/>
        <w:textAlignment w:val="bottom"/>
        <w:rPr>
          <w:color w:val="auto"/>
          <w:sz w:val="28"/>
          <w:szCs w:val="28"/>
        </w:rPr>
      </w:pPr>
      <w:r>
        <w:rPr>
          <w:rFonts w:ascii="宋体" w:hAnsi="宋体"/>
          <w:color w:val="auto"/>
          <w:sz w:val="28"/>
          <w:szCs w:val="28"/>
        </w:rPr>
        <w:t>设备、管道在生产过程中因内部介质不断流动冲刷，造成对设备、管道壁厚减薄而引起泄漏，</w:t>
      </w:r>
      <w:r>
        <w:rPr>
          <w:rFonts w:hint="eastAsia" w:ascii="宋体" w:hAnsi="宋体"/>
          <w:color w:val="auto"/>
          <w:sz w:val="28"/>
          <w:szCs w:val="28"/>
        </w:rPr>
        <w:t>高压设备、管道的易燃物质泄漏，可能因介质本身温度、压缩膨胀热或与泄漏口处摩擦产生静电</w:t>
      </w:r>
      <w:r>
        <w:rPr>
          <w:rFonts w:ascii="宋体" w:hAnsi="宋体"/>
          <w:color w:val="auto"/>
          <w:sz w:val="28"/>
          <w:szCs w:val="28"/>
        </w:rPr>
        <w:t>发生火灾、爆炸。</w:t>
      </w:r>
    </w:p>
    <w:p>
      <w:pPr>
        <w:spacing w:line="360" w:lineRule="auto"/>
        <w:ind w:firstLine="552" w:firstLineChars="200"/>
        <w:rPr>
          <w:color w:val="auto"/>
          <w:spacing w:val="-2"/>
          <w:sz w:val="28"/>
          <w:szCs w:val="28"/>
        </w:rPr>
      </w:pPr>
      <w:r>
        <w:rPr>
          <w:rFonts w:ascii="宋体" w:hAnsi="宋体"/>
          <w:color w:val="auto"/>
          <w:spacing w:val="-2"/>
          <w:sz w:val="28"/>
          <w:szCs w:val="28"/>
        </w:rPr>
        <w:t>生产过程在一定压力</w:t>
      </w:r>
      <w:r>
        <w:rPr>
          <w:rFonts w:ascii="宋体" w:hAnsi="宋体"/>
          <w:color w:val="auto"/>
          <w:sz w:val="28"/>
          <w:szCs w:val="28"/>
        </w:rPr>
        <w:t>、温度下进行</w:t>
      </w:r>
      <w:r>
        <w:rPr>
          <w:rFonts w:ascii="宋体" w:hAnsi="宋体"/>
          <w:bCs/>
          <w:color w:val="auto"/>
          <w:spacing w:val="-2"/>
          <w:sz w:val="28"/>
          <w:szCs w:val="28"/>
        </w:rPr>
        <w:t>，</w:t>
      </w:r>
      <w:r>
        <w:rPr>
          <w:rFonts w:ascii="宋体" w:hAnsi="宋体"/>
          <w:color w:val="auto"/>
          <w:spacing w:val="-2"/>
          <w:sz w:val="28"/>
          <w:szCs w:val="28"/>
        </w:rPr>
        <w:t>如安全附件不全或不可靠，工艺控制失误，配套的冷却</w:t>
      </w:r>
      <w:r>
        <w:rPr>
          <w:rFonts w:ascii="宋体" w:hAnsi="宋体"/>
          <w:color w:val="auto"/>
          <w:sz w:val="28"/>
          <w:szCs w:val="28"/>
        </w:rPr>
        <w:t>、氮气保护等安全设施中断或不足，引起着火、爆炸事故</w:t>
      </w:r>
      <w:r>
        <w:rPr>
          <w:rFonts w:ascii="宋体" w:hAnsi="宋体"/>
          <w:color w:val="auto"/>
          <w:spacing w:val="-2"/>
          <w:sz w:val="28"/>
          <w:szCs w:val="28"/>
        </w:rPr>
        <w:t>。</w:t>
      </w:r>
    </w:p>
    <w:p>
      <w:pPr>
        <w:spacing w:line="360" w:lineRule="auto"/>
        <w:ind w:firstLine="560" w:firstLineChars="200"/>
        <w:rPr>
          <w:color w:val="auto"/>
          <w:sz w:val="28"/>
          <w:szCs w:val="28"/>
        </w:rPr>
      </w:pPr>
      <w:r>
        <w:rPr>
          <w:rFonts w:hint="eastAsia" w:ascii="宋体" w:hAnsi="宋体"/>
          <w:color w:val="auto"/>
          <w:sz w:val="28"/>
          <w:szCs w:val="28"/>
        </w:rPr>
        <w:t>该项目</w:t>
      </w:r>
      <w:r>
        <w:rPr>
          <w:rFonts w:ascii="宋体" w:hAnsi="宋体"/>
          <w:color w:val="auto"/>
          <w:sz w:val="28"/>
          <w:szCs w:val="28"/>
        </w:rPr>
        <w:t>生产过程在一定温度下进行</w:t>
      </w:r>
      <w:r>
        <w:rPr>
          <w:rFonts w:ascii="宋体" w:hAnsi="宋体"/>
          <w:bCs/>
          <w:color w:val="auto"/>
          <w:sz w:val="28"/>
          <w:szCs w:val="28"/>
        </w:rPr>
        <w:t>，而且为放热反应，</w:t>
      </w:r>
      <w:r>
        <w:rPr>
          <w:rFonts w:ascii="宋体" w:hAnsi="宋体"/>
          <w:color w:val="auto"/>
          <w:sz w:val="28"/>
          <w:szCs w:val="28"/>
        </w:rPr>
        <w:t>如安全附件不全或不可靠，工艺控制失误，配套的冷却、氮气保护等安全设施中断或不足，引起着火、爆炸事故。</w:t>
      </w:r>
    </w:p>
    <w:p>
      <w:pPr>
        <w:spacing w:line="360" w:lineRule="auto"/>
        <w:ind w:firstLine="560" w:firstLineChars="200"/>
        <w:rPr>
          <w:color w:val="auto"/>
          <w:sz w:val="28"/>
          <w:szCs w:val="28"/>
        </w:rPr>
      </w:pPr>
      <w:r>
        <w:rPr>
          <w:rFonts w:hint="eastAsia" w:ascii="宋体" w:hAnsi="宋体"/>
          <w:color w:val="auto"/>
          <w:sz w:val="28"/>
          <w:szCs w:val="28"/>
        </w:rPr>
        <w:t>该项目在反应过程存在放热反应现象，如反应时物料配比不当，操作条件未严格控制，合成釜、反应器、冷凝器等冷却水量过小或中断，热量不能及时导除引发事故。</w:t>
      </w:r>
    </w:p>
    <w:p>
      <w:pPr>
        <w:spacing w:line="360" w:lineRule="auto"/>
        <w:ind w:firstLine="560" w:firstLineChars="200"/>
        <w:rPr>
          <w:color w:val="auto"/>
          <w:sz w:val="28"/>
          <w:szCs w:val="28"/>
        </w:rPr>
      </w:pPr>
      <w:r>
        <w:rPr>
          <w:rFonts w:hint="eastAsia" w:ascii="宋体" w:hAnsi="宋体"/>
          <w:color w:val="auto"/>
          <w:sz w:val="28"/>
          <w:szCs w:val="28"/>
        </w:rPr>
        <w:t>该项目生产过程中涉及合成、蒸馏及回收套用过程，采用常压或负压，如设备、管道密封不良物料中混入空气，导致氧含量超标，形成爆炸性混合物，遇到火花、静电等点火源时，有引发爆炸的可能。</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该项目生产过程中存在计量槽、暂存罐、高位槽等，在生产运行过程中，若因操作错误、计量仪表、联锁报警装置、附件不能正常工作等原因，造成物料溢出或泄漏，有可能导致火灾、爆炸事故。</w:t>
      </w:r>
    </w:p>
    <w:p>
      <w:pPr>
        <w:spacing w:line="360" w:lineRule="auto"/>
        <w:ind w:firstLine="560" w:firstLineChars="200"/>
        <w:rPr>
          <w:bCs/>
          <w:color w:val="auto"/>
          <w:spacing w:val="-2"/>
          <w:sz w:val="28"/>
          <w:szCs w:val="28"/>
        </w:rPr>
      </w:pPr>
      <w:r>
        <w:rPr>
          <w:rFonts w:hint="eastAsia" w:ascii="宋体" w:hAnsi="宋体"/>
          <w:color w:val="auto"/>
          <w:sz w:val="28"/>
          <w:szCs w:val="28"/>
        </w:rPr>
        <w:t>该项目生产过程中</w:t>
      </w:r>
      <w:r>
        <w:rPr>
          <w:rFonts w:hint="eastAsia" w:ascii="宋体" w:hAnsi="宋体"/>
          <w:bCs/>
          <w:color w:val="auto"/>
          <w:spacing w:val="-2"/>
          <w:sz w:val="28"/>
          <w:szCs w:val="28"/>
        </w:rPr>
        <w:t>合成、蒸馏过程中温度过高或冷却效果差，造成气化的液体不能及时冷凝下来引起泄漏，发生火灾、爆炸事故。</w:t>
      </w:r>
    </w:p>
    <w:p>
      <w:pPr>
        <w:spacing w:line="360" w:lineRule="auto"/>
        <w:ind w:firstLine="560" w:firstLineChars="200"/>
        <w:rPr>
          <w:bCs/>
          <w:color w:val="auto"/>
          <w:spacing w:val="-2"/>
          <w:sz w:val="28"/>
          <w:szCs w:val="28"/>
        </w:rPr>
      </w:pPr>
      <w:r>
        <w:rPr>
          <w:rFonts w:hint="eastAsia" w:ascii="宋体" w:hAnsi="宋体"/>
          <w:color w:val="auto"/>
          <w:sz w:val="28"/>
          <w:szCs w:val="28"/>
        </w:rPr>
        <w:t>该项目生产过程中</w:t>
      </w:r>
      <w:r>
        <w:rPr>
          <w:rFonts w:hint="eastAsia" w:ascii="宋体" w:hAnsi="宋体"/>
          <w:bCs/>
          <w:color w:val="auto"/>
          <w:spacing w:val="-2"/>
          <w:sz w:val="28"/>
          <w:szCs w:val="28"/>
        </w:rPr>
        <w:t>涉及物料多，在生产过程中，操作人员违章操作或操作失误如投错物料、开错阀门、未按顺序进料或未控制加料速度，导致禁忌性物料混合</w:t>
      </w:r>
      <w:r>
        <w:rPr>
          <w:rFonts w:hint="eastAsia" w:ascii="宋体" w:hAnsi="宋体"/>
          <w:color w:val="auto"/>
          <w:sz w:val="28"/>
          <w:szCs w:val="28"/>
        </w:rPr>
        <w:t>急剧分解</w:t>
      </w:r>
      <w:r>
        <w:rPr>
          <w:rFonts w:hint="eastAsia" w:ascii="宋体" w:hAnsi="宋体"/>
          <w:bCs/>
          <w:color w:val="auto"/>
          <w:spacing w:val="-2"/>
          <w:sz w:val="28"/>
          <w:szCs w:val="28"/>
        </w:rPr>
        <w:t>或剧烈反应，可能导致发生火灾、爆炸事故。</w:t>
      </w:r>
    </w:p>
    <w:p>
      <w:pPr>
        <w:spacing w:line="360" w:lineRule="auto"/>
        <w:ind w:firstLine="560" w:firstLineChars="200"/>
        <w:rPr>
          <w:rFonts w:hAnsi="宋体"/>
          <w:color w:val="auto"/>
          <w:sz w:val="28"/>
          <w:szCs w:val="28"/>
        </w:rPr>
      </w:pPr>
      <w:r>
        <w:rPr>
          <w:rFonts w:hint="eastAsia" w:ascii="宋体" w:hAnsi="宋体"/>
          <w:color w:val="auto"/>
          <w:sz w:val="28"/>
          <w:szCs w:val="28"/>
        </w:rPr>
        <w:t>大型设备或贮罐基础设计</w:t>
      </w:r>
      <w:r>
        <w:rPr>
          <w:rFonts w:hint="eastAsia"/>
          <w:color w:val="auto"/>
          <w:sz w:val="28"/>
          <w:szCs w:val="28"/>
        </w:rPr>
        <w:t>/</w:t>
      </w:r>
      <w:r>
        <w:rPr>
          <w:rFonts w:hint="eastAsia" w:ascii="宋体" w:hAnsi="宋体"/>
          <w:color w:val="auto"/>
          <w:sz w:val="28"/>
          <w:szCs w:val="28"/>
        </w:rPr>
        <w:t>施工不当</w:t>
      </w:r>
      <w:r>
        <w:rPr>
          <w:rFonts w:ascii="宋体" w:hAnsi="宋体"/>
          <w:color w:val="auto"/>
          <w:sz w:val="28"/>
          <w:szCs w:val="28"/>
        </w:rPr>
        <w:t>，基础下沉造成</w:t>
      </w:r>
      <w:r>
        <w:rPr>
          <w:rFonts w:hint="eastAsia" w:ascii="宋体" w:hAnsi="宋体"/>
          <w:color w:val="auto"/>
          <w:sz w:val="28"/>
          <w:szCs w:val="28"/>
        </w:rPr>
        <w:t>设备、管道</w:t>
      </w:r>
      <w:r>
        <w:rPr>
          <w:rFonts w:ascii="宋体" w:hAnsi="宋体"/>
          <w:color w:val="auto"/>
          <w:sz w:val="28"/>
          <w:szCs w:val="28"/>
        </w:rPr>
        <w:t>变形拉裂；</w:t>
      </w:r>
    </w:p>
    <w:p>
      <w:pPr>
        <w:spacing w:line="360" w:lineRule="auto"/>
        <w:ind w:firstLine="560" w:firstLineChars="200"/>
        <w:rPr>
          <w:rFonts w:hAnsi="宋体"/>
          <w:color w:val="auto"/>
          <w:sz w:val="28"/>
          <w:szCs w:val="28"/>
        </w:rPr>
      </w:pPr>
      <w:r>
        <w:rPr>
          <w:rFonts w:ascii="宋体" w:hAnsi="宋体"/>
          <w:color w:val="auto"/>
          <w:sz w:val="28"/>
          <w:szCs w:val="28"/>
        </w:rPr>
        <w:t>计量槽</w:t>
      </w:r>
      <w:r>
        <w:rPr>
          <w:rFonts w:hint="eastAsia" w:ascii="宋体" w:hAnsi="宋体"/>
          <w:color w:val="auto"/>
          <w:sz w:val="28"/>
          <w:szCs w:val="28"/>
        </w:rPr>
        <w:t>、</w:t>
      </w:r>
      <w:r>
        <w:rPr>
          <w:rFonts w:ascii="宋体" w:hAnsi="宋体"/>
          <w:color w:val="auto"/>
          <w:sz w:val="28"/>
          <w:szCs w:val="28"/>
        </w:rPr>
        <w:t>高位槽等</w:t>
      </w:r>
      <w:r>
        <w:rPr>
          <w:rFonts w:hint="eastAsia" w:ascii="宋体" w:hAnsi="宋体"/>
          <w:color w:val="auto"/>
          <w:sz w:val="28"/>
          <w:szCs w:val="28"/>
        </w:rPr>
        <w:t>容器</w:t>
      </w:r>
      <w:r>
        <w:rPr>
          <w:rFonts w:ascii="宋体" w:hAnsi="宋体"/>
          <w:color w:val="auto"/>
          <w:sz w:val="28"/>
          <w:szCs w:val="28"/>
        </w:rPr>
        <w:t>过满溢流等而发生泄漏</w:t>
      </w:r>
      <w:r>
        <w:rPr>
          <w:color w:val="auto"/>
          <w:sz w:val="28"/>
          <w:szCs w:val="28"/>
        </w:rPr>
        <w:t>,</w:t>
      </w:r>
      <w:r>
        <w:rPr>
          <w:rFonts w:ascii="宋体" w:hAnsi="宋体"/>
          <w:color w:val="auto"/>
          <w:sz w:val="28"/>
          <w:szCs w:val="28"/>
        </w:rPr>
        <w:t>遇明火、高热或与氧化剂接触，有引发燃烧爆炸的危险。</w:t>
      </w:r>
    </w:p>
    <w:p>
      <w:pPr>
        <w:spacing w:line="360" w:lineRule="auto"/>
        <w:ind w:firstLine="560" w:firstLineChars="200"/>
        <w:rPr>
          <w:rFonts w:hAnsi="宋体"/>
          <w:color w:val="auto"/>
          <w:sz w:val="28"/>
          <w:szCs w:val="28"/>
        </w:rPr>
      </w:pPr>
      <w:r>
        <w:rPr>
          <w:rFonts w:ascii="宋体" w:hAnsi="宋体"/>
          <w:color w:val="auto"/>
          <w:kern w:val="0"/>
          <w:sz w:val="28"/>
          <w:szCs w:val="28"/>
        </w:rPr>
        <w:t>在</w:t>
      </w:r>
      <w:r>
        <w:rPr>
          <w:rFonts w:hint="eastAsia" w:ascii="宋体" w:hAnsi="宋体"/>
          <w:color w:val="auto"/>
          <w:kern w:val="0"/>
          <w:sz w:val="28"/>
          <w:szCs w:val="28"/>
        </w:rPr>
        <w:t>物料输送</w:t>
      </w:r>
      <w:r>
        <w:rPr>
          <w:rFonts w:ascii="宋体" w:hAnsi="宋体"/>
          <w:color w:val="auto"/>
          <w:kern w:val="0"/>
          <w:sz w:val="28"/>
          <w:szCs w:val="28"/>
        </w:rPr>
        <w:t>过程中由于液流的机械搅动作用，会大量挥发气体；</w:t>
      </w:r>
      <w:r>
        <w:rPr>
          <w:rFonts w:ascii="宋体" w:hAnsi="宋体"/>
          <w:color w:val="auto"/>
          <w:sz w:val="28"/>
          <w:szCs w:val="28"/>
        </w:rPr>
        <w:t>计量槽</w:t>
      </w:r>
      <w:r>
        <w:rPr>
          <w:rFonts w:hint="eastAsia" w:ascii="宋体" w:hAnsi="宋体"/>
          <w:color w:val="auto"/>
          <w:sz w:val="28"/>
          <w:szCs w:val="28"/>
        </w:rPr>
        <w:t>、</w:t>
      </w:r>
      <w:r>
        <w:rPr>
          <w:rFonts w:ascii="宋体" w:hAnsi="宋体"/>
          <w:color w:val="auto"/>
          <w:sz w:val="28"/>
          <w:szCs w:val="28"/>
        </w:rPr>
        <w:t>高位槽等</w:t>
      </w:r>
      <w:r>
        <w:rPr>
          <w:rFonts w:hint="eastAsia" w:ascii="宋体" w:hAnsi="宋体"/>
          <w:color w:val="auto"/>
          <w:sz w:val="28"/>
          <w:szCs w:val="28"/>
        </w:rPr>
        <w:t>容器</w:t>
      </w:r>
      <w:r>
        <w:rPr>
          <w:rFonts w:ascii="宋体" w:hAnsi="宋体"/>
          <w:color w:val="auto"/>
          <w:sz w:val="28"/>
          <w:szCs w:val="28"/>
        </w:rPr>
        <w:t>充装系数超过规定值，罐内物料不能进行正常的气液平衡造成容器损坏泄漏</w:t>
      </w:r>
      <w:r>
        <w:rPr>
          <w:color w:val="auto"/>
          <w:sz w:val="28"/>
          <w:szCs w:val="28"/>
        </w:rPr>
        <w:t>,</w:t>
      </w:r>
      <w:r>
        <w:rPr>
          <w:rFonts w:ascii="宋体" w:hAnsi="宋体"/>
          <w:color w:val="auto"/>
          <w:sz w:val="28"/>
          <w:szCs w:val="28"/>
        </w:rPr>
        <w:t>一旦泄漏</w:t>
      </w:r>
      <w:r>
        <w:rPr>
          <w:color w:val="auto"/>
          <w:sz w:val="28"/>
          <w:szCs w:val="28"/>
        </w:rPr>
        <w:t>,</w:t>
      </w:r>
      <w:r>
        <w:rPr>
          <w:rFonts w:ascii="宋体" w:hAnsi="宋体"/>
          <w:color w:val="auto"/>
          <w:sz w:val="28"/>
          <w:szCs w:val="28"/>
        </w:rPr>
        <w:t>遇明火、高热或与氧化剂接触，有引发燃烧爆炸的危险。</w:t>
      </w:r>
    </w:p>
    <w:p>
      <w:pPr>
        <w:spacing w:line="360" w:lineRule="auto"/>
        <w:ind w:firstLine="560" w:firstLineChars="200"/>
        <w:rPr>
          <w:color w:val="auto"/>
          <w:sz w:val="28"/>
          <w:szCs w:val="28"/>
        </w:rPr>
      </w:pPr>
      <w:r>
        <w:rPr>
          <w:rFonts w:ascii="宋体" w:hAnsi="宋体"/>
          <w:color w:val="auto"/>
          <w:sz w:val="28"/>
          <w:szCs w:val="28"/>
        </w:rPr>
        <w:t>设备或管道因腐蚀、安装质量差、以及设备温度升降骤变等原因，极易引起设备、管道及其连接点、阀门、法兰等部位泄漏，造成着火爆炸。</w:t>
      </w:r>
    </w:p>
    <w:p>
      <w:pPr>
        <w:spacing w:line="360" w:lineRule="auto"/>
        <w:ind w:firstLine="560" w:firstLineChars="200"/>
        <w:rPr>
          <w:color w:val="auto"/>
          <w:sz w:val="28"/>
          <w:szCs w:val="28"/>
        </w:rPr>
      </w:pPr>
      <w:r>
        <w:rPr>
          <w:rFonts w:hint="eastAsia" w:ascii="宋体" w:hAnsi="宋体"/>
          <w:color w:val="auto"/>
          <w:sz w:val="28"/>
          <w:szCs w:val="28"/>
        </w:rPr>
        <w:t>装置中</w:t>
      </w:r>
      <w:r>
        <w:rPr>
          <w:rFonts w:ascii="宋体" w:hAnsi="宋体"/>
          <w:color w:val="auto"/>
          <w:sz w:val="28"/>
          <w:szCs w:val="28"/>
        </w:rPr>
        <w:t>管道</w:t>
      </w:r>
      <w:r>
        <w:rPr>
          <w:rFonts w:hint="eastAsia" w:ascii="宋体" w:hAnsi="宋体"/>
          <w:color w:val="auto"/>
          <w:sz w:val="28"/>
          <w:szCs w:val="28"/>
        </w:rPr>
        <w:t>输送各种物料</w:t>
      </w:r>
      <w:r>
        <w:rPr>
          <w:rFonts w:ascii="宋体" w:hAnsi="宋体"/>
          <w:color w:val="auto"/>
          <w:sz w:val="28"/>
          <w:szCs w:val="28"/>
        </w:rPr>
        <w:t>，管道存在较高的应力开裂危险。应力作用破裂是指金属管道在固定拉应力和特定介质的共同作用下引起的破裂。这种破坏形式往往脆性断裂，而且往往没有预兆，对管道具有很大的危害性和破坏性。</w:t>
      </w:r>
    </w:p>
    <w:p>
      <w:pPr>
        <w:spacing w:line="360" w:lineRule="auto"/>
        <w:ind w:firstLine="560" w:firstLineChars="200"/>
        <w:rPr>
          <w:rFonts w:hAnsi="宋体"/>
          <w:color w:val="auto"/>
          <w:sz w:val="28"/>
          <w:szCs w:val="28"/>
        </w:rPr>
      </w:pPr>
      <w:r>
        <w:rPr>
          <w:rFonts w:hint="eastAsia" w:ascii="宋体" w:hAnsi="宋体"/>
          <w:color w:val="auto"/>
          <w:sz w:val="28"/>
          <w:szCs w:val="28"/>
        </w:rPr>
        <w:t>蒸馏、换热过程中</w:t>
      </w:r>
      <w:r>
        <w:rPr>
          <w:rFonts w:ascii="宋体" w:hAnsi="宋体"/>
          <w:color w:val="auto"/>
          <w:sz w:val="28"/>
          <w:szCs w:val="28"/>
        </w:rPr>
        <w:t>各种气体互串引起的爆炸事故。各种气体系统阀门泄漏、误操作，引起气体内漏、互串，常常是引起爆炸的原因。</w:t>
      </w:r>
    </w:p>
    <w:p>
      <w:pPr>
        <w:spacing w:line="360" w:lineRule="auto"/>
        <w:ind w:firstLine="560" w:firstLineChars="200"/>
        <w:rPr>
          <w:color w:val="auto"/>
          <w:spacing w:val="-4"/>
          <w:sz w:val="28"/>
          <w:szCs w:val="28"/>
        </w:rPr>
      </w:pPr>
      <w:r>
        <w:rPr>
          <w:rFonts w:ascii="宋体" w:hAnsi="宋体"/>
          <w:color w:val="auto"/>
          <w:sz w:val="28"/>
          <w:szCs w:val="28"/>
        </w:rPr>
        <w:t>装置中的泵类设备介质</w:t>
      </w:r>
      <w:r>
        <w:rPr>
          <w:rFonts w:hint="eastAsia" w:ascii="宋体" w:hAnsi="宋体"/>
          <w:color w:val="auto"/>
          <w:sz w:val="28"/>
          <w:szCs w:val="28"/>
        </w:rPr>
        <w:t>为易燃组</w:t>
      </w:r>
      <w:r>
        <w:rPr>
          <w:rFonts w:ascii="宋体" w:hAnsi="宋体"/>
          <w:color w:val="auto"/>
          <w:sz w:val="28"/>
          <w:szCs w:val="28"/>
        </w:rPr>
        <w:t>分，泵的出入口管线法兰垫片破损，有发生泄漏的危险。泵和电机受到振动，或管线应力影响，会使动密封失效而发生物料泄漏。偶</w:t>
      </w:r>
      <w:r>
        <w:rPr>
          <w:rFonts w:hint="eastAsia" w:ascii="宋体" w:hAnsi="宋体"/>
          <w:color w:val="auto"/>
          <w:sz w:val="28"/>
          <w:szCs w:val="28"/>
        </w:rPr>
        <w:t>尔</w:t>
      </w:r>
      <w:r>
        <w:rPr>
          <w:rFonts w:ascii="宋体" w:hAnsi="宋体"/>
          <w:color w:val="auto"/>
          <w:sz w:val="28"/>
          <w:szCs w:val="28"/>
        </w:rPr>
        <w:t>因轴承箱润滑不良，轴承干磨、损坏、过热，也会引起泄漏而发生火灾</w:t>
      </w:r>
      <w:r>
        <w:rPr>
          <w:rFonts w:hint="eastAsia" w:ascii="宋体" w:hAnsi="宋体"/>
          <w:color w:val="auto"/>
          <w:sz w:val="28"/>
          <w:szCs w:val="28"/>
        </w:rPr>
        <w:t>爆炸</w:t>
      </w:r>
      <w:r>
        <w:rPr>
          <w:rFonts w:ascii="宋体" w:hAnsi="宋体"/>
          <w:color w:val="auto"/>
          <w:sz w:val="28"/>
          <w:szCs w:val="28"/>
        </w:rPr>
        <w:t>。</w:t>
      </w:r>
      <w:r>
        <w:rPr>
          <w:rFonts w:ascii="宋体" w:hAnsi="宋体"/>
          <w:color w:val="auto"/>
          <w:spacing w:val="-4"/>
          <w:sz w:val="28"/>
          <w:szCs w:val="28"/>
        </w:rPr>
        <w:t>机、泵及管道因振动</w:t>
      </w:r>
      <w:r>
        <w:rPr>
          <w:rFonts w:hint="eastAsia" w:ascii="宋体" w:hAnsi="宋体"/>
          <w:color w:val="auto"/>
          <w:spacing w:val="-4"/>
          <w:sz w:val="28"/>
          <w:szCs w:val="28"/>
        </w:rPr>
        <w:t>，</w:t>
      </w:r>
      <w:r>
        <w:rPr>
          <w:rFonts w:ascii="宋体" w:hAnsi="宋体"/>
          <w:color w:val="auto"/>
          <w:spacing w:val="-4"/>
          <w:sz w:val="28"/>
          <w:szCs w:val="28"/>
        </w:rPr>
        <w:t>造成管道或附属的阀门、压力表等管道断裂</w:t>
      </w:r>
      <w:r>
        <w:rPr>
          <w:rFonts w:hint="eastAsia" w:ascii="宋体" w:hAnsi="宋体"/>
          <w:color w:val="auto"/>
          <w:spacing w:val="-4"/>
          <w:sz w:val="28"/>
          <w:szCs w:val="28"/>
        </w:rPr>
        <w:t>泄漏</w:t>
      </w:r>
      <w:r>
        <w:rPr>
          <w:rFonts w:ascii="宋体" w:hAnsi="宋体"/>
          <w:color w:val="auto"/>
          <w:spacing w:val="-4"/>
          <w:sz w:val="28"/>
          <w:szCs w:val="28"/>
        </w:rPr>
        <w:t>着火</w:t>
      </w:r>
      <w:r>
        <w:rPr>
          <w:rFonts w:hint="eastAsia" w:ascii="宋体" w:hAnsi="宋体"/>
          <w:color w:val="auto"/>
          <w:spacing w:val="-4"/>
          <w:sz w:val="28"/>
          <w:szCs w:val="28"/>
        </w:rPr>
        <w:t>、爆炸</w:t>
      </w:r>
      <w:r>
        <w:rPr>
          <w:rFonts w:ascii="宋体" w:hAnsi="宋体"/>
          <w:color w:val="auto"/>
          <w:spacing w:val="-4"/>
          <w:sz w:val="28"/>
          <w:szCs w:val="28"/>
        </w:rPr>
        <w:t>。</w:t>
      </w:r>
    </w:p>
    <w:p>
      <w:pPr>
        <w:spacing w:line="360" w:lineRule="auto"/>
        <w:ind w:firstLine="560" w:firstLineChars="200"/>
        <w:rPr>
          <w:rFonts w:hAnsi="宋体"/>
          <w:color w:val="auto"/>
          <w:kern w:val="0"/>
          <w:sz w:val="28"/>
          <w:szCs w:val="28"/>
        </w:rPr>
      </w:pPr>
      <w:r>
        <w:rPr>
          <w:rFonts w:ascii="宋体" w:hAnsi="宋体"/>
          <w:color w:val="auto"/>
          <w:sz w:val="28"/>
          <w:szCs w:val="28"/>
        </w:rPr>
        <w:t>设备</w:t>
      </w:r>
      <w:r>
        <w:rPr>
          <w:rFonts w:hint="eastAsia" w:ascii="宋体" w:hAnsi="宋体"/>
          <w:color w:val="auto"/>
          <w:sz w:val="28"/>
          <w:szCs w:val="28"/>
        </w:rPr>
        <w:t>、管道</w:t>
      </w:r>
      <w:r>
        <w:rPr>
          <w:rFonts w:ascii="宋体" w:hAnsi="宋体"/>
          <w:color w:val="auto"/>
          <w:sz w:val="28"/>
          <w:szCs w:val="28"/>
        </w:rPr>
        <w:t>在</w:t>
      </w:r>
      <w:r>
        <w:rPr>
          <w:rFonts w:hint="eastAsia" w:ascii="宋体" w:hAnsi="宋体"/>
          <w:color w:val="auto"/>
          <w:sz w:val="28"/>
          <w:szCs w:val="28"/>
        </w:rPr>
        <w:t>高</w:t>
      </w:r>
      <w:r>
        <w:rPr>
          <w:rFonts w:ascii="宋体" w:hAnsi="宋体"/>
          <w:color w:val="auto"/>
          <w:sz w:val="28"/>
          <w:szCs w:val="28"/>
        </w:rPr>
        <w:t>温下运行，又有</w:t>
      </w:r>
      <w:r>
        <w:rPr>
          <w:rFonts w:hint="eastAsia" w:ascii="宋体" w:hAnsi="宋体"/>
          <w:color w:val="auto"/>
          <w:sz w:val="28"/>
          <w:szCs w:val="28"/>
        </w:rPr>
        <w:t>腐蚀性</w:t>
      </w:r>
      <w:r>
        <w:rPr>
          <w:rFonts w:ascii="宋体" w:hAnsi="宋体"/>
          <w:color w:val="auto"/>
          <w:sz w:val="28"/>
          <w:szCs w:val="28"/>
        </w:rPr>
        <w:t>物料因素影响，因这些因素影响导致设备、系统的失效可能性较多，后果严重。高温可加速设备金属材料发生蠕变、改变金</w:t>
      </w:r>
      <w:r>
        <w:rPr>
          <w:rFonts w:hint="eastAsia" w:ascii="宋体" w:hAnsi="宋体"/>
          <w:color w:val="auto"/>
          <w:sz w:val="28"/>
          <w:szCs w:val="28"/>
        </w:rPr>
        <w:t>属</w:t>
      </w:r>
      <w:r>
        <w:rPr>
          <w:rFonts w:ascii="宋体" w:hAnsi="宋体"/>
          <w:color w:val="auto"/>
          <w:sz w:val="28"/>
          <w:szCs w:val="28"/>
        </w:rPr>
        <w:t>组织，还会加剧氮气对钢材的渗氮，加剧设备的疲劳腐蚀，使其机械强度减弱，引发物理爆炸</w:t>
      </w:r>
      <w:r>
        <w:rPr>
          <w:rFonts w:hint="eastAsia" w:ascii="宋体" w:hAnsi="宋体"/>
          <w:color w:val="auto"/>
          <w:sz w:val="28"/>
          <w:szCs w:val="28"/>
        </w:rPr>
        <w:t>或泄漏引起火灾、爆炸</w:t>
      </w:r>
      <w:r>
        <w:rPr>
          <w:rFonts w:ascii="宋体" w:hAnsi="宋体"/>
          <w:color w:val="auto"/>
          <w:kern w:val="0"/>
          <w:sz w:val="28"/>
          <w:szCs w:val="28"/>
        </w:rPr>
        <w:t>。</w:t>
      </w:r>
    </w:p>
    <w:p>
      <w:pPr>
        <w:spacing w:line="360" w:lineRule="auto"/>
        <w:ind w:firstLine="560" w:firstLineChars="200"/>
        <w:rPr>
          <w:color w:val="auto"/>
          <w:sz w:val="28"/>
          <w:szCs w:val="28"/>
        </w:rPr>
      </w:pPr>
      <w:r>
        <w:rPr>
          <w:rFonts w:ascii="宋体" w:hAnsi="宋体"/>
          <w:color w:val="auto"/>
          <w:sz w:val="28"/>
          <w:szCs w:val="28"/>
        </w:rPr>
        <w:t>换热器因温度、流量变化大，热胀冷缩使设备受力不均匀，</w:t>
      </w:r>
      <w:r>
        <w:rPr>
          <w:rFonts w:hint="eastAsia" w:ascii="宋体" w:hAnsi="宋体"/>
          <w:color w:val="auto"/>
          <w:sz w:val="28"/>
          <w:szCs w:val="28"/>
        </w:rPr>
        <w:t>腐蚀等原因</w:t>
      </w:r>
      <w:r>
        <w:rPr>
          <w:rFonts w:ascii="宋体" w:hAnsi="宋体"/>
          <w:color w:val="auto"/>
          <w:sz w:val="28"/>
          <w:szCs w:val="28"/>
        </w:rPr>
        <w:t>产生裂缝</w:t>
      </w:r>
      <w:r>
        <w:rPr>
          <w:rFonts w:hint="eastAsia" w:ascii="宋体" w:hAnsi="宋体"/>
          <w:color w:val="auto"/>
          <w:sz w:val="28"/>
          <w:szCs w:val="28"/>
        </w:rPr>
        <w:t>泄漏</w:t>
      </w:r>
      <w:r>
        <w:rPr>
          <w:rFonts w:ascii="宋体" w:hAnsi="宋体"/>
          <w:color w:val="auto"/>
          <w:sz w:val="28"/>
          <w:szCs w:val="28"/>
        </w:rPr>
        <w:t>着火</w:t>
      </w:r>
      <w:r>
        <w:rPr>
          <w:rFonts w:hint="eastAsia" w:ascii="宋体" w:hAnsi="宋体"/>
          <w:color w:val="auto"/>
          <w:sz w:val="28"/>
          <w:szCs w:val="28"/>
        </w:rPr>
        <w:t>、爆炸。</w:t>
      </w:r>
    </w:p>
    <w:p>
      <w:pPr>
        <w:spacing w:line="360" w:lineRule="auto"/>
        <w:ind w:firstLine="560" w:firstLineChars="200"/>
        <w:rPr>
          <w:color w:val="auto"/>
          <w:sz w:val="28"/>
          <w:szCs w:val="28"/>
        </w:rPr>
      </w:pPr>
      <w:r>
        <w:rPr>
          <w:rFonts w:ascii="宋体" w:hAnsi="宋体"/>
          <w:color w:val="auto"/>
          <w:sz w:val="28"/>
          <w:szCs w:val="28"/>
        </w:rPr>
        <w:t>除</w:t>
      </w:r>
      <w:r>
        <w:rPr>
          <w:rFonts w:hint="eastAsia" w:ascii="宋体" w:hAnsi="宋体"/>
          <w:color w:val="auto"/>
          <w:sz w:val="28"/>
          <w:szCs w:val="28"/>
        </w:rPr>
        <w:t>设备、管道</w:t>
      </w:r>
      <w:r>
        <w:rPr>
          <w:rFonts w:ascii="宋体" w:hAnsi="宋体"/>
          <w:color w:val="auto"/>
          <w:sz w:val="28"/>
          <w:szCs w:val="28"/>
        </w:rPr>
        <w:t>本体外，其附件、密封件缺陷，也可引起</w:t>
      </w:r>
      <w:r>
        <w:rPr>
          <w:rFonts w:hint="eastAsia" w:ascii="宋体" w:hAnsi="宋体"/>
          <w:color w:val="auto"/>
          <w:sz w:val="28"/>
          <w:szCs w:val="28"/>
        </w:rPr>
        <w:t>泄</w:t>
      </w:r>
      <w:r>
        <w:rPr>
          <w:rFonts w:ascii="宋体" w:hAnsi="宋体"/>
          <w:color w:val="auto"/>
          <w:sz w:val="28"/>
          <w:szCs w:val="28"/>
        </w:rPr>
        <w:t>漏，工艺操作不当，倒错流程，可能引起系统失控，超温超压而发生外泄，甚至导致爆炸。</w:t>
      </w:r>
    </w:p>
    <w:p>
      <w:pPr>
        <w:spacing w:line="360" w:lineRule="auto"/>
        <w:ind w:firstLine="560" w:firstLineChars="200"/>
        <w:rPr>
          <w:color w:val="auto"/>
          <w:sz w:val="28"/>
          <w:szCs w:val="28"/>
        </w:rPr>
      </w:pPr>
      <w:r>
        <w:rPr>
          <w:rFonts w:ascii="宋体" w:hAnsi="宋体"/>
          <w:color w:val="auto"/>
          <w:sz w:val="28"/>
          <w:szCs w:val="28"/>
        </w:rPr>
        <w:t>输送管道架空敷设，跨越厂区道路，可能存在过往车辆超高装载而碰断发生事故引起。</w:t>
      </w:r>
    </w:p>
    <w:p>
      <w:pPr>
        <w:spacing w:line="360" w:lineRule="auto"/>
        <w:ind w:firstLine="560" w:firstLineChars="200"/>
        <w:rPr>
          <w:color w:val="auto"/>
          <w:sz w:val="28"/>
          <w:szCs w:val="28"/>
        </w:rPr>
      </w:pPr>
      <w:r>
        <w:rPr>
          <w:rFonts w:ascii="宋体" w:hAnsi="宋体"/>
          <w:color w:val="auto"/>
          <w:sz w:val="28"/>
          <w:szCs w:val="28"/>
        </w:rPr>
        <w:t>存在低温液体的设备</w:t>
      </w:r>
      <w:r>
        <w:rPr>
          <w:rFonts w:hint="eastAsia" w:ascii="宋体" w:hAnsi="宋体"/>
          <w:color w:val="auto"/>
          <w:sz w:val="28"/>
          <w:szCs w:val="28"/>
        </w:rPr>
        <w:t>、管道</w:t>
      </w:r>
      <w:r>
        <w:rPr>
          <w:rFonts w:ascii="宋体" w:hAnsi="宋体"/>
          <w:color w:val="auto"/>
          <w:sz w:val="28"/>
          <w:szCs w:val="28"/>
        </w:rPr>
        <w:t>绝热措施不到位或破坏，检修前未按规程进行高温吹</w:t>
      </w:r>
      <w:r>
        <w:rPr>
          <w:rFonts w:hint="eastAsia" w:ascii="宋体" w:hAnsi="宋体"/>
          <w:color w:val="auto"/>
          <w:sz w:val="28"/>
          <w:szCs w:val="28"/>
        </w:rPr>
        <w:t>扫</w:t>
      </w:r>
      <w:r>
        <w:rPr>
          <w:rFonts w:ascii="宋体" w:hAnsi="宋体"/>
          <w:color w:val="auto"/>
          <w:sz w:val="28"/>
          <w:szCs w:val="28"/>
        </w:rPr>
        <w:t>等原因，低温液体受热急剧膨胀引起爆炸。</w:t>
      </w:r>
    </w:p>
    <w:p>
      <w:pPr>
        <w:spacing w:line="360" w:lineRule="auto"/>
        <w:ind w:firstLine="560" w:firstLineChars="200"/>
        <w:rPr>
          <w:rFonts w:hAnsi="宋体"/>
          <w:color w:val="auto"/>
          <w:sz w:val="28"/>
          <w:szCs w:val="28"/>
        </w:rPr>
      </w:pPr>
      <w:r>
        <w:rPr>
          <w:rFonts w:ascii="宋体" w:hAnsi="宋体"/>
          <w:color w:val="auto"/>
          <w:sz w:val="28"/>
          <w:szCs w:val="28"/>
        </w:rPr>
        <w:t>当生产系统处于正常状态下，由于联系不当、操作失误、安全</w:t>
      </w:r>
      <w:r>
        <w:rPr>
          <w:rFonts w:hint="eastAsia" w:ascii="宋体" w:hAnsi="宋体"/>
          <w:color w:val="auto"/>
          <w:sz w:val="28"/>
          <w:szCs w:val="28"/>
        </w:rPr>
        <w:t>联</w:t>
      </w:r>
      <w:r>
        <w:rPr>
          <w:rFonts w:ascii="宋体" w:hAnsi="宋体"/>
          <w:color w:val="auto"/>
          <w:sz w:val="28"/>
          <w:szCs w:val="28"/>
        </w:rPr>
        <w:t>锁装置失灵及检查不周</w:t>
      </w:r>
      <w:r>
        <w:rPr>
          <w:rFonts w:hint="eastAsia" w:ascii="宋体" w:hAnsi="宋体"/>
          <w:color w:val="auto"/>
          <w:sz w:val="28"/>
          <w:szCs w:val="28"/>
        </w:rPr>
        <w:t>、人为解除</w:t>
      </w:r>
      <w:r>
        <w:rPr>
          <w:rFonts w:ascii="宋体" w:hAnsi="宋体"/>
          <w:color w:val="auto"/>
          <w:sz w:val="28"/>
          <w:szCs w:val="28"/>
        </w:rPr>
        <w:t>，以及设备、管道缺陷等原因，使设备</w:t>
      </w:r>
      <w:r>
        <w:rPr>
          <w:rFonts w:hint="eastAsia" w:ascii="宋体" w:hAnsi="宋体"/>
          <w:color w:val="auto"/>
          <w:sz w:val="28"/>
          <w:szCs w:val="28"/>
        </w:rPr>
        <w:t>、管道泄漏或排放</w:t>
      </w:r>
      <w:r>
        <w:rPr>
          <w:rFonts w:ascii="宋体" w:hAnsi="宋体"/>
          <w:color w:val="auto"/>
          <w:sz w:val="28"/>
          <w:szCs w:val="28"/>
        </w:rPr>
        <w:t>形成爆炸性混合气体，在高温、摩擦、静电等能源的作用下，即可引起爆炸。</w:t>
      </w:r>
    </w:p>
    <w:p>
      <w:pPr>
        <w:spacing w:line="360" w:lineRule="auto"/>
        <w:ind w:firstLine="560" w:firstLineChars="200"/>
        <w:rPr>
          <w:color w:val="auto"/>
          <w:sz w:val="28"/>
          <w:szCs w:val="28"/>
        </w:rPr>
      </w:pPr>
      <w:r>
        <w:rPr>
          <w:rFonts w:hint="eastAsia" w:ascii="宋体" w:hAnsi="宋体"/>
          <w:color w:val="auto"/>
          <w:sz w:val="28"/>
          <w:szCs w:val="28"/>
        </w:rPr>
        <w:t>操作人员对出现的设备或工艺故障未及时发现或采取的措施不当等。液体排液、放空或取样时，若阀门开度过大，容易产生静电或引起着火事故。</w:t>
      </w:r>
    </w:p>
    <w:p>
      <w:pPr>
        <w:spacing w:line="360" w:lineRule="auto"/>
        <w:ind w:firstLine="560" w:firstLineChars="200"/>
        <w:rPr>
          <w:rFonts w:ascii="宋体" w:hAnsi="宋体"/>
          <w:color w:val="auto"/>
          <w:spacing w:val="-2"/>
          <w:sz w:val="28"/>
          <w:szCs w:val="28"/>
        </w:rPr>
      </w:pPr>
      <w:r>
        <w:rPr>
          <w:rFonts w:hint="eastAsia" w:ascii="宋体" w:hAnsi="宋体"/>
          <w:color w:val="auto"/>
          <w:sz w:val="28"/>
          <w:szCs w:val="28"/>
        </w:rPr>
        <w:t>该项目</w:t>
      </w:r>
      <w:r>
        <w:rPr>
          <w:rFonts w:ascii="宋体" w:hAnsi="宋体"/>
          <w:color w:val="auto"/>
          <w:spacing w:val="-2"/>
          <w:sz w:val="28"/>
          <w:szCs w:val="28"/>
        </w:rPr>
        <w:t>采用</w:t>
      </w:r>
      <w:r>
        <w:rPr>
          <w:color w:val="auto"/>
          <w:spacing w:val="-2"/>
          <w:sz w:val="28"/>
          <w:szCs w:val="28"/>
        </w:rPr>
        <w:t>DCS</w:t>
      </w:r>
      <w:r>
        <w:rPr>
          <w:rFonts w:ascii="宋体" w:hAnsi="宋体"/>
          <w:color w:val="auto"/>
          <w:spacing w:val="-2"/>
          <w:sz w:val="28"/>
          <w:szCs w:val="28"/>
        </w:rPr>
        <w:t>自动控制系统</w:t>
      </w:r>
      <w:r>
        <w:rPr>
          <w:rFonts w:hint="eastAsia" w:ascii="宋体" w:hAnsi="宋体"/>
          <w:color w:val="auto"/>
          <w:spacing w:val="-2"/>
          <w:sz w:val="28"/>
          <w:szCs w:val="28"/>
        </w:rPr>
        <w:t>、</w:t>
      </w:r>
      <w:r>
        <w:rPr>
          <w:rFonts w:hAnsi="宋体"/>
          <w:color w:val="auto"/>
          <w:spacing w:val="-2"/>
          <w:sz w:val="28"/>
          <w:szCs w:val="28"/>
        </w:rPr>
        <w:t>SIS</w:t>
      </w:r>
      <w:r>
        <w:rPr>
          <w:rFonts w:ascii="宋体" w:hAnsi="宋体"/>
          <w:color w:val="auto"/>
          <w:spacing w:val="-2"/>
          <w:sz w:val="28"/>
          <w:szCs w:val="28"/>
        </w:rPr>
        <w:t>系统等，如果检测仪表失灵或不准确，上传给控制系统的信号与实际数值出现偏差，操作件失灵或仪表空气压力不足、仪表空气中带液在管道末端积聚，造成操作机构失灵，或者变送信号线屏蔽不好，产生感应信号等引起误动作，引发事故。</w:t>
      </w:r>
    </w:p>
    <w:p>
      <w:pPr>
        <w:spacing w:line="360" w:lineRule="auto"/>
        <w:ind w:firstLine="552" w:firstLineChars="200"/>
        <w:rPr>
          <w:rFonts w:ascii="宋体" w:hAnsi="宋体"/>
          <w:color w:val="auto"/>
          <w:spacing w:val="-2"/>
          <w:sz w:val="28"/>
          <w:szCs w:val="28"/>
        </w:rPr>
      </w:pPr>
      <w:r>
        <w:rPr>
          <w:rFonts w:hint="eastAsia" w:ascii="宋体" w:hAnsi="宋体"/>
          <w:bCs/>
          <w:color w:val="auto"/>
          <w:spacing w:val="-2"/>
          <w:sz w:val="28"/>
          <w:szCs w:val="28"/>
        </w:rPr>
        <w:t>该项目部分反应设备设有搅拌方式，搅拌器设计或选型不当，如机械强度不足，变形而与反应器器壁摩擦造成事故。搅拌速度过快时可能会产生静电，如设备内存在易燃液体蒸气和空气的爆炸性混合物，会导致火灾和爆炸事故。特别是对于放热反应如中途停止搅拌，物料不能充分混匀，反应不良，且大量积聚</w:t>
      </w:r>
      <w:r>
        <w:rPr>
          <w:rFonts w:hint="eastAsia"/>
          <w:bCs/>
          <w:color w:val="auto"/>
          <w:spacing w:val="-2"/>
          <w:sz w:val="28"/>
          <w:szCs w:val="28"/>
        </w:rPr>
        <w:t>；</w:t>
      </w:r>
      <w:r>
        <w:rPr>
          <w:rFonts w:hint="eastAsia" w:ascii="宋体" w:hAnsi="宋体"/>
          <w:bCs/>
          <w:color w:val="auto"/>
          <w:spacing w:val="-2"/>
          <w:sz w:val="28"/>
          <w:szCs w:val="28"/>
        </w:rPr>
        <w:t>而当搅拌恢复时，则大量未反应的物料迅速混合，反应剧烈，往往造成冲料，有燃烧、爆炸危险。</w:t>
      </w:r>
    </w:p>
    <w:p>
      <w:pPr>
        <w:spacing w:line="360" w:lineRule="auto"/>
        <w:ind w:firstLine="552" w:firstLineChars="200"/>
        <w:rPr>
          <w:rFonts w:ascii="宋体" w:hAnsi="宋体"/>
          <w:bCs/>
          <w:color w:val="auto"/>
          <w:spacing w:val="-2"/>
          <w:sz w:val="28"/>
          <w:szCs w:val="28"/>
        </w:rPr>
      </w:pPr>
      <w:r>
        <w:rPr>
          <w:rFonts w:ascii="宋体" w:hAnsi="宋体"/>
          <w:bCs/>
          <w:color w:val="auto"/>
          <w:spacing w:val="-2"/>
          <w:sz w:val="28"/>
          <w:szCs w:val="28"/>
        </w:rPr>
        <w:t>生产过程中发生停电，尤其是局部停电，冷冻水、循环水、仪表用压缩空气等中断，反应不能及时中止，阀门不能正常动作，可能发生事故。</w:t>
      </w:r>
    </w:p>
    <w:p>
      <w:pPr>
        <w:spacing w:line="360" w:lineRule="auto"/>
        <w:ind w:firstLine="560" w:firstLineChars="200"/>
        <w:rPr>
          <w:rFonts w:ascii="宋体" w:hAnsi="宋体"/>
          <w:bCs/>
          <w:color w:val="auto"/>
          <w:spacing w:val="-2"/>
          <w:sz w:val="28"/>
          <w:szCs w:val="28"/>
        </w:rPr>
      </w:pPr>
      <w:r>
        <w:rPr>
          <w:rFonts w:hint="eastAsia" w:ascii="宋体" w:hAnsi="宋体"/>
          <w:color w:val="auto"/>
          <w:sz w:val="28"/>
          <w:szCs w:val="28"/>
        </w:rPr>
        <w:t>该项目产品生产为间歇性，如前批生产物料未清理干净，加入互为禁忌物料，可引发火灾爆炸事故。如投料前未采用氮气等物料进行置换，设备内氧含量超标与物料形成爆炸性气体环境，遇高热，可引发火灾爆炸事故。</w:t>
      </w:r>
    </w:p>
    <w:p>
      <w:pPr>
        <w:spacing w:line="360" w:lineRule="auto"/>
        <w:ind w:firstLine="560" w:firstLineChars="200"/>
        <w:rPr>
          <w:rFonts w:hAnsi="宋体"/>
          <w:color w:val="auto"/>
          <w:sz w:val="28"/>
          <w:szCs w:val="28"/>
        </w:rPr>
      </w:pPr>
      <w:r>
        <w:rPr>
          <w:rFonts w:ascii="宋体" w:hAnsi="宋体"/>
          <w:color w:val="auto"/>
          <w:sz w:val="28"/>
          <w:szCs w:val="28"/>
        </w:rPr>
        <w:t>设备冲洗水或排污过程中夹带有易燃物料，进入阀门井或污水沟中积聚，因遇火或受热、遇禁忌性物料等原因发生着火或爆炸。</w:t>
      </w:r>
    </w:p>
    <w:p>
      <w:pPr>
        <w:spacing w:line="360" w:lineRule="auto"/>
        <w:ind w:firstLine="560" w:firstLineChars="200"/>
        <w:rPr>
          <w:color w:val="auto"/>
          <w:sz w:val="28"/>
          <w:szCs w:val="28"/>
        </w:rPr>
      </w:pPr>
      <w:r>
        <w:rPr>
          <w:rFonts w:ascii="宋体" w:hAnsi="宋体"/>
          <w:color w:val="auto"/>
          <w:sz w:val="28"/>
          <w:szCs w:val="28"/>
        </w:rPr>
        <w:t>操作人员对出现的设备或工艺故障未及时发现或采取的措施不当等。液体排液、放空或取样时，若阀门开度过大，容易产生静电或引起着火事故。</w:t>
      </w:r>
    </w:p>
    <w:p>
      <w:pPr>
        <w:spacing w:line="360" w:lineRule="auto"/>
        <w:ind w:firstLine="560" w:firstLineChars="200"/>
        <w:rPr>
          <w:bCs/>
          <w:color w:val="auto"/>
          <w:sz w:val="28"/>
          <w:szCs w:val="28"/>
        </w:rPr>
      </w:pPr>
      <w:r>
        <w:rPr>
          <w:rFonts w:ascii="宋体" w:hAnsi="宋体"/>
          <w:color w:val="auto"/>
          <w:sz w:val="28"/>
          <w:szCs w:val="28"/>
        </w:rPr>
        <w:t>计量槽</w:t>
      </w:r>
      <w:r>
        <w:rPr>
          <w:rFonts w:hint="eastAsia" w:ascii="宋体" w:hAnsi="宋体"/>
          <w:color w:val="auto"/>
          <w:sz w:val="28"/>
          <w:szCs w:val="28"/>
        </w:rPr>
        <w:t>、</w:t>
      </w:r>
      <w:r>
        <w:rPr>
          <w:rFonts w:ascii="宋体" w:hAnsi="宋体"/>
          <w:color w:val="auto"/>
          <w:sz w:val="28"/>
          <w:szCs w:val="28"/>
        </w:rPr>
        <w:t>高位槽等液位过低，易造成泵抽空</w:t>
      </w:r>
      <w:r>
        <w:rPr>
          <w:rFonts w:hint="eastAsia" w:ascii="宋体" w:hAnsi="宋体"/>
          <w:color w:val="auto"/>
          <w:sz w:val="28"/>
          <w:szCs w:val="28"/>
        </w:rPr>
        <w:t>，造成容器破裂，物料泄漏</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试车、开车阶段，温度变化频繁，导致接口松动，导致液体大量泄漏；焊接质量差，特别是焊接接头处未焊透，又未进行焊缝探伤检查、爆破试验，导致反应釜、冷凝器、接收罐等设备、管道焊接接头泄漏或产生疲劳断裂，进而大量易燃易爆流体溢出；由于腐蚀(包括应力腐蚀、晶间腐蚀)，耐压强度下降，使管束失效或产生严重泄漏，遇明火发生爆炸。反应釜、冷凝器等设备：由于人孔、管口等连接处焊缝裂纹、腐蚀、紧固件松动等以及设备明显缺陷因素，引起泄漏。</w:t>
      </w:r>
    </w:p>
    <w:p>
      <w:pPr>
        <w:spacing w:line="360" w:lineRule="auto"/>
        <w:ind w:firstLine="560" w:firstLineChars="200"/>
        <w:rPr>
          <w:color w:val="auto"/>
          <w:sz w:val="28"/>
          <w:szCs w:val="28"/>
        </w:rPr>
      </w:pPr>
      <w:r>
        <w:rPr>
          <w:rFonts w:hint="eastAsia" w:ascii="宋体" w:hAnsi="宋体"/>
          <w:color w:val="auto"/>
          <w:sz w:val="28"/>
          <w:szCs w:val="28"/>
        </w:rPr>
        <w:t>车间内液体储罐如布置不合理，靠近热源或暂存罐中液位过高且温度控制不当，液体物料急剧气化引起爆炸事故；</w:t>
      </w:r>
    </w:p>
    <w:p>
      <w:pPr>
        <w:spacing w:line="360" w:lineRule="auto"/>
        <w:ind w:firstLine="560" w:firstLineChars="200"/>
        <w:rPr>
          <w:color w:val="auto"/>
          <w:sz w:val="24"/>
          <w:szCs w:val="24"/>
        </w:rPr>
      </w:pPr>
      <w:r>
        <w:rPr>
          <w:rFonts w:hint="eastAsia" w:ascii="宋体" w:hAnsi="宋体"/>
          <w:color w:val="auto"/>
          <w:sz w:val="28"/>
          <w:szCs w:val="28"/>
        </w:rPr>
        <w:t>在防爆区域内电气、仪表系统的选型不符合防爆等级及温度组别的要求，安装、配线不符合防爆要求，发生泄漏可导致着火、爆炸。在爆炸危险区域内使用非防爆电气设备。在爆炸危险区域内动火检修时，未办理动火许可证，未按操作规程规定对该系统进行吹扫、清洗、置换、检测，无专人监护，均易引起爆燃事故</w:t>
      </w:r>
      <w:r>
        <w:rPr>
          <w:rFonts w:hint="eastAsia" w:ascii="宋体" w:hAnsi="宋体"/>
          <w:color w:val="auto"/>
          <w:sz w:val="24"/>
          <w:szCs w:val="24"/>
        </w:rPr>
        <w:t>。</w:t>
      </w:r>
    </w:p>
    <w:p>
      <w:pPr>
        <w:spacing w:line="360" w:lineRule="auto"/>
        <w:ind w:firstLine="560" w:firstLineChars="200"/>
        <w:rPr>
          <w:color w:val="auto"/>
          <w:sz w:val="28"/>
          <w:szCs w:val="28"/>
        </w:rPr>
      </w:pPr>
      <w:r>
        <w:rPr>
          <w:rFonts w:ascii="宋体" w:hAnsi="宋体"/>
          <w:color w:val="auto"/>
          <w:sz w:val="28"/>
          <w:szCs w:val="28"/>
        </w:rPr>
        <w:t>设备开车或交出检修时，由于设备、管道等生产系统没有进行清冼、置换或置换不合格，也会发生火灾、爆炸。</w:t>
      </w:r>
    </w:p>
    <w:p>
      <w:pPr>
        <w:spacing w:line="360" w:lineRule="auto"/>
        <w:ind w:firstLine="560" w:firstLineChars="200"/>
        <w:rPr>
          <w:color w:val="auto"/>
          <w:sz w:val="28"/>
          <w:szCs w:val="28"/>
        </w:rPr>
      </w:pPr>
      <w:r>
        <w:rPr>
          <w:rFonts w:ascii="宋体" w:hAnsi="宋体"/>
          <w:color w:val="auto"/>
          <w:sz w:val="28"/>
          <w:szCs w:val="28"/>
        </w:rPr>
        <w:t>在设备检修作业过程中由于违章检修、违章动火作业引起的着火、爆炸等。巡检人员或检修人员工具不按规定使用而造成高处落物损坏管道造成泄漏等；因管道标志不清检修时误拆管道；检修时吊车、叉车等起重作业不小心碰断管线。</w:t>
      </w:r>
    </w:p>
    <w:p>
      <w:pPr>
        <w:spacing w:line="360" w:lineRule="auto"/>
        <w:ind w:firstLine="560" w:firstLineChars="200"/>
        <w:rPr>
          <w:color w:val="auto"/>
          <w:sz w:val="28"/>
          <w:szCs w:val="28"/>
        </w:rPr>
      </w:pPr>
      <w:r>
        <w:rPr>
          <w:rFonts w:ascii="宋体" w:hAnsi="宋体"/>
          <w:color w:val="auto"/>
          <w:sz w:val="28"/>
          <w:szCs w:val="28"/>
        </w:rPr>
        <w:t>设备基础、支架因地质灾害、长期腐蚀或着火后受热变形，造成管线焊点拉裂</w:t>
      </w:r>
      <w:r>
        <w:rPr>
          <w:rFonts w:hint="eastAsia" w:ascii="宋体" w:hAnsi="宋体"/>
          <w:color w:val="auto"/>
          <w:sz w:val="28"/>
          <w:szCs w:val="28"/>
        </w:rPr>
        <w:t>泄</w:t>
      </w:r>
      <w:r>
        <w:rPr>
          <w:rFonts w:ascii="宋体" w:hAnsi="宋体"/>
          <w:color w:val="auto"/>
          <w:sz w:val="28"/>
          <w:szCs w:val="28"/>
        </w:rPr>
        <w:t>漏着火</w:t>
      </w:r>
      <w:r>
        <w:rPr>
          <w:rFonts w:hint="eastAsia" w:ascii="宋体" w:hAnsi="宋体"/>
          <w:color w:val="auto"/>
          <w:sz w:val="28"/>
          <w:szCs w:val="28"/>
        </w:rPr>
        <w:t>、爆炸</w:t>
      </w:r>
      <w:r>
        <w:rPr>
          <w:rFonts w:ascii="宋体" w:hAnsi="宋体"/>
          <w:color w:val="auto"/>
          <w:sz w:val="28"/>
          <w:szCs w:val="28"/>
        </w:rPr>
        <w:t>。</w:t>
      </w:r>
    </w:p>
    <w:p>
      <w:pPr>
        <w:spacing w:line="360" w:lineRule="auto"/>
        <w:ind w:firstLine="560" w:firstLineChars="200"/>
        <w:rPr>
          <w:rFonts w:ascii="宋体" w:hAnsi="宋体"/>
          <w:bCs/>
          <w:color w:val="auto"/>
          <w:sz w:val="28"/>
          <w:szCs w:val="28"/>
        </w:rPr>
      </w:pPr>
      <w:r>
        <w:rPr>
          <w:rFonts w:hint="eastAsia" w:ascii="宋体" w:hAnsi="宋体"/>
          <w:bCs/>
          <w:color w:val="auto"/>
          <w:sz w:val="28"/>
          <w:szCs w:val="28"/>
        </w:rPr>
        <w:t>三乙胺、四氢呋喃、二甲基甲酰胺、丙酮、甲苯、丁酮、乙酸乙酯、叔丁醇、石油醚、甲醇、乙醇、异丙醇等在输送过程中，由于流动和冲击或介质流速过快，易产生静电积聚。若管道和设备的防静电措施不落实或效果不佳，不能将静电及时导走，则会产生静电积聚，从而产生较高的静电电位，发生静电放电，可引发火灾爆炸事故。</w:t>
      </w:r>
    </w:p>
    <w:p>
      <w:pPr>
        <w:spacing w:line="360" w:lineRule="auto"/>
        <w:ind w:firstLine="560" w:firstLineChars="200"/>
        <w:rPr>
          <w:rFonts w:ascii="宋体" w:hAnsi="宋体"/>
          <w:bCs/>
          <w:color w:val="auto"/>
          <w:sz w:val="28"/>
          <w:szCs w:val="28"/>
        </w:rPr>
      </w:pPr>
      <w:r>
        <w:rPr>
          <w:rFonts w:hint="eastAsia" w:ascii="宋体" w:hAnsi="宋体"/>
          <w:bCs/>
          <w:color w:val="auto"/>
          <w:sz w:val="28"/>
          <w:szCs w:val="28"/>
        </w:rPr>
        <w:t>在生产装置开、停车时，若存在易燃易爆物质的设备中空气未完全置换，与空气混合形成爆炸性混合物，遇明火、高热能等，可引起火灾、爆炸事故。</w:t>
      </w:r>
    </w:p>
    <w:p>
      <w:pPr>
        <w:spacing w:line="360" w:lineRule="auto"/>
        <w:ind w:firstLine="544" w:firstLineChars="200"/>
        <w:rPr>
          <w:rFonts w:hAnsi="宋体"/>
          <w:color w:val="auto"/>
          <w:spacing w:val="-4"/>
          <w:sz w:val="28"/>
          <w:szCs w:val="28"/>
        </w:rPr>
      </w:pPr>
      <w:r>
        <w:rPr>
          <w:rFonts w:ascii="宋体" w:hAnsi="宋体"/>
          <w:color w:val="auto"/>
          <w:spacing w:val="-4"/>
          <w:sz w:val="28"/>
          <w:szCs w:val="28"/>
        </w:rPr>
        <w:t>进入防爆区域内的机动车辆未戴阻火器，可能引发火灾、爆炸事故。</w:t>
      </w:r>
      <w:r>
        <w:rPr>
          <w:rFonts w:hint="eastAsia" w:ascii="宋体" w:hAnsi="宋体"/>
          <w:color w:val="auto"/>
          <w:spacing w:val="-4"/>
          <w:sz w:val="28"/>
          <w:szCs w:val="28"/>
        </w:rPr>
        <w:t>进入防爆场所的厂内机动车辆不防爆，可引起火灾、爆炸事故。</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该项目涉及尾气收集系统，如各分支管道未设置阻火设施或设施失效，存在发生火灾爆炸的可能。</w:t>
      </w:r>
    </w:p>
    <w:p>
      <w:pPr>
        <w:spacing w:line="360" w:lineRule="auto"/>
        <w:ind w:firstLine="560" w:firstLineChars="200"/>
        <w:rPr>
          <w:rFonts w:ascii="宋体" w:hAnsi="宋体"/>
          <w:color w:val="auto"/>
          <w:sz w:val="28"/>
          <w:szCs w:val="28"/>
        </w:rPr>
      </w:pPr>
      <w:r>
        <w:rPr>
          <w:rFonts w:hint="eastAsia" w:ascii="宋体" w:hAnsi="宋体"/>
          <w:color w:val="auto"/>
          <w:sz w:val="28"/>
          <w:szCs w:val="28"/>
        </w:rPr>
        <w:t>机泵为高速旋转设备，一旦密封失效大量油品泄出会引发火灾事故，此外，如机泵、电机润滑不良，容易发生抱轴事故，轻者损坏轴、轴承，重者扭断泵轴，造成物料泄漏引发火灾事故。在维修热泵时，若事前处理不当或维修人员未检查处理就拆泵，会发生热物料泄漏，发生火灾、爆炸事故。</w:t>
      </w:r>
    </w:p>
    <w:p>
      <w:pPr>
        <w:spacing w:line="360" w:lineRule="auto"/>
        <w:ind w:firstLine="560" w:firstLineChars="200"/>
        <w:rPr>
          <w:color w:val="auto"/>
          <w:sz w:val="28"/>
          <w:szCs w:val="28"/>
        </w:rPr>
      </w:pPr>
      <w:r>
        <w:rPr>
          <w:rFonts w:hint="eastAsia"/>
          <w:color w:val="auto"/>
          <w:sz w:val="28"/>
          <w:szCs w:val="28"/>
          <w:shd w:val="clear" w:color="auto" w:fill="FFFFFF"/>
        </w:rPr>
        <w:t>人工添加金属锂为遇湿易燃品，具刺激性及强还原性。使用过程中如发生泄漏与水、酸类或碱金属氢氧化物接触能放出易燃的氢气。与氧化剂、硫磺反应会引起燃烧或爆炸。粉末与空气能形成爆炸性混合物，易被明火点燃引起爆炸；如现场使用开包后剩余物料过多，暴露在潮湿空气中易自行发热燃烧。</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2.中毒窒息</w:t>
      </w:r>
    </w:p>
    <w:p>
      <w:pPr>
        <w:spacing w:line="360" w:lineRule="auto"/>
        <w:ind w:firstLine="560" w:firstLineChars="200"/>
        <w:jc w:val="left"/>
        <w:rPr>
          <w:rFonts w:ascii="宋体" w:hAnsi="宋体"/>
          <w:color w:val="auto"/>
          <w:sz w:val="28"/>
          <w:szCs w:val="28"/>
        </w:rPr>
      </w:pPr>
      <w:r>
        <w:rPr>
          <w:rFonts w:ascii="宋体" w:hAnsi="宋体"/>
          <w:color w:val="auto"/>
          <w:sz w:val="28"/>
          <w:szCs w:val="28"/>
        </w:rPr>
        <w:t>该项目存在的有毒及腐蚀性物质品种多、分布广。</w:t>
      </w:r>
      <w:r>
        <w:rPr>
          <w:rFonts w:hint="eastAsia" w:ascii="宋体" w:hAnsi="宋体"/>
          <w:color w:val="auto"/>
          <w:sz w:val="28"/>
          <w:szCs w:val="28"/>
        </w:rPr>
        <w:t>该项目存在液氨</w:t>
      </w:r>
      <w:r>
        <w:rPr>
          <w:rFonts w:hint="eastAsia" w:ascii="宋体" w:hAnsi="宋体"/>
          <w:bCs/>
          <w:color w:val="auto"/>
          <w:sz w:val="28"/>
          <w:szCs w:val="28"/>
        </w:rPr>
        <w:t>、乙醛、甲醇、甲苯、甲基磺酰氯、二氯甲烷、中间产物（副产物）中的氯化氢和二氧化硫</w:t>
      </w:r>
      <w:r>
        <w:rPr>
          <w:rFonts w:hint="eastAsia" w:ascii="宋体" w:hAnsi="宋体"/>
          <w:color w:val="auto"/>
          <w:sz w:val="28"/>
          <w:szCs w:val="28"/>
        </w:rPr>
        <w:t>等均具有一定的毒性；液氮（氮气）及反应过程中产生的二氧化碳、氢气具有窒息性；发生物料泄漏，中毒和窒息的危险可能性较大。</w:t>
      </w:r>
    </w:p>
    <w:p>
      <w:pPr>
        <w:spacing w:line="360" w:lineRule="auto"/>
        <w:ind w:firstLine="560" w:firstLineChars="200"/>
        <w:rPr>
          <w:rFonts w:ascii="宋体" w:hAnsi="宋体"/>
          <w:color w:val="auto"/>
          <w:sz w:val="28"/>
          <w:szCs w:val="28"/>
        </w:rPr>
      </w:pPr>
      <w:r>
        <w:rPr>
          <w:rFonts w:hint="eastAsia" w:ascii="宋体" w:hAnsi="宋体"/>
          <w:color w:val="auto"/>
          <w:sz w:val="28"/>
          <w:szCs w:val="28"/>
        </w:rPr>
        <w:t>由于该项目部分操作存在一定温度和压力，且存在腐蚀性物质，设备及管道易发生腐蚀泄漏；</w:t>
      </w:r>
      <w:r>
        <w:rPr>
          <w:rFonts w:ascii="宋体" w:hAnsi="宋体"/>
          <w:color w:val="auto"/>
          <w:sz w:val="28"/>
          <w:szCs w:val="28"/>
        </w:rPr>
        <w:t>而且生产过程中</w:t>
      </w:r>
      <w:r>
        <w:rPr>
          <w:rFonts w:hint="eastAsia" w:ascii="宋体" w:hAnsi="宋体"/>
          <w:color w:val="auto"/>
          <w:sz w:val="28"/>
          <w:szCs w:val="28"/>
        </w:rPr>
        <w:t>有毒液体蒸汽以</w:t>
      </w:r>
      <w:r>
        <w:rPr>
          <w:rFonts w:ascii="宋体" w:hAnsi="宋体"/>
          <w:color w:val="auto"/>
          <w:sz w:val="28"/>
          <w:szCs w:val="28"/>
        </w:rPr>
        <w:t>气态存在，加大了中毒的危险性</w:t>
      </w:r>
      <w:r>
        <w:rPr>
          <w:rFonts w:hint="eastAsia" w:ascii="宋体" w:hAnsi="宋体"/>
          <w:color w:val="auto"/>
          <w:sz w:val="28"/>
          <w:szCs w:val="28"/>
        </w:rPr>
        <w:t>。</w:t>
      </w:r>
      <w:r>
        <w:rPr>
          <w:rFonts w:ascii="宋体" w:hAnsi="宋体"/>
          <w:color w:val="auto"/>
          <w:sz w:val="28"/>
          <w:szCs w:val="28"/>
        </w:rPr>
        <w:t>如设备</w:t>
      </w:r>
      <w:r>
        <w:rPr>
          <w:rFonts w:hint="eastAsia" w:ascii="宋体" w:hAnsi="宋体"/>
          <w:color w:val="auto"/>
          <w:sz w:val="28"/>
          <w:szCs w:val="28"/>
        </w:rPr>
        <w:t>、</w:t>
      </w:r>
      <w:r>
        <w:rPr>
          <w:rFonts w:ascii="宋体" w:hAnsi="宋体"/>
          <w:color w:val="auto"/>
          <w:sz w:val="28"/>
          <w:szCs w:val="28"/>
        </w:rPr>
        <w:t>管道</w:t>
      </w:r>
      <w:r>
        <w:rPr>
          <w:rFonts w:hint="eastAsia" w:ascii="宋体" w:hAnsi="宋体"/>
          <w:color w:val="auto"/>
          <w:sz w:val="28"/>
          <w:szCs w:val="28"/>
        </w:rPr>
        <w:t>、</w:t>
      </w:r>
      <w:r>
        <w:rPr>
          <w:rFonts w:ascii="宋体" w:hAnsi="宋体"/>
          <w:color w:val="auto"/>
          <w:sz w:val="28"/>
          <w:szCs w:val="28"/>
        </w:rPr>
        <w:t>仪表、联锁报警装置、附件等出现意外损坏或操作失控造成</w:t>
      </w:r>
      <w:r>
        <w:rPr>
          <w:rFonts w:hint="eastAsia" w:ascii="宋体" w:hAnsi="宋体"/>
          <w:color w:val="auto"/>
          <w:sz w:val="28"/>
          <w:szCs w:val="28"/>
        </w:rPr>
        <w:t>有毒物质等</w:t>
      </w:r>
      <w:r>
        <w:rPr>
          <w:rFonts w:ascii="宋体" w:hAnsi="宋体"/>
          <w:color w:val="auto"/>
          <w:sz w:val="28"/>
          <w:szCs w:val="28"/>
        </w:rPr>
        <w:t>泄漏，致使其挥发混存于空气中，有毒气体</w:t>
      </w:r>
      <w:r>
        <w:rPr>
          <w:rFonts w:hint="eastAsia" w:ascii="宋体" w:hAnsi="宋体"/>
          <w:color w:val="auto"/>
          <w:sz w:val="28"/>
          <w:szCs w:val="28"/>
        </w:rPr>
        <w:t>或窒息性气体</w:t>
      </w:r>
      <w:r>
        <w:rPr>
          <w:rFonts w:ascii="宋体" w:hAnsi="宋体"/>
          <w:color w:val="auto"/>
          <w:sz w:val="28"/>
          <w:szCs w:val="28"/>
        </w:rPr>
        <w:t>不断积聚，会造成有毒</w:t>
      </w:r>
      <w:r>
        <w:rPr>
          <w:rFonts w:hint="eastAsia" w:ascii="宋体" w:hAnsi="宋体"/>
          <w:color w:val="auto"/>
          <w:sz w:val="28"/>
          <w:szCs w:val="28"/>
        </w:rPr>
        <w:t>或窒息性</w:t>
      </w:r>
      <w:r>
        <w:rPr>
          <w:rFonts w:ascii="宋体" w:hAnsi="宋体"/>
          <w:color w:val="auto"/>
          <w:sz w:val="28"/>
          <w:szCs w:val="28"/>
        </w:rPr>
        <w:t>成分在一定区域空气内的浓度升高。如果作业场所</w:t>
      </w:r>
      <w:r>
        <w:rPr>
          <w:rFonts w:hint="eastAsia" w:ascii="宋体" w:hAnsi="宋体"/>
          <w:color w:val="auto"/>
          <w:sz w:val="28"/>
          <w:szCs w:val="28"/>
        </w:rPr>
        <w:t>有毒或窒息性物质大量聚集且</w:t>
      </w:r>
      <w:r>
        <w:rPr>
          <w:rFonts w:ascii="宋体" w:hAnsi="宋体"/>
          <w:color w:val="auto"/>
          <w:sz w:val="28"/>
          <w:szCs w:val="28"/>
        </w:rPr>
        <w:t>通风条件不好；作业人员的个人防护又不当，有可能导致中毒</w:t>
      </w:r>
      <w:r>
        <w:rPr>
          <w:rFonts w:hint="eastAsia" w:ascii="宋体" w:hAnsi="宋体"/>
          <w:color w:val="auto"/>
          <w:sz w:val="28"/>
          <w:szCs w:val="28"/>
        </w:rPr>
        <w:t>；当</w:t>
      </w:r>
      <w:r>
        <w:rPr>
          <w:rFonts w:ascii="宋体" w:hAnsi="宋体"/>
          <w:color w:val="auto"/>
          <w:sz w:val="28"/>
          <w:szCs w:val="28"/>
        </w:rPr>
        <w:t>有毒</w:t>
      </w:r>
      <w:r>
        <w:rPr>
          <w:rFonts w:hint="eastAsia" w:ascii="宋体" w:hAnsi="宋体"/>
          <w:color w:val="auto"/>
          <w:sz w:val="28"/>
          <w:szCs w:val="28"/>
        </w:rPr>
        <w:t>或窒息性</w:t>
      </w:r>
      <w:r>
        <w:rPr>
          <w:rFonts w:ascii="宋体" w:hAnsi="宋体"/>
          <w:color w:val="auto"/>
          <w:sz w:val="28"/>
          <w:szCs w:val="28"/>
        </w:rPr>
        <w:t>成分在一定区域空气内的浓度</w:t>
      </w:r>
      <w:r>
        <w:rPr>
          <w:rFonts w:hint="eastAsia" w:ascii="宋体" w:hAnsi="宋体"/>
          <w:color w:val="auto"/>
          <w:sz w:val="28"/>
          <w:szCs w:val="28"/>
        </w:rPr>
        <w:t>达到或超过急性中毒</w:t>
      </w:r>
      <w:r>
        <w:rPr>
          <w:rFonts w:ascii="宋体" w:hAnsi="宋体"/>
          <w:color w:val="auto"/>
          <w:sz w:val="28"/>
          <w:szCs w:val="28"/>
        </w:rPr>
        <w:t>浓度</w:t>
      </w:r>
      <w:r>
        <w:rPr>
          <w:rFonts w:hint="eastAsia" w:ascii="宋体" w:hAnsi="宋体"/>
          <w:color w:val="auto"/>
          <w:sz w:val="28"/>
          <w:szCs w:val="28"/>
        </w:rPr>
        <w:t>时，可导致急性中毒或</w:t>
      </w:r>
      <w:r>
        <w:rPr>
          <w:rFonts w:ascii="宋体" w:hAnsi="宋体"/>
          <w:color w:val="auto"/>
          <w:sz w:val="28"/>
          <w:szCs w:val="28"/>
        </w:rPr>
        <w:t>使人窒息死亡。</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在生产过程中使用液氨，温度越高，液氨的其蒸发量越大，如保冷达不到要求，液氨大量气化，系统内压增大，易导致泄漏产生，如果生产过程中设备部件破损、或误操作造成物料泄漏，通风不良情况下，存在中毒和窒息事故的可能性。</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该项目涉及有毒物料等中间罐，如布置不合理，靠近热源或中间罐等中液位过高且温度控制不当，液体物料急剧气化设备管道内压增大</w:t>
      </w:r>
      <w:r>
        <w:rPr>
          <w:rFonts w:hint="eastAsia" w:ascii="宋体" w:hAnsi="宋体"/>
          <w:color w:val="auto"/>
          <w:spacing w:val="-2"/>
          <w:sz w:val="28"/>
          <w:szCs w:val="28"/>
        </w:rPr>
        <w:t>，一旦泄漏危险性较大</w:t>
      </w:r>
      <w:r>
        <w:rPr>
          <w:rFonts w:hint="eastAsia" w:ascii="宋体" w:hAnsi="宋体"/>
          <w:color w:val="auto"/>
          <w:sz w:val="28"/>
          <w:szCs w:val="28"/>
        </w:rPr>
        <w:t>，可导致急性中毒或</w:t>
      </w:r>
      <w:r>
        <w:rPr>
          <w:rFonts w:ascii="宋体" w:hAnsi="宋体"/>
          <w:color w:val="auto"/>
          <w:sz w:val="28"/>
          <w:szCs w:val="28"/>
        </w:rPr>
        <w:t>使人窒息死亡。</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该项目副产物二氧化硫、副产物氢气、二氧化碳、吹扫置换用氮气均为窒息性气体，如作业场所通风不良，则存在中毒和窒息的可能性；</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可能存在超压的设备设置有安全阀、常压存储设备高位槽、计量槽等设置有呼吸阀等，如果系统超压、温度过高或受热造成饱和蒸气压升高排放，有毒气体未引向安全场所，可导致中毒或</w:t>
      </w:r>
      <w:r>
        <w:rPr>
          <w:rFonts w:ascii="宋体" w:hAnsi="宋体"/>
          <w:color w:val="auto"/>
          <w:sz w:val="28"/>
          <w:szCs w:val="28"/>
        </w:rPr>
        <w:t>使人窒息死亡</w:t>
      </w:r>
      <w:r>
        <w:rPr>
          <w:rFonts w:hint="eastAsia" w:ascii="宋体" w:hAnsi="宋体"/>
          <w:color w:val="auto"/>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装置存在槽、罐、釜等，进入设备内作业时由于设备内未清洗置换干净，造成人员中毒。或虽进行了清洗、置换，但可能因通风不良，清洗、置换不彻底等原因造成设备内氧含量降低，出现窒息危险。</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生产装置发生火灾、爆炸产生有毒有害气体，或火灾、爆炸造成设备损坏致使有毒物料泄漏、气化扩散。</w:t>
      </w:r>
    </w:p>
    <w:p>
      <w:pPr>
        <w:spacing w:line="360" w:lineRule="auto"/>
        <w:ind w:firstLine="560" w:firstLineChars="200"/>
        <w:jc w:val="left"/>
        <w:rPr>
          <w:rFonts w:ascii="宋体" w:hAnsi="宋体"/>
          <w:color w:val="auto"/>
          <w:sz w:val="28"/>
          <w:szCs w:val="28"/>
        </w:rPr>
      </w:pPr>
      <w:r>
        <w:rPr>
          <w:rFonts w:ascii="宋体" w:hAnsi="宋体"/>
          <w:color w:val="auto"/>
          <w:sz w:val="28"/>
          <w:szCs w:val="28"/>
        </w:rPr>
        <w:t>尾气</w:t>
      </w:r>
      <w:r>
        <w:rPr>
          <w:rFonts w:hint="eastAsia" w:ascii="宋体" w:hAnsi="宋体"/>
          <w:color w:val="auto"/>
          <w:sz w:val="28"/>
          <w:szCs w:val="28"/>
        </w:rPr>
        <w:t>输送发生泄漏</w:t>
      </w:r>
      <w:r>
        <w:rPr>
          <w:rFonts w:ascii="宋体" w:hAnsi="宋体"/>
          <w:color w:val="auto"/>
          <w:sz w:val="28"/>
          <w:szCs w:val="28"/>
        </w:rPr>
        <w:t>，易造成人员中毒和环境污染。</w:t>
      </w:r>
    </w:p>
    <w:p>
      <w:pPr>
        <w:ind w:firstLine="562" w:firstLineChars="200"/>
        <w:rPr>
          <w:rFonts w:ascii="宋体" w:hAnsi="宋体"/>
          <w:b/>
          <w:color w:val="auto"/>
          <w:sz w:val="28"/>
          <w:szCs w:val="28"/>
        </w:rPr>
      </w:pPr>
      <w:r>
        <w:rPr>
          <w:rFonts w:hint="eastAsia" w:ascii="宋体" w:hAnsi="宋体"/>
          <w:b/>
          <w:color w:val="auto"/>
          <w:sz w:val="28"/>
          <w:szCs w:val="28"/>
        </w:rPr>
        <w:t>3</w:t>
      </w:r>
      <w:r>
        <w:rPr>
          <w:rFonts w:ascii="宋体" w:hAnsi="宋体"/>
          <w:b/>
          <w:color w:val="auto"/>
          <w:sz w:val="28"/>
          <w:szCs w:val="28"/>
        </w:rPr>
        <w:t>.</w:t>
      </w:r>
      <w:r>
        <w:rPr>
          <w:rFonts w:hint="eastAsia" w:ascii="宋体" w:hAnsi="宋体"/>
          <w:b/>
          <w:color w:val="auto"/>
          <w:sz w:val="28"/>
          <w:szCs w:val="28"/>
        </w:rPr>
        <w:t>容器爆炸</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该项目涉及压力容器、压力管道，若设备的承压较低，易发生容器爆炸事故。操作条件对容器有耐压、耐高温要求。若设备的承压较低或选用材质不当、制造质量不合格，易发生容器爆炸事故。</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该项目工艺存在低压设备,如蒸馏采用负压、常压，承压设备、管道连接在不同的压力下，存在极大的压差，如设备缺陷、使用中被腐蚀、操作违章、运行中超压以及高压串低压等而</w:t>
      </w:r>
      <w:r>
        <w:rPr>
          <w:rFonts w:ascii="宋体" w:hAnsi="宋体"/>
          <w:color w:val="auto"/>
          <w:sz w:val="28"/>
          <w:szCs w:val="28"/>
        </w:rPr>
        <w:t>仪表、联锁报警装置、附件等</w:t>
      </w:r>
      <w:r>
        <w:rPr>
          <w:rFonts w:hint="eastAsia" w:ascii="宋体" w:hAnsi="宋体"/>
          <w:color w:val="auto"/>
          <w:sz w:val="28"/>
          <w:szCs w:val="28"/>
        </w:rPr>
        <w:t>又</w:t>
      </w:r>
      <w:r>
        <w:rPr>
          <w:rFonts w:ascii="宋体" w:hAnsi="宋体"/>
          <w:color w:val="auto"/>
          <w:sz w:val="28"/>
          <w:szCs w:val="28"/>
        </w:rPr>
        <w:t>出现意外</w:t>
      </w:r>
      <w:r>
        <w:rPr>
          <w:rFonts w:hint="eastAsia" w:ascii="宋体" w:hAnsi="宋体"/>
          <w:color w:val="auto"/>
          <w:sz w:val="28"/>
          <w:szCs w:val="28"/>
        </w:rPr>
        <w:t>、损坏等各种原因均可引起容器爆炸，内部可燃物急剧膨胀冲出，具有引发二次化学爆炸火灾的危险性。</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该项目部分设备涉及温度超过60</w:t>
      </w:r>
      <w:r>
        <w:rPr>
          <w:rFonts w:hint="eastAsia" w:ascii="宋体" w:hAnsi="宋体"/>
          <w:bCs/>
          <w:color w:val="auto"/>
          <w:spacing w:val="-2"/>
          <w:sz w:val="28"/>
          <w:szCs w:val="28"/>
        </w:rPr>
        <w:t>℃，会导致物料气化，容器、管道内压增大，存在发生容器爆炸的可能性；</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该项目生产过程操作温度高，负压，但如果生产过程中设备部件破损、腐蚀或误操作造成液体泄漏或蒸发形成气体，存在容器事故的可能性。</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该项目生产</w:t>
      </w:r>
      <w:r>
        <w:rPr>
          <w:rFonts w:hint="eastAsia" w:ascii="宋体" w:hAnsi="宋体"/>
          <w:color w:val="auto"/>
          <w:spacing w:val="-2"/>
          <w:sz w:val="28"/>
          <w:szCs w:val="28"/>
        </w:rPr>
        <w:t>是在一定</w:t>
      </w:r>
      <w:r>
        <w:rPr>
          <w:rFonts w:hint="eastAsia" w:ascii="宋体" w:hAnsi="宋体"/>
          <w:color w:val="auto"/>
          <w:sz w:val="28"/>
          <w:szCs w:val="28"/>
        </w:rPr>
        <w:t>温度下进行</w:t>
      </w:r>
      <w:r>
        <w:rPr>
          <w:rFonts w:hint="eastAsia" w:ascii="宋体" w:hAnsi="宋体"/>
          <w:bCs/>
          <w:color w:val="auto"/>
          <w:spacing w:val="-2"/>
          <w:sz w:val="28"/>
          <w:szCs w:val="28"/>
        </w:rPr>
        <w:t>，而且为放热反应，</w:t>
      </w:r>
      <w:r>
        <w:rPr>
          <w:rFonts w:hint="eastAsia" w:ascii="宋体" w:hAnsi="宋体"/>
          <w:color w:val="auto"/>
          <w:sz w:val="28"/>
          <w:szCs w:val="28"/>
        </w:rPr>
        <w:t>反应过程控制条件苛刻，需冷却水带走热量，如果温度控制高造成物料分解过快，可能造成容器内压升高，设备爆炸，同时造成周围设备损坏，易燃物料泄漏引起二次事故</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该项目反应过程中存在生成无机盐，如无机盐结晶，泵体、出口管道堵塞，可能会引发设备内压力增大，造成容器爆炸事故。</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该项目涉及易燃液体等，如中间储罐、计量罐或管道如布置不合理，靠近高温环境，靠近热源或中间罐中液位过高且温度控制不当，液体物料急剧气化，可能会造成容器爆炸事故。</w:t>
      </w:r>
    </w:p>
    <w:p>
      <w:pPr>
        <w:spacing w:line="360" w:lineRule="auto"/>
        <w:ind w:firstLine="560" w:firstLineChars="200"/>
        <w:jc w:val="left"/>
        <w:rPr>
          <w:rFonts w:ascii="宋体" w:hAnsi="宋体"/>
          <w:color w:val="auto"/>
          <w:sz w:val="28"/>
          <w:szCs w:val="28"/>
        </w:rPr>
      </w:pPr>
      <w:r>
        <w:rPr>
          <w:rFonts w:ascii="宋体" w:hAnsi="宋体"/>
          <w:color w:val="auto"/>
          <w:sz w:val="28"/>
          <w:szCs w:val="28"/>
        </w:rPr>
        <w:t>该公司压力容器等由于制造和安装质量缺陷的扩展，违章操作，超压、超温运行，腐蚀性物质对材料的蚀损，以及受物料冲刷的蚀损，将会发生压力容器的爆破或泄漏引起的爆炸事故；在过载运行或与各种介质的接触，交变应力的作用使金属材料降低承压能力，安全附件失效时，存在着发生物理爆炸的危险性。</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压力容器（含压力管道）设计存在安全保护装置失效、设计制造单位无资质或设计不合理、材质选用不当及存在制造缺陷、安装、改造、维修单位无资质或安装、改造、维修不符合规范要求、工艺指标控制不当、作业人员违章操作有可能造成压力容器超压爆炸；长期腐蚀导致器壁减薄也可造成爆炸事故。压力容器或加压设备存在缺陷，稍有疏忽，便可发生容器爆炸或火灾事故。系统高压运行容易发生超压，系统压力超过了其能够承受的许用压力，最终超过设备及配件的强度极限而爆炸或局部炸裂。压力容器爆炸事故不但使设备损坏，而且还会波及周围的设备、建筑、人群，并能产生巨大的冲击波，具有很大的破坏力。</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若压力设备、管道安全泄放口设计不合理，导致管道内压力急剧增加，或管道材质不符合要求，也会发生压力管道爆炸。</w:t>
      </w:r>
    </w:p>
    <w:p>
      <w:pPr>
        <w:ind w:firstLine="562" w:firstLineChars="200"/>
        <w:rPr>
          <w:b/>
          <w:color w:val="auto"/>
          <w:sz w:val="28"/>
          <w:szCs w:val="28"/>
        </w:rPr>
      </w:pPr>
      <w:r>
        <w:rPr>
          <w:rFonts w:hint="eastAsia"/>
          <w:b/>
          <w:color w:val="auto"/>
          <w:sz w:val="28"/>
          <w:szCs w:val="28"/>
        </w:rPr>
        <w:t>4</w:t>
      </w:r>
      <w:r>
        <w:rPr>
          <w:b/>
          <w:color w:val="auto"/>
          <w:sz w:val="28"/>
          <w:szCs w:val="28"/>
        </w:rPr>
        <w:t>.</w:t>
      </w:r>
      <w:r>
        <w:rPr>
          <w:rFonts w:hint="eastAsia"/>
          <w:b/>
          <w:color w:val="auto"/>
          <w:sz w:val="28"/>
          <w:szCs w:val="28"/>
        </w:rPr>
        <w:t>灼烫</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该项目生产中涉及液氨、硫酸、三乙胺、甲基磺酰氯、氢溴酸、三氟乙酸酐、丙酸酐、亚硫酸氢钠、NP</w:t>
      </w:r>
      <w:r>
        <w:rPr>
          <w:rFonts w:ascii="宋体" w:hAnsi="宋体"/>
          <w:color w:val="auto"/>
          <w:sz w:val="28"/>
          <w:szCs w:val="28"/>
        </w:rPr>
        <w:t>-10</w:t>
      </w:r>
      <w:r>
        <w:rPr>
          <w:rFonts w:hint="eastAsia" w:ascii="宋体" w:hAnsi="宋体"/>
          <w:color w:val="auto"/>
          <w:sz w:val="28"/>
          <w:szCs w:val="28"/>
        </w:rPr>
        <w:t>、吲哚丁酸等均具有一定的腐蚀性，</w:t>
      </w:r>
      <w:r>
        <w:rPr>
          <w:rFonts w:ascii="宋体" w:hAnsi="宋体"/>
          <w:color w:val="auto"/>
          <w:sz w:val="28"/>
          <w:szCs w:val="28"/>
        </w:rPr>
        <w:t>如果设备、管道</w:t>
      </w:r>
      <w:r>
        <w:rPr>
          <w:rFonts w:hint="eastAsia" w:ascii="宋体" w:hAnsi="宋体"/>
          <w:color w:val="auto"/>
          <w:sz w:val="28"/>
          <w:szCs w:val="28"/>
        </w:rPr>
        <w:t>等</w:t>
      </w:r>
      <w:r>
        <w:rPr>
          <w:rFonts w:ascii="宋体" w:hAnsi="宋体"/>
          <w:color w:val="auto"/>
          <w:sz w:val="28"/>
          <w:szCs w:val="28"/>
        </w:rPr>
        <w:t>装置有缺陷</w:t>
      </w:r>
      <w:r>
        <w:rPr>
          <w:rFonts w:hint="eastAsia" w:ascii="宋体" w:hAnsi="宋体"/>
          <w:color w:val="auto"/>
          <w:sz w:val="28"/>
          <w:szCs w:val="28"/>
        </w:rPr>
        <w:t>，</w:t>
      </w:r>
      <w:r>
        <w:rPr>
          <w:rFonts w:ascii="宋体" w:hAnsi="宋体"/>
          <w:color w:val="auto"/>
          <w:sz w:val="28"/>
          <w:szCs w:val="28"/>
        </w:rPr>
        <w:t>阀门连接</w:t>
      </w:r>
      <w:r>
        <w:rPr>
          <w:rFonts w:hint="eastAsia" w:ascii="宋体" w:hAnsi="宋体"/>
          <w:color w:val="auto"/>
          <w:sz w:val="28"/>
          <w:szCs w:val="28"/>
        </w:rPr>
        <w:t>、</w:t>
      </w:r>
      <w:r>
        <w:rPr>
          <w:rFonts w:ascii="宋体" w:hAnsi="宋体"/>
          <w:color w:val="auto"/>
          <w:sz w:val="28"/>
          <w:szCs w:val="28"/>
        </w:rPr>
        <w:t>设备密封不好或材质不良腐蚀泄漏，</w:t>
      </w:r>
      <w:r>
        <w:rPr>
          <w:rFonts w:hint="eastAsia" w:ascii="宋体" w:hAnsi="宋体"/>
          <w:color w:val="auto"/>
          <w:sz w:val="28"/>
          <w:szCs w:val="28"/>
        </w:rPr>
        <w:t>或者作业人员违章作业、未穿戴安全防护用品都有可能发生化学灼伤事故。</w:t>
      </w:r>
    </w:p>
    <w:p>
      <w:pPr>
        <w:spacing w:line="360" w:lineRule="auto"/>
        <w:ind w:firstLine="537" w:firstLineChars="192"/>
        <w:rPr>
          <w:rFonts w:ascii="宋体" w:hAnsi="宋体"/>
          <w:color w:val="auto"/>
          <w:sz w:val="28"/>
          <w:szCs w:val="28"/>
        </w:rPr>
      </w:pPr>
      <w:r>
        <w:rPr>
          <w:rFonts w:hint="eastAsia" w:ascii="宋体" w:hAnsi="宋体"/>
          <w:color w:val="auto"/>
          <w:sz w:val="28"/>
          <w:szCs w:val="28"/>
        </w:rPr>
        <w:t>在生产过程中，存在大量的腐蚀性物料，如出现：误操作（冒槽）、槽体损坏、管路损坏外力对槽体及管路撞击等情况，易导致腐蚀性物料泄漏，人体接触到会造成腐蚀，形成化学灼伤。</w:t>
      </w:r>
    </w:p>
    <w:p>
      <w:pPr>
        <w:spacing w:line="360" w:lineRule="auto"/>
        <w:ind w:firstLine="537" w:firstLineChars="192"/>
        <w:rPr>
          <w:rFonts w:ascii="宋体" w:hAnsi="宋体"/>
          <w:color w:val="auto"/>
          <w:sz w:val="28"/>
          <w:szCs w:val="28"/>
        </w:rPr>
      </w:pPr>
      <w:r>
        <w:rPr>
          <w:rFonts w:hint="eastAsia" w:ascii="宋体" w:hAnsi="宋体"/>
          <w:color w:val="auto"/>
          <w:sz w:val="28"/>
          <w:szCs w:val="28"/>
        </w:rPr>
        <w:t>该项目中使用高温介质进行加热升温，操作温度在60℃以上，装置、管道内存在有高温物料及介质，如保温不良高温部分外露，或是高温物料及介质发生泄漏时，会对附近的人员造成烫伤。</w:t>
      </w:r>
    </w:p>
    <w:p>
      <w:pPr>
        <w:ind w:firstLine="562" w:firstLineChars="200"/>
        <w:rPr>
          <w:b/>
          <w:color w:val="auto"/>
          <w:sz w:val="28"/>
          <w:szCs w:val="28"/>
        </w:rPr>
      </w:pPr>
      <w:r>
        <w:rPr>
          <w:rFonts w:hint="eastAsia"/>
          <w:b/>
          <w:color w:val="auto"/>
          <w:sz w:val="28"/>
          <w:szCs w:val="28"/>
        </w:rPr>
        <w:t>5</w:t>
      </w:r>
      <w:r>
        <w:rPr>
          <w:b/>
          <w:color w:val="auto"/>
          <w:sz w:val="28"/>
          <w:szCs w:val="28"/>
        </w:rPr>
        <w:t>.</w:t>
      </w:r>
      <w:r>
        <w:rPr>
          <w:rFonts w:hint="eastAsia"/>
          <w:b/>
          <w:color w:val="auto"/>
          <w:sz w:val="28"/>
          <w:szCs w:val="28"/>
        </w:rPr>
        <w:t>高处坠落</w:t>
      </w:r>
    </w:p>
    <w:p>
      <w:pPr>
        <w:spacing w:line="360" w:lineRule="auto"/>
        <w:ind w:firstLine="560" w:firstLineChars="200"/>
        <w:jc w:val="left"/>
        <w:rPr>
          <w:color w:val="auto"/>
          <w:sz w:val="28"/>
          <w:szCs w:val="28"/>
        </w:rPr>
      </w:pPr>
      <w:r>
        <w:rPr>
          <w:rFonts w:hint="eastAsia" w:ascii="宋体" w:hAnsi="宋体"/>
          <w:color w:val="auto"/>
          <w:sz w:val="28"/>
          <w:szCs w:val="28"/>
        </w:rPr>
        <w:t>处于</w:t>
      </w:r>
      <w:r>
        <w:rPr>
          <w:rFonts w:hint="eastAsia"/>
          <w:color w:val="auto"/>
          <w:sz w:val="28"/>
          <w:szCs w:val="28"/>
        </w:rPr>
        <w:t>2m</w:t>
      </w:r>
      <w:r>
        <w:rPr>
          <w:rFonts w:hint="eastAsia" w:ascii="宋体" w:hAnsi="宋体"/>
          <w:color w:val="auto"/>
          <w:sz w:val="28"/>
          <w:szCs w:val="28"/>
        </w:rPr>
        <w:t>以上高处作业的人员，作业不系安全带、高处平台没有安全防护设施或安全防护设施有缺陷、有禁忌症人员从事高空作业等原因可能引起高处坠落事故。造成高处坠落事故的主要因素有：</w:t>
      </w:r>
    </w:p>
    <w:p>
      <w:pPr>
        <w:spacing w:line="360" w:lineRule="auto"/>
        <w:ind w:firstLine="560" w:firstLineChars="200"/>
        <w:jc w:val="left"/>
        <w:rPr>
          <w:color w:val="auto"/>
          <w:sz w:val="28"/>
          <w:szCs w:val="28"/>
        </w:rPr>
      </w:pPr>
      <w:r>
        <w:rPr>
          <w:rFonts w:hint="eastAsia"/>
          <w:color w:val="auto"/>
          <w:sz w:val="28"/>
          <w:szCs w:val="28"/>
        </w:rPr>
        <w:t>1</w:t>
      </w:r>
      <w:r>
        <w:rPr>
          <w:rFonts w:hint="eastAsia" w:ascii="宋体" w:hAnsi="宋体"/>
          <w:color w:val="auto"/>
          <w:sz w:val="28"/>
          <w:szCs w:val="28"/>
        </w:rPr>
        <w:t>）高处作业处未设置安全防护设施 。</w:t>
      </w:r>
    </w:p>
    <w:p>
      <w:pPr>
        <w:spacing w:line="360" w:lineRule="auto"/>
        <w:ind w:firstLine="560" w:firstLineChars="200"/>
        <w:jc w:val="left"/>
        <w:rPr>
          <w:color w:val="auto"/>
          <w:sz w:val="28"/>
          <w:szCs w:val="28"/>
        </w:rPr>
      </w:pPr>
      <w:r>
        <w:rPr>
          <w:rFonts w:hint="eastAsia"/>
          <w:color w:val="auto"/>
          <w:sz w:val="28"/>
          <w:szCs w:val="28"/>
        </w:rPr>
        <w:t>2</w:t>
      </w:r>
      <w:r>
        <w:rPr>
          <w:rFonts w:hint="eastAsia" w:ascii="宋体" w:hAnsi="宋体"/>
          <w:color w:val="auto"/>
          <w:sz w:val="28"/>
          <w:szCs w:val="28"/>
        </w:rPr>
        <w:t>）高处作业时安全防护设施损坏。</w:t>
      </w:r>
    </w:p>
    <w:p>
      <w:pPr>
        <w:spacing w:line="360" w:lineRule="auto"/>
        <w:ind w:firstLine="560" w:firstLineChars="200"/>
        <w:jc w:val="left"/>
        <w:rPr>
          <w:color w:val="auto"/>
          <w:sz w:val="28"/>
          <w:szCs w:val="28"/>
        </w:rPr>
      </w:pPr>
      <w:r>
        <w:rPr>
          <w:rFonts w:hint="eastAsia"/>
          <w:color w:val="auto"/>
          <w:sz w:val="28"/>
          <w:szCs w:val="28"/>
        </w:rPr>
        <w:t>3</w:t>
      </w:r>
      <w:r>
        <w:rPr>
          <w:rFonts w:hint="eastAsia" w:ascii="宋体" w:hAnsi="宋体"/>
          <w:color w:val="auto"/>
          <w:sz w:val="28"/>
          <w:szCs w:val="28"/>
        </w:rPr>
        <w:t>）高处作业安全管理不到位、作业人员违章操作、错误操作。</w:t>
      </w:r>
    </w:p>
    <w:p>
      <w:pPr>
        <w:ind w:firstLine="560" w:firstLineChars="200"/>
        <w:rPr>
          <w:color w:val="auto"/>
        </w:rPr>
      </w:pPr>
      <w:r>
        <w:rPr>
          <w:rFonts w:hint="eastAsia"/>
          <w:color w:val="auto"/>
          <w:sz w:val="28"/>
          <w:szCs w:val="28"/>
        </w:rPr>
        <w:t>4</w:t>
      </w:r>
      <w:r>
        <w:rPr>
          <w:rFonts w:hint="eastAsia" w:ascii="宋体" w:hAnsi="宋体"/>
          <w:color w:val="auto"/>
          <w:sz w:val="28"/>
          <w:szCs w:val="28"/>
        </w:rPr>
        <w:t>）操作人员没有按要求使用安全带、安全帽，没有按要求穿防滑性能良好的软底鞋等。</w:t>
      </w:r>
    </w:p>
    <w:p>
      <w:pPr>
        <w:ind w:firstLine="562" w:firstLineChars="200"/>
        <w:rPr>
          <w:b/>
          <w:color w:val="auto"/>
          <w:sz w:val="28"/>
          <w:szCs w:val="28"/>
        </w:rPr>
      </w:pPr>
      <w:r>
        <w:rPr>
          <w:rFonts w:hint="eastAsia"/>
          <w:b/>
          <w:color w:val="auto"/>
          <w:sz w:val="28"/>
          <w:szCs w:val="28"/>
        </w:rPr>
        <w:t>6</w:t>
      </w:r>
      <w:r>
        <w:rPr>
          <w:b/>
          <w:color w:val="auto"/>
          <w:sz w:val="28"/>
          <w:szCs w:val="28"/>
        </w:rPr>
        <w:t>.</w:t>
      </w:r>
      <w:r>
        <w:rPr>
          <w:rFonts w:hint="eastAsia"/>
          <w:b/>
          <w:color w:val="auto"/>
          <w:sz w:val="28"/>
          <w:szCs w:val="28"/>
        </w:rPr>
        <w:t>车辆伤害</w:t>
      </w:r>
    </w:p>
    <w:p>
      <w:pPr>
        <w:ind w:firstLine="560" w:firstLineChars="200"/>
        <w:rPr>
          <w:rFonts w:hAnsi="宋体"/>
          <w:color w:val="auto"/>
          <w:sz w:val="28"/>
          <w:szCs w:val="28"/>
        </w:rPr>
      </w:pPr>
      <w:r>
        <w:rPr>
          <w:rFonts w:hAnsi="宋体"/>
          <w:color w:val="auto"/>
          <w:sz w:val="28"/>
          <w:szCs w:val="28"/>
        </w:rPr>
        <w:t>车辆伤害指企业机动车辆在行驶中引起的人体坠落和物体倒塌、飞落、挤压伤亡事故，不包括起重设备提升、牵引车辆和车辆停驶时发生的事故。</w:t>
      </w:r>
    </w:p>
    <w:p>
      <w:pPr>
        <w:ind w:firstLine="560" w:firstLineChars="200"/>
        <w:rPr>
          <w:rFonts w:hAnsi="宋体"/>
          <w:color w:val="auto"/>
          <w:sz w:val="28"/>
          <w:szCs w:val="28"/>
        </w:rPr>
      </w:pPr>
      <w:r>
        <w:rPr>
          <w:rFonts w:hint="eastAsia" w:hAnsi="宋体"/>
          <w:color w:val="auto"/>
          <w:sz w:val="28"/>
          <w:szCs w:val="28"/>
        </w:rPr>
        <w:t>该</w:t>
      </w:r>
      <w:r>
        <w:rPr>
          <w:rFonts w:hAnsi="宋体"/>
          <w:color w:val="auto"/>
          <w:sz w:val="28"/>
          <w:szCs w:val="28"/>
        </w:rPr>
        <w:t>项目原</w:t>
      </w:r>
      <w:r>
        <w:rPr>
          <w:rFonts w:hint="eastAsia" w:hAnsi="宋体"/>
          <w:color w:val="auto"/>
          <w:sz w:val="28"/>
          <w:szCs w:val="28"/>
        </w:rPr>
        <w:t>辅料、成品以及配件</w:t>
      </w:r>
      <w:r>
        <w:rPr>
          <w:rFonts w:hAnsi="宋体"/>
          <w:color w:val="auto"/>
          <w:sz w:val="28"/>
          <w:szCs w:val="28"/>
        </w:rPr>
        <w:t>多采用</w:t>
      </w:r>
      <w:r>
        <w:rPr>
          <w:rFonts w:hint="eastAsia" w:hAnsi="宋体"/>
          <w:color w:val="auto"/>
          <w:sz w:val="28"/>
          <w:szCs w:val="28"/>
        </w:rPr>
        <w:t>叉</w:t>
      </w:r>
      <w:r>
        <w:rPr>
          <w:rFonts w:hAnsi="宋体"/>
          <w:color w:val="auto"/>
          <w:sz w:val="28"/>
          <w:szCs w:val="28"/>
        </w:rPr>
        <w:t>车运输，</w:t>
      </w:r>
      <w:r>
        <w:rPr>
          <w:rFonts w:hint="eastAsia" w:hAnsi="宋体"/>
          <w:color w:val="auto"/>
          <w:sz w:val="28"/>
          <w:szCs w:val="28"/>
        </w:rPr>
        <w:t>运输</w:t>
      </w:r>
      <w:r>
        <w:rPr>
          <w:rFonts w:hAnsi="宋体"/>
          <w:color w:val="auto"/>
          <w:sz w:val="28"/>
          <w:szCs w:val="28"/>
        </w:rPr>
        <w:t>汽车和叉车</w:t>
      </w:r>
      <w:r>
        <w:rPr>
          <w:rFonts w:hint="eastAsia" w:hAnsi="宋体"/>
          <w:color w:val="auto"/>
          <w:sz w:val="28"/>
          <w:szCs w:val="28"/>
        </w:rPr>
        <w:t>在厂区道路以及车间厂房内运输</w:t>
      </w:r>
      <w:r>
        <w:rPr>
          <w:rFonts w:hAnsi="宋体"/>
          <w:color w:val="auto"/>
          <w:sz w:val="28"/>
          <w:szCs w:val="28"/>
        </w:rPr>
        <w:t>频繁，有可能因道路缺陷、安全标志不明或缺失、车辆故障、车辆违章行驶、驾驶员思想麻痹等原因，引发车辆伤害事故。</w:t>
      </w:r>
    </w:p>
    <w:p>
      <w:pPr>
        <w:ind w:firstLine="562" w:firstLineChars="200"/>
        <w:rPr>
          <w:rFonts w:hAnsi="宋体"/>
          <w:b/>
          <w:color w:val="auto"/>
          <w:sz w:val="28"/>
          <w:szCs w:val="28"/>
        </w:rPr>
      </w:pPr>
      <w:r>
        <w:rPr>
          <w:rFonts w:hint="eastAsia" w:hAnsi="宋体"/>
          <w:b/>
          <w:color w:val="auto"/>
          <w:sz w:val="28"/>
          <w:szCs w:val="28"/>
        </w:rPr>
        <w:t>7</w:t>
      </w:r>
      <w:r>
        <w:rPr>
          <w:rFonts w:hAnsi="宋体"/>
          <w:b/>
          <w:color w:val="auto"/>
          <w:sz w:val="28"/>
          <w:szCs w:val="28"/>
        </w:rPr>
        <w:t>.</w:t>
      </w:r>
      <w:r>
        <w:rPr>
          <w:rFonts w:hint="eastAsia" w:hAnsi="宋体"/>
          <w:b/>
          <w:color w:val="auto"/>
          <w:sz w:val="28"/>
          <w:szCs w:val="28"/>
        </w:rPr>
        <w:t>机械伤害</w:t>
      </w:r>
    </w:p>
    <w:p>
      <w:pPr>
        <w:adjustRightInd w:val="0"/>
        <w:snapToGrid w:val="0"/>
        <w:spacing w:line="600" w:lineRule="exact"/>
        <w:ind w:firstLine="536" w:firstLineChars="200"/>
        <w:rPr>
          <w:color w:val="auto"/>
          <w:spacing w:val="-6"/>
          <w:sz w:val="28"/>
        </w:rPr>
      </w:pPr>
      <w:r>
        <w:rPr>
          <w:rFonts w:hint="eastAsia"/>
          <w:color w:val="auto"/>
          <w:spacing w:val="-6"/>
          <w:sz w:val="28"/>
        </w:rPr>
        <w:t>该项目使用的搅拌装置、机泵等，这些设备设施的安全防护装置缺陷或失效、使用防护不当，可能直接与人体接触，引起夹击、碰撞、剪切、卷入等伤害。</w:t>
      </w:r>
    </w:p>
    <w:p>
      <w:pPr>
        <w:adjustRightInd w:val="0"/>
        <w:snapToGrid w:val="0"/>
        <w:spacing w:line="600" w:lineRule="exact"/>
        <w:ind w:firstLine="536" w:firstLineChars="200"/>
        <w:rPr>
          <w:color w:val="auto"/>
          <w:spacing w:val="-6"/>
          <w:sz w:val="28"/>
        </w:rPr>
      </w:pPr>
      <w:r>
        <w:rPr>
          <w:rFonts w:hint="eastAsia"/>
          <w:color w:val="auto"/>
          <w:spacing w:val="-6"/>
          <w:sz w:val="28"/>
        </w:rPr>
        <w:t>机械设备缺乏防护装置和安全装置或装置不完善，在设备运行过程中可能发生作业人员卷入、碰撞、剪切等伤害。</w:t>
      </w:r>
    </w:p>
    <w:p>
      <w:pPr>
        <w:adjustRightInd w:val="0"/>
        <w:snapToGrid w:val="0"/>
        <w:spacing w:line="600" w:lineRule="exact"/>
        <w:ind w:firstLine="560" w:firstLineChars="200"/>
        <w:rPr>
          <w:color w:val="auto"/>
          <w:sz w:val="28"/>
        </w:rPr>
      </w:pPr>
      <w:r>
        <w:rPr>
          <w:color w:val="auto"/>
          <w:sz w:val="28"/>
        </w:rPr>
        <w:t>生产设备本身有缺陷，如电源开关布局不合理，紧急情况不</w:t>
      </w:r>
      <w:r>
        <w:rPr>
          <w:rFonts w:hint="eastAsia"/>
          <w:color w:val="auto"/>
          <w:sz w:val="28"/>
        </w:rPr>
        <w:t>能</w:t>
      </w:r>
      <w:r>
        <w:rPr>
          <w:color w:val="auto"/>
          <w:sz w:val="28"/>
        </w:rPr>
        <w:t>立即停车</w:t>
      </w:r>
      <w:r>
        <w:rPr>
          <w:rFonts w:hint="eastAsia"/>
          <w:color w:val="auto"/>
          <w:sz w:val="28"/>
        </w:rPr>
        <w:t>，或作业人员</w:t>
      </w:r>
      <w:r>
        <w:rPr>
          <w:color w:val="auto"/>
          <w:sz w:val="28"/>
        </w:rPr>
        <w:t>误开机械</w:t>
      </w:r>
      <w:r>
        <w:rPr>
          <w:rFonts w:hint="eastAsia"/>
          <w:color w:val="auto"/>
          <w:sz w:val="28"/>
        </w:rPr>
        <w:t>可能</w:t>
      </w:r>
      <w:r>
        <w:rPr>
          <w:color w:val="auto"/>
          <w:sz w:val="28"/>
        </w:rPr>
        <w:t>引发</w:t>
      </w:r>
      <w:r>
        <w:rPr>
          <w:rFonts w:hint="eastAsia"/>
          <w:color w:val="auto"/>
          <w:sz w:val="28"/>
        </w:rPr>
        <w:t>机械</w:t>
      </w:r>
      <w:r>
        <w:rPr>
          <w:color w:val="auto"/>
          <w:sz w:val="28"/>
        </w:rPr>
        <w:t>伤害。</w:t>
      </w:r>
    </w:p>
    <w:p>
      <w:pPr>
        <w:adjustRightInd w:val="0"/>
        <w:snapToGrid w:val="0"/>
        <w:spacing w:line="600" w:lineRule="exact"/>
        <w:ind w:firstLine="560" w:firstLineChars="200"/>
        <w:rPr>
          <w:color w:val="auto"/>
          <w:sz w:val="28"/>
        </w:rPr>
      </w:pPr>
      <w:r>
        <w:rPr>
          <w:color w:val="auto"/>
          <w:sz w:val="28"/>
        </w:rPr>
        <w:t>工作场地组织管理不善。如设备检修、检查作业，不切断电源，未挂警示牌，未设专人监护等措施而造成伤害；误判停电而造成事故；未等至设备惯性运转彻底停住就下手工作造成伤害等。</w:t>
      </w:r>
    </w:p>
    <w:p>
      <w:pPr>
        <w:adjustRightInd w:val="0"/>
        <w:snapToGrid w:val="0"/>
        <w:spacing w:line="600" w:lineRule="exact"/>
        <w:ind w:firstLine="560" w:firstLineChars="200"/>
        <w:rPr>
          <w:color w:val="auto"/>
          <w:sz w:val="28"/>
        </w:rPr>
      </w:pPr>
      <w:r>
        <w:rPr>
          <w:rFonts w:hint="eastAsia"/>
          <w:color w:val="auto"/>
          <w:sz w:val="28"/>
        </w:rPr>
        <w:t>作业人员</w:t>
      </w:r>
      <w:r>
        <w:rPr>
          <w:color w:val="auto"/>
          <w:sz w:val="28"/>
        </w:rPr>
        <w:t>违章在机械运行中进行清理、保养；任意进入机械运行危险作业区(采样、干活、借道、拣物等)；不具操作机械素质的人员上岗或其他人员乱动机械</w:t>
      </w:r>
      <w:r>
        <w:rPr>
          <w:rFonts w:hint="eastAsia"/>
          <w:color w:val="auto"/>
          <w:sz w:val="28"/>
        </w:rPr>
        <w:t>可能发生机械伤害事故</w:t>
      </w:r>
      <w:r>
        <w:rPr>
          <w:color w:val="auto"/>
          <w:sz w:val="28"/>
        </w:rPr>
        <w:t>。</w:t>
      </w:r>
    </w:p>
    <w:p>
      <w:pPr>
        <w:ind w:firstLine="562" w:firstLineChars="200"/>
        <w:rPr>
          <w:b/>
          <w:color w:val="auto"/>
          <w:sz w:val="28"/>
        </w:rPr>
      </w:pPr>
      <w:r>
        <w:rPr>
          <w:rFonts w:hint="eastAsia"/>
          <w:b/>
          <w:color w:val="auto"/>
          <w:sz w:val="28"/>
        </w:rPr>
        <w:t>8</w:t>
      </w:r>
      <w:r>
        <w:rPr>
          <w:b/>
          <w:color w:val="auto"/>
          <w:sz w:val="28"/>
        </w:rPr>
        <w:t>.</w:t>
      </w:r>
      <w:r>
        <w:rPr>
          <w:rFonts w:hint="eastAsia"/>
          <w:b/>
          <w:color w:val="auto"/>
          <w:sz w:val="28"/>
        </w:rPr>
        <w:t>淹溺</w:t>
      </w:r>
    </w:p>
    <w:p>
      <w:pPr>
        <w:ind w:firstLine="560" w:firstLineChars="200"/>
        <w:rPr>
          <w:color w:val="auto"/>
        </w:rPr>
      </w:pPr>
      <w:r>
        <w:rPr>
          <w:rFonts w:hint="eastAsia"/>
          <w:color w:val="auto"/>
          <w:sz w:val="28"/>
          <w:szCs w:val="28"/>
        </w:rPr>
        <w:t>该项目厂区存在事故应急池、消防水池、初期雨水池等，</w:t>
      </w:r>
      <w:r>
        <w:rPr>
          <w:rFonts w:hint="eastAsia" w:ascii="宋体" w:hAnsi="宋体"/>
          <w:color w:val="auto"/>
          <w:sz w:val="28"/>
          <w:szCs w:val="28"/>
        </w:rPr>
        <w:t>由于安全防范措施不到位，护栏有缺陷，生产、巡检过程中站位不当、失稳，可能发生人员淹溺事故。</w:t>
      </w:r>
    </w:p>
    <w:p>
      <w:pPr>
        <w:ind w:firstLine="562" w:firstLineChars="200"/>
        <w:rPr>
          <w:b/>
          <w:color w:val="auto"/>
          <w:sz w:val="28"/>
          <w:szCs w:val="28"/>
        </w:rPr>
      </w:pPr>
      <w:r>
        <w:rPr>
          <w:rFonts w:hint="eastAsia"/>
          <w:b/>
          <w:color w:val="auto"/>
          <w:sz w:val="28"/>
          <w:szCs w:val="28"/>
        </w:rPr>
        <w:t>9</w:t>
      </w:r>
      <w:r>
        <w:rPr>
          <w:b/>
          <w:color w:val="auto"/>
          <w:sz w:val="28"/>
          <w:szCs w:val="28"/>
        </w:rPr>
        <w:t>.</w:t>
      </w:r>
      <w:r>
        <w:rPr>
          <w:rFonts w:hint="eastAsia"/>
          <w:b/>
          <w:color w:val="auto"/>
          <w:sz w:val="28"/>
          <w:szCs w:val="28"/>
        </w:rPr>
        <w:t>起重伤害</w:t>
      </w:r>
    </w:p>
    <w:p>
      <w:pPr>
        <w:ind w:firstLine="560" w:firstLineChars="200"/>
        <w:rPr>
          <w:color w:val="auto"/>
          <w:sz w:val="28"/>
          <w:szCs w:val="28"/>
        </w:rPr>
      </w:pPr>
      <w:r>
        <w:rPr>
          <w:rFonts w:hint="eastAsia"/>
          <w:color w:val="auto"/>
          <w:sz w:val="28"/>
          <w:szCs w:val="28"/>
        </w:rPr>
        <w:t>该项目在施工和检维修过程中使用起重设备可能存在不规范操作、设备本身存在缺陷，而导致起重物体掉落引发人员伤亡。</w:t>
      </w:r>
    </w:p>
    <w:p>
      <w:pPr>
        <w:keepNext/>
        <w:keepLines/>
        <w:spacing w:line="600" w:lineRule="exact"/>
        <w:jc w:val="left"/>
        <w:outlineLvl w:val="3"/>
        <w:rPr>
          <w:rFonts w:ascii="Calibri" w:hAnsi="Calibri"/>
          <w:b/>
          <w:color w:val="auto"/>
          <w:sz w:val="28"/>
          <w:szCs w:val="32"/>
        </w:rPr>
      </w:pPr>
      <w:bookmarkStart w:id="258" w:name="_Toc240195061"/>
      <w:r>
        <w:rPr>
          <w:rFonts w:hint="eastAsia" w:ascii="Calibri" w:hAnsi="Calibri"/>
          <w:b/>
          <w:color w:val="auto"/>
          <w:sz w:val="28"/>
          <w:szCs w:val="32"/>
        </w:rPr>
        <w:t>B</w:t>
      </w:r>
      <w:r>
        <w:rPr>
          <w:rFonts w:ascii="Calibri" w:hAnsi="Calibri"/>
          <w:b/>
          <w:color w:val="auto"/>
          <w:sz w:val="28"/>
          <w:szCs w:val="32"/>
        </w:rPr>
        <w:t>.2.3.2</w:t>
      </w:r>
      <w:r>
        <w:rPr>
          <w:rFonts w:hint="eastAsia" w:ascii="Calibri" w:hAnsi="Calibri"/>
          <w:b/>
          <w:color w:val="auto"/>
          <w:sz w:val="28"/>
          <w:szCs w:val="32"/>
        </w:rPr>
        <w:t xml:space="preserve"> 储存、装卸装置设施危险因素的辨识与分析</w:t>
      </w:r>
    </w:p>
    <w:p>
      <w:pPr>
        <w:ind w:firstLine="560" w:firstLineChars="200"/>
        <w:rPr>
          <w:color w:val="auto"/>
        </w:rPr>
      </w:pPr>
      <w:r>
        <w:rPr>
          <w:rFonts w:hint="eastAsia" w:ascii="宋体" w:hAnsi="宋体"/>
          <w:color w:val="auto"/>
          <w:sz w:val="28"/>
          <w:szCs w:val="28"/>
        </w:rPr>
        <w:t>该项目原辅料、产品等存储主要为仓库存储。该项目拟新建2</w:t>
      </w:r>
      <w:r>
        <w:rPr>
          <w:rFonts w:ascii="宋体" w:hAnsi="宋体"/>
          <w:color w:val="auto"/>
          <w:sz w:val="28"/>
          <w:szCs w:val="28"/>
        </w:rPr>
        <w:t>01</w:t>
      </w:r>
      <w:r>
        <w:rPr>
          <w:rFonts w:hint="eastAsia" w:ascii="宋体" w:hAnsi="宋体"/>
          <w:color w:val="auto"/>
          <w:sz w:val="28"/>
          <w:szCs w:val="28"/>
        </w:rPr>
        <w:t>甲类仓库一、2</w:t>
      </w:r>
      <w:r>
        <w:rPr>
          <w:rFonts w:ascii="宋体" w:hAnsi="宋体"/>
          <w:color w:val="auto"/>
          <w:sz w:val="28"/>
          <w:szCs w:val="28"/>
        </w:rPr>
        <w:t>02</w:t>
      </w:r>
      <w:r>
        <w:rPr>
          <w:rFonts w:hint="eastAsia" w:ascii="宋体" w:hAnsi="宋体"/>
          <w:color w:val="auto"/>
          <w:sz w:val="28"/>
          <w:szCs w:val="28"/>
        </w:rPr>
        <w:t>甲类仓库二、2</w:t>
      </w:r>
      <w:r>
        <w:rPr>
          <w:rFonts w:ascii="宋体" w:hAnsi="宋体"/>
          <w:color w:val="auto"/>
          <w:sz w:val="28"/>
          <w:szCs w:val="28"/>
        </w:rPr>
        <w:t>03</w:t>
      </w:r>
      <w:r>
        <w:rPr>
          <w:rFonts w:hint="eastAsia" w:ascii="宋体" w:hAnsi="宋体"/>
          <w:color w:val="auto"/>
          <w:sz w:val="28"/>
          <w:szCs w:val="28"/>
        </w:rPr>
        <w:t>丙类仓库一、2</w:t>
      </w:r>
      <w:r>
        <w:rPr>
          <w:rFonts w:ascii="宋体" w:hAnsi="宋体"/>
          <w:color w:val="auto"/>
          <w:sz w:val="28"/>
          <w:szCs w:val="28"/>
        </w:rPr>
        <w:t>05</w:t>
      </w:r>
      <w:r>
        <w:rPr>
          <w:rFonts w:hint="eastAsia" w:ascii="宋体" w:hAnsi="宋体"/>
          <w:color w:val="auto"/>
          <w:sz w:val="28"/>
          <w:szCs w:val="28"/>
        </w:rPr>
        <w:t>甲类仓库三储存原辅材料及成品。</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根据该项目涉及的原辅材料，储存场所、装卸作业场所存在火灾、爆炸、中毒窒息、灼烫、车辆伤害、容器爆炸及粉尘、噪声等危险、有害因素。</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1</w:t>
      </w:r>
      <w:r>
        <w:rPr>
          <w:rFonts w:ascii="宋体" w:hAnsi="宋体"/>
          <w:color w:val="auto"/>
          <w:sz w:val="28"/>
          <w:szCs w:val="28"/>
        </w:rPr>
        <w:t>.</w:t>
      </w:r>
      <w:r>
        <w:rPr>
          <w:rFonts w:hint="eastAsia" w:ascii="宋体" w:hAnsi="宋体"/>
          <w:color w:val="auto"/>
          <w:sz w:val="28"/>
          <w:szCs w:val="28"/>
        </w:rPr>
        <w:t>火灾、爆炸</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该项目原辅料中三乙胺、四氢呋喃、丙酮、甲苯、液氨、丁酮、DMF、乙酸乙酯、叔丁醇、石油醚、甲醇、乙醇、异丙醇、NP</w:t>
      </w:r>
      <w:r>
        <w:rPr>
          <w:rFonts w:ascii="宋体" w:hAnsi="宋体"/>
          <w:color w:val="auto"/>
          <w:sz w:val="28"/>
          <w:szCs w:val="28"/>
        </w:rPr>
        <w:t>-10</w:t>
      </w:r>
      <w:r>
        <w:rPr>
          <w:rFonts w:hint="eastAsia" w:ascii="宋体" w:hAnsi="宋体"/>
          <w:color w:val="auto"/>
          <w:sz w:val="28"/>
          <w:szCs w:val="28"/>
        </w:rPr>
        <w:t>等均为易燃液体，同时还存在麦角淄醇、豆甾醇、甲基磺酰氯、三十烷醇、环己酮、胺鲜酯等可燃物品。</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该项目仓库内储存的物品的包装材料属可燃物，存在火灾危险。</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桶装液体装卸、搬运、储存过程中容器损坏泄漏引起着火。</w:t>
      </w:r>
    </w:p>
    <w:p>
      <w:pPr>
        <w:spacing w:line="360" w:lineRule="auto"/>
        <w:ind w:firstLine="560" w:firstLineChars="200"/>
        <w:jc w:val="left"/>
        <w:rPr>
          <w:rFonts w:ascii="宋体" w:hAnsi="宋体"/>
          <w:color w:val="auto"/>
          <w:sz w:val="28"/>
          <w:szCs w:val="28"/>
          <w:shd w:val="clear" w:color="auto" w:fill="FFFFFF"/>
        </w:rPr>
      </w:pPr>
      <w:r>
        <w:rPr>
          <w:rFonts w:hint="eastAsia" w:ascii="宋体" w:hAnsi="宋体"/>
          <w:color w:val="auto"/>
          <w:sz w:val="28"/>
          <w:szCs w:val="28"/>
          <w:shd w:val="clear" w:color="auto" w:fill="FFFFFF"/>
        </w:rPr>
        <w:t>该项目金属锂为遇湿易燃品，具刺激性及强还原性。雨水或酸发生反应放出氢气及热量，能引起燃烧。燃烧后即成熔融物流散，并放出白色浓烟。能再空气、氧气、氮气或二氧化碳中燃烧，特别是有氧化锂或者氮化锂存在下极易燃烧。能与混凝土或其他含湿的材料猛烈反应。与卤素、硫、磷等发生剧烈的化学反应，引起燃烧。</w:t>
      </w:r>
    </w:p>
    <w:p>
      <w:pPr>
        <w:spacing w:line="360" w:lineRule="auto"/>
        <w:ind w:firstLine="560" w:firstLineChars="200"/>
        <w:jc w:val="left"/>
        <w:rPr>
          <w:rFonts w:ascii="宋体" w:hAnsi="宋体"/>
          <w:color w:val="auto"/>
          <w:sz w:val="28"/>
          <w:szCs w:val="28"/>
          <w:shd w:val="clear" w:color="auto" w:fill="FFFFFF"/>
        </w:rPr>
      </w:pPr>
      <w:r>
        <w:rPr>
          <w:rFonts w:hint="eastAsia" w:ascii="宋体" w:hAnsi="宋体"/>
          <w:color w:val="auto"/>
          <w:sz w:val="28"/>
          <w:szCs w:val="28"/>
          <w:shd w:val="clear" w:color="auto" w:fill="FFFFFF"/>
        </w:rPr>
        <w:t>过氧化氢为过氧化物，遇碱性溶液、强光易分解，在撞击、受热或电火花作用下能发生爆炸。</w:t>
      </w:r>
    </w:p>
    <w:p>
      <w:pPr>
        <w:spacing w:line="360" w:lineRule="auto"/>
        <w:ind w:firstLine="560" w:firstLineChars="200"/>
        <w:jc w:val="left"/>
        <w:rPr>
          <w:rFonts w:ascii="宋体" w:hAnsi="宋体"/>
          <w:color w:val="auto"/>
          <w:sz w:val="28"/>
          <w:szCs w:val="28"/>
          <w:shd w:val="clear" w:color="auto" w:fill="FFFFFF"/>
        </w:rPr>
      </w:pPr>
      <w:r>
        <w:rPr>
          <w:rFonts w:hint="eastAsia" w:ascii="宋体" w:hAnsi="宋体"/>
          <w:color w:val="auto"/>
          <w:sz w:val="28"/>
          <w:szCs w:val="28"/>
          <w:shd w:val="clear" w:color="auto" w:fill="FFFFFF"/>
        </w:rPr>
        <w:t>液氨钢瓶安全附件</w:t>
      </w:r>
      <w:r>
        <w:rPr>
          <w:rFonts w:hint="eastAsia" w:ascii="宋体" w:hAnsi="宋体"/>
          <w:color w:val="auto"/>
          <w:sz w:val="28"/>
          <w:szCs w:val="28"/>
        </w:rPr>
        <w:t>（压力表、安全阀、液面计等）及远传装置、控制系统必须健全，并定时检验，确保好用，否则贮罐出现超装或导致储罐吸瘪破裂，存在泄漏的可能性，遇火源可能发生</w:t>
      </w:r>
      <w:r>
        <w:rPr>
          <w:rFonts w:ascii="宋体" w:hAnsi="宋体"/>
          <w:color w:val="auto"/>
          <w:sz w:val="28"/>
          <w:szCs w:val="28"/>
        </w:rPr>
        <w:t>火灾、爆炸</w:t>
      </w:r>
      <w:r>
        <w:rPr>
          <w:rFonts w:hint="eastAsia" w:ascii="宋体" w:hAnsi="宋体"/>
          <w:color w:val="auto"/>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在储存过程中，由于违规操作、管理不善或其他原因，可能会引起火灾、爆炸、腐蚀、中毒、化学灼伤等危害。例如：若性质相互抵触的物品混存（酸、碱；氧化剂与还原剂、易燃、可燃液体等混储），可能会发生剧烈反应，引起火灾爆炸事故；若储藏养护管理不善（如温湿度控制不严等），桶装液体危险化学品受热挥发可能造成容器膨胀破裂等，引起火灾事故；在存储过程中，若管理不善，造成毒害品的遗失，可能会带来一定的社会危害。此外若库房堆垛不合理、通道不畅、通风不良，电气设备不良，防雷设施、静电接地不良等，也存在一定的事故隐患，如货物跌落砸伤人，人员触电伤害，静电火花引起火灾事故等。</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若在雷雨天气卸装，危险化学品仓库无防雷装置或不在防雷装置的保护范围内，以及防雷装置损坏或不符合规定阻值要求，则会遭到雷电的袭扰而引起燃爆事故。</w:t>
      </w:r>
    </w:p>
    <w:p>
      <w:pPr>
        <w:ind w:firstLine="560" w:firstLineChars="200"/>
        <w:rPr>
          <w:color w:val="auto"/>
        </w:rPr>
      </w:pPr>
      <w:r>
        <w:rPr>
          <w:rFonts w:hint="eastAsia" w:ascii="宋体" w:hAnsi="宋体"/>
          <w:color w:val="auto"/>
          <w:sz w:val="28"/>
          <w:szCs w:val="28"/>
        </w:rPr>
        <w:t>2</w:t>
      </w:r>
      <w:r>
        <w:rPr>
          <w:rFonts w:ascii="宋体" w:hAnsi="宋体"/>
          <w:color w:val="auto"/>
          <w:sz w:val="28"/>
          <w:szCs w:val="28"/>
        </w:rPr>
        <w:t>.</w:t>
      </w:r>
      <w:r>
        <w:rPr>
          <w:rFonts w:hint="eastAsia" w:ascii="宋体" w:hAnsi="宋体"/>
          <w:color w:val="auto"/>
          <w:sz w:val="28"/>
          <w:szCs w:val="28"/>
        </w:rPr>
        <w:t>中毒窒息</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甲基磺酰氯为剧毒品，液氨为高毒物品，搬运过程中如果发生泄漏，搬运人员未正确佩戴防护用具，则可能造成有无物料外逸导致现场人员中毒事故发生，且液氨具有腐蚀性，可能导致化学灼伤。</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3</w:t>
      </w:r>
      <w:r>
        <w:rPr>
          <w:rFonts w:ascii="宋体" w:hAnsi="宋体"/>
          <w:color w:val="auto"/>
          <w:sz w:val="28"/>
          <w:szCs w:val="28"/>
        </w:rPr>
        <w:t>.</w:t>
      </w:r>
      <w:r>
        <w:rPr>
          <w:rFonts w:hint="eastAsia" w:ascii="宋体" w:hAnsi="宋体"/>
          <w:color w:val="auto"/>
          <w:sz w:val="28"/>
          <w:szCs w:val="28"/>
        </w:rPr>
        <w:t>灼烫</w:t>
      </w:r>
    </w:p>
    <w:p>
      <w:pPr>
        <w:spacing w:line="360" w:lineRule="auto"/>
        <w:ind w:firstLine="560" w:firstLineChars="200"/>
        <w:rPr>
          <w:rFonts w:ascii="宋体" w:hAnsi="宋体" w:cs="Arial"/>
          <w:color w:val="auto"/>
          <w:sz w:val="28"/>
          <w:szCs w:val="28"/>
        </w:rPr>
      </w:pPr>
      <w:r>
        <w:rPr>
          <w:rFonts w:hint="eastAsia" w:ascii="宋体" w:hAnsi="宋体"/>
          <w:color w:val="auto"/>
          <w:sz w:val="28"/>
          <w:szCs w:val="28"/>
        </w:rPr>
        <w:t>三乙胺、甲基磺酰氯、液氨、金属锂、硫酸、氢溴酸、三氟乙酸酐、亚硫酸氢钠、丙酸酐、NP</w:t>
      </w:r>
      <w:r>
        <w:rPr>
          <w:rFonts w:ascii="宋体" w:hAnsi="宋体"/>
          <w:color w:val="auto"/>
          <w:sz w:val="28"/>
          <w:szCs w:val="28"/>
        </w:rPr>
        <w:t>-10</w:t>
      </w:r>
      <w:r>
        <w:rPr>
          <w:rFonts w:hint="eastAsia" w:ascii="宋体" w:hAnsi="宋体"/>
          <w:color w:val="auto"/>
          <w:sz w:val="28"/>
          <w:szCs w:val="28"/>
        </w:rPr>
        <w:t>、吲哚丁酸等腐蚀性物料</w:t>
      </w:r>
      <w:r>
        <w:rPr>
          <w:rFonts w:hint="eastAsia" w:ascii="宋体" w:hAnsi="宋体" w:cs="Arial"/>
          <w:color w:val="auto"/>
          <w:sz w:val="28"/>
          <w:szCs w:val="28"/>
        </w:rPr>
        <w:t>对人体均具有腐蚀性和刺激性，如管道、储罐本体、输送泵等发生破裂，导致泄漏，与人体接触可能会导致化学性灼烫事故；拟建储罐如管道、储罐本体、输送泵等发生破裂，导致泄漏，与人体接触可能会导致化学性灼伤。</w:t>
      </w:r>
    </w:p>
    <w:p>
      <w:pPr>
        <w:pStyle w:val="2"/>
        <w:spacing w:line="360" w:lineRule="auto"/>
        <w:ind w:firstLine="560" w:firstLineChars="200"/>
        <w:rPr>
          <w:rFonts w:ascii="宋体" w:hAnsi="宋体"/>
          <w:color w:val="auto"/>
          <w:sz w:val="28"/>
          <w:szCs w:val="28"/>
        </w:rPr>
      </w:pPr>
      <w:r>
        <w:rPr>
          <w:rFonts w:ascii="宋体" w:hAnsi="宋体"/>
          <w:color w:val="auto"/>
          <w:sz w:val="28"/>
          <w:szCs w:val="28"/>
        </w:rPr>
        <w:t>4.</w:t>
      </w:r>
      <w:r>
        <w:rPr>
          <w:rFonts w:hint="eastAsia" w:ascii="宋体" w:hAnsi="宋体"/>
          <w:color w:val="auto"/>
          <w:sz w:val="28"/>
          <w:szCs w:val="28"/>
        </w:rPr>
        <w:t>车辆伤害</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公司原料、成品、副产品等采用汽车运输（或转运），同时厂区内物料采用叉车搬运，汽车的流通量较大，因厂区的平面布置、厂内道路的设计、交通标志和安全标志的设置、照明的质量、绿化的规划、厂房内行驶通道、车辆的管理等方面的缺陷，均可能引发厂内运输的车辆伤害伤亡事故</w:t>
      </w:r>
    </w:p>
    <w:p>
      <w:pPr>
        <w:spacing w:line="360" w:lineRule="auto"/>
        <w:ind w:firstLine="548" w:firstLineChars="196"/>
        <w:jc w:val="left"/>
        <w:rPr>
          <w:rFonts w:ascii="宋体" w:hAnsi="宋体"/>
          <w:color w:val="auto"/>
          <w:sz w:val="28"/>
          <w:szCs w:val="28"/>
        </w:rPr>
      </w:pPr>
      <w:r>
        <w:rPr>
          <w:rFonts w:hint="eastAsia" w:ascii="宋体" w:hAnsi="宋体"/>
          <w:color w:val="auto"/>
          <w:sz w:val="28"/>
          <w:szCs w:val="28"/>
        </w:rPr>
        <w:t>车辆伤害事故的发生，一方面是驾驶员违章驾驶造成的，如驾驶员无照驾驶、酒后驾车或超速驾车等；另一方面是厂内交通标志不完善造成的。</w:t>
      </w:r>
    </w:p>
    <w:p>
      <w:pPr>
        <w:ind w:firstLine="560" w:firstLineChars="200"/>
        <w:rPr>
          <w:color w:val="auto"/>
        </w:rPr>
      </w:pPr>
      <w:r>
        <w:rPr>
          <w:rFonts w:hint="eastAsia" w:ascii="宋体" w:hAnsi="宋体"/>
          <w:color w:val="auto"/>
          <w:sz w:val="28"/>
          <w:szCs w:val="28"/>
        </w:rPr>
        <w:t>仓库单元还存在物体打击、坍塌等危险、有害因素。</w:t>
      </w:r>
    </w:p>
    <w:p>
      <w:pPr>
        <w:pStyle w:val="2"/>
        <w:spacing w:line="360" w:lineRule="auto"/>
        <w:ind w:firstLine="560" w:firstLineChars="200"/>
        <w:rPr>
          <w:rFonts w:ascii="宋体" w:hAnsi="宋体"/>
          <w:color w:val="auto"/>
          <w:sz w:val="28"/>
          <w:szCs w:val="28"/>
        </w:rPr>
      </w:pPr>
      <w:r>
        <w:rPr>
          <w:rFonts w:ascii="宋体" w:hAnsi="宋体"/>
          <w:color w:val="auto"/>
          <w:sz w:val="28"/>
          <w:szCs w:val="28"/>
        </w:rPr>
        <w:t>5.</w:t>
      </w:r>
      <w:r>
        <w:rPr>
          <w:rFonts w:hint="eastAsia" w:ascii="宋体" w:hAnsi="宋体"/>
          <w:color w:val="auto"/>
          <w:sz w:val="28"/>
          <w:szCs w:val="28"/>
        </w:rPr>
        <w:t>容器爆炸</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液氨罐为液化气体，如接触高温、明火等或造成罐内压力增大，存在发生爆炸的危险。液氮罐为加压气体，如液氮罐发生内压增大，可能存在发生爆炸的危险。</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2）物料装卸输送过程主要危险因素分析</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1</w:t>
      </w:r>
      <w:r>
        <w:rPr>
          <w:rFonts w:ascii="宋体" w:hAnsi="宋体"/>
          <w:color w:val="auto"/>
          <w:sz w:val="28"/>
          <w:szCs w:val="28"/>
        </w:rPr>
        <w:t>.</w:t>
      </w:r>
      <w:r>
        <w:rPr>
          <w:rFonts w:hint="eastAsia" w:ascii="宋体" w:hAnsi="宋体"/>
          <w:color w:val="auto"/>
          <w:sz w:val="28"/>
          <w:szCs w:val="28"/>
        </w:rPr>
        <w:t>火灾爆炸</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该项目桶装物料在装卸过程中，若使用不合格的装卸工具或操作不当（摔、碰、拖拉、翻滚等），可能会导致摩擦、震动、撞击或包装破损等，引起火灾事故；</w:t>
      </w:r>
      <w:r>
        <w:rPr>
          <w:rFonts w:hint="eastAsia" w:ascii="宋体" w:hAnsi="宋体" w:cs="Arial"/>
          <w:color w:val="auto"/>
          <w:sz w:val="28"/>
          <w:szCs w:val="28"/>
          <w:shd w:val="clear" w:color="auto" w:fill="FFFFFF"/>
        </w:rPr>
        <w:t>搬运危险化学品没有轻装轻卸；或者堆垛过高不稳，发生倒塌；或在库内改装打包，封焊修理等违反安全操作规程造成事故；</w:t>
      </w:r>
      <w:r>
        <w:rPr>
          <w:rFonts w:hint="eastAsia" w:ascii="宋体" w:hAnsi="宋体"/>
          <w:color w:val="auto"/>
          <w:sz w:val="28"/>
          <w:szCs w:val="28"/>
          <w:shd w:val="clear" w:color="auto" w:fill="FFFFFF"/>
        </w:rPr>
        <w:t>使用沾染油污及异物和能产生火花的机具，作业现场存在热源和火源。装卸危险化学品时，操作人员不集中精力注意装卸、槽车装卸时操作人员脱离岗位发生物料的泄漏</w:t>
      </w:r>
      <w:r>
        <w:rPr>
          <w:rFonts w:hint="eastAsia" w:ascii="宋体" w:hAnsi="宋体"/>
          <w:color w:val="auto"/>
          <w:sz w:val="28"/>
          <w:szCs w:val="28"/>
        </w:rPr>
        <w:t>，易发生火灾和爆炸事故。</w:t>
      </w:r>
    </w:p>
    <w:p>
      <w:pPr>
        <w:spacing w:line="360" w:lineRule="auto"/>
        <w:ind w:firstLine="560" w:firstLineChars="200"/>
        <w:rPr>
          <w:rFonts w:ascii="宋体" w:hAnsi="宋体"/>
          <w:color w:val="auto"/>
          <w:sz w:val="28"/>
          <w:szCs w:val="28"/>
        </w:rPr>
      </w:pPr>
      <w:r>
        <w:rPr>
          <w:rFonts w:hint="eastAsia" w:ascii="宋体" w:hAnsi="宋体"/>
          <w:color w:val="auto"/>
          <w:sz w:val="28"/>
          <w:szCs w:val="28"/>
        </w:rPr>
        <w:t>若在雷雨天气卸装，无防雷装置或不在防雷装置的保护范围内，以及防雷装置损坏或不符合规定阻值要求，则会遭到雷电的袭扰而引起燃爆事故。</w:t>
      </w:r>
    </w:p>
    <w:p>
      <w:pPr>
        <w:ind w:firstLine="560" w:firstLineChars="200"/>
        <w:rPr>
          <w:color w:val="auto"/>
        </w:rPr>
      </w:pPr>
      <w:r>
        <w:rPr>
          <w:rFonts w:hint="eastAsia" w:ascii="宋体" w:hAnsi="宋体"/>
          <w:color w:val="auto"/>
          <w:sz w:val="28"/>
          <w:szCs w:val="28"/>
        </w:rPr>
        <w:t>若有人在装卸现场吸烟或违章动火，或使用铁器和铁制工具敲击管道或阀门、设备等，易发生火灾和爆炸事故。</w:t>
      </w:r>
    </w:p>
    <w:p>
      <w:pPr>
        <w:pStyle w:val="2"/>
        <w:spacing w:line="360" w:lineRule="auto"/>
        <w:ind w:firstLine="560" w:firstLineChars="200"/>
        <w:rPr>
          <w:rFonts w:ascii="宋体" w:hAnsi="宋体"/>
          <w:color w:val="auto"/>
          <w:sz w:val="28"/>
          <w:szCs w:val="28"/>
        </w:rPr>
      </w:pPr>
      <w:r>
        <w:rPr>
          <w:rFonts w:ascii="宋体" w:hAnsi="宋体"/>
          <w:color w:val="auto"/>
          <w:sz w:val="28"/>
          <w:szCs w:val="28"/>
        </w:rPr>
        <w:t>2.</w:t>
      </w:r>
      <w:r>
        <w:rPr>
          <w:rFonts w:hint="eastAsia" w:ascii="宋体" w:hAnsi="宋体"/>
          <w:color w:val="auto"/>
          <w:sz w:val="28"/>
          <w:szCs w:val="28"/>
        </w:rPr>
        <w:t>噪声</w:t>
      </w:r>
    </w:p>
    <w:p>
      <w:pPr>
        <w:pStyle w:val="2"/>
        <w:spacing w:line="360" w:lineRule="auto"/>
        <w:ind w:firstLine="560" w:firstLineChars="200"/>
        <w:rPr>
          <w:rFonts w:ascii="宋体" w:hAnsi="宋体"/>
          <w:color w:val="auto"/>
          <w:sz w:val="28"/>
          <w:szCs w:val="28"/>
        </w:rPr>
      </w:pPr>
      <w:r>
        <w:rPr>
          <w:rFonts w:hint="eastAsia" w:ascii="宋体" w:hAnsi="宋体"/>
          <w:color w:val="auto"/>
          <w:sz w:val="28"/>
          <w:szCs w:val="28"/>
        </w:rPr>
        <w:t>该项目装卸过程中使用的车辆存在噪声和振动。噪声严重时可能给作业人员带来伤害，使人丧失听力。</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.2.3.3</w:t>
      </w:r>
      <w:r>
        <w:rPr>
          <w:rFonts w:hint="eastAsia" w:ascii="Calibri" w:hAnsi="Calibri"/>
          <w:b/>
          <w:color w:val="auto"/>
          <w:sz w:val="28"/>
          <w:szCs w:val="32"/>
        </w:rPr>
        <w:t xml:space="preserve"> 公用工程及辅助系统危险因素的辨识与分析</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1）供配电系统</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1</w:t>
      </w:r>
      <w:r>
        <w:rPr>
          <w:rFonts w:ascii="宋体" w:hAnsi="宋体"/>
          <w:color w:val="auto"/>
          <w:sz w:val="28"/>
          <w:szCs w:val="28"/>
        </w:rPr>
        <w:t>.</w:t>
      </w:r>
      <w:r>
        <w:rPr>
          <w:rFonts w:hint="eastAsia" w:ascii="宋体" w:hAnsi="宋体"/>
          <w:color w:val="auto"/>
          <w:sz w:val="28"/>
          <w:szCs w:val="28"/>
        </w:rPr>
        <w:t>触电</w:t>
      </w:r>
    </w:p>
    <w:p>
      <w:pPr>
        <w:spacing w:line="360" w:lineRule="auto"/>
        <w:ind w:firstLine="560" w:firstLineChars="200"/>
        <w:jc w:val="left"/>
        <w:rPr>
          <w:color w:val="auto"/>
          <w:sz w:val="28"/>
          <w:szCs w:val="28"/>
        </w:rPr>
      </w:pPr>
      <w:r>
        <w:rPr>
          <w:rFonts w:hint="eastAsia" w:ascii="宋体" w:hAnsi="宋体"/>
          <w:color w:val="auto"/>
          <w:sz w:val="28"/>
          <w:szCs w:val="28"/>
        </w:rPr>
        <w:t>变压器、开关柜、照明配电柜、整流设施等均存在直接接触电击及间接接触电击的可能。如电气线路或电气设备在设计、安装上存在缺陷，或在运行中，缺乏必要的检修维护，使设备或线路存在漏电、过热、短路、接头松脱、折线碰壳、绝缘老化、绝缘击穿、绝缘损坏、</w:t>
      </w:r>
      <w:r>
        <w:rPr>
          <w:rFonts w:hint="eastAsia"/>
          <w:color w:val="auto"/>
          <w:sz w:val="28"/>
          <w:szCs w:val="28"/>
        </w:rPr>
        <w:t>PE</w:t>
      </w:r>
      <w:r>
        <w:rPr>
          <w:rFonts w:hint="eastAsia" w:ascii="宋体" w:hAnsi="宋体"/>
          <w:color w:val="auto"/>
          <w:sz w:val="28"/>
          <w:szCs w:val="28"/>
        </w:rPr>
        <w:t>线断线等隐患，致使直接接触和间接接触的防护措施不到位；没有完成必要的保证安全的技术措施</w:t>
      </w:r>
      <w:r>
        <w:rPr>
          <w:rFonts w:hint="eastAsia"/>
          <w:color w:val="auto"/>
          <w:sz w:val="28"/>
          <w:szCs w:val="28"/>
        </w:rPr>
        <w:t>(</w:t>
      </w:r>
      <w:r>
        <w:rPr>
          <w:rFonts w:hint="eastAsia" w:ascii="宋体" w:hAnsi="宋体"/>
          <w:color w:val="auto"/>
          <w:sz w:val="28"/>
          <w:szCs w:val="28"/>
        </w:rPr>
        <w:t>如停电、验电、装设接地线、悬挂标志牌和装设遮拦</w:t>
      </w:r>
      <w:r>
        <w:rPr>
          <w:rFonts w:hint="eastAsia"/>
          <w:color w:val="auto"/>
          <w:sz w:val="28"/>
          <w:szCs w:val="28"/>
        </w:rPr>
        <w:t>)</w:t>
      </w:r>
      <w:r>
        <w:rPr>
          <w:rFonts w:hint="eastAsia" w:ascii="宋体" w:hAnsi="宋体"/>
          <w:color w:val="auto"/>
          <w:sz w:val="28"/>
          <w:szCs w:val="28"/>
        </w:rPr>
        <w:t>；电气设备运行管理不当，安全管理制度不完善；没有必要的保证安全的组织措施</w:t>
      </w:r>
      <w:r>
        <w:rPr>
          <w:rFonts w:hint="eastAsia"/>
          <w:color w:val="auto"/>
          <w:sz w:val="28"/>
          <w:szCs w:val="28"/>
        </w:rPr>
        <w:t>(</w:t>
      </w:r>
      <w:r>
        <w:rPr>
          <w:rFonts w:hint="eastAsia" w:ascii="宋体" w:hAnsi="宋体"/>
          <w:color w:val="auto"/>
          <w:sz w:val="28"/>
          <w:szCs w:val="28"/>
        </w:rPr>
        <w:t>工作票制度、工作许可制度、工作监护制度、工作间断转移和终结制度</w:t>
      </w:r>
      <w:r>
        <w:rPr>
          <w:rFonts w:hint="eastAsia"/>
          <w:color w:val="auto"/>
          <w:sz w:val="28"/>
          <w:szCs w:val="28"/>
        </w:rPr>
        <w:t>)</w:t>
      </w:r>
      <w:r>
        <w:rPr>
          <w:rFonts w:hint="eastAsia" w:ascii="宋体" w:hAnsi="宋体"/>
          <w:color w:val="auto"/>
          <w:sz w:val="28"/>
          <w:szCs w:val="28"/>
        </w:rPr>
        <w:t>；电工或机电设备操作人员的操作失误，或违章作业等；操作无监护或监护不力意外触及带电体；未按规程正确使用电工安全用具</w:t>
      </w:r>
      <w:r>
        <w:rPr>
          <w:rFonts w:hint="eastAsia"/>
          <w:color w:val="auto"/>
          <w:sz w:val="28"/>
          <w:szCs w:val="28"/>
        </w:rPr>
        <w:t>(</w:t>
      </w:r>
      <w:r>
        <w:rPr>
          <w:rFonts w:hint="eastAsia" w:ascii="宋体" w:hAnsi="宋体"/>
          <w:color w:val="auto"/>
          <w:sz w:val="28"/>
          <w:szCs w:val="28"/>
        </w:rPr>
        <w:t>绝缘用具、屏护、警示牌等</w:t>
      </w:r>
      <w:r>
        <w:rPr>
          <w:rFonts w:hint="eastAsia"/>
          <w:color w:val="auto"/>
          <w:sz w:val="28"/>
          <w:szCs w:val="28"/>
        </w:rPr>
        <w:t>)</w:t>
      </w:r>
      <w:r>
        <w:rPr>
          <w:rFonts w:hint="eastAsia" w:ascii="宋体" w:hAnsi="宋体"/>
          <w:color w:val="auto"/>
          <w:sz w:val="28"/>
          <w:szCs w:val="28"/>
        </w:rPr>
        <w:t>；带负荷</w:t>
      </w:r>
      <w:r>
        <w:rPr>
          <w:rFonts w:hint="eastAsia"/>
          <w:color w:val="auto"/>
          <w:sz w:val="28"/>
          <w:szCs w:val="28"/>
        </w:rPr>
        <w:t>(</w:t>
      </w:r>
      <w:r>
        <w:rPr>
          <w:rFonts w:hint="eastAsia" w:ascii="宋体" w:hAnsi="宋体"/>
          <w:color w:val="auto"/>
          <w:sz w:val="28"/>
          <w:szCs w:val="28"/>
        </w:rPr>
        <w:t>特别是感性负荷</w:t>
      </w:r>
      <w:r>
        <w:rPr>
          <w:rFonts w:hint="eastAsia"/>
          <w:color w:val="auto"/>
          <w:sz w:val="28"/>
          <w:szCs w:val="28"/>
        </w:rPr>
        <w:t>)</w:t>
      </w:r>
      <w:r>
        <w:rPr>
          <w:rFonts w:hint="eastAsia" w:ascii="宋体" w:hAnsi="宋体"/>
          <w:color w:val="auto"/>
          <w:sz w:val="28"/>
          <w:szCs w:val="28"/>
        </w:rPr>
        <w:t>拉开裸露的闸刀开关；绝缘破坏、设备漏电；误操作引起短路；线路短路、开启式熔断器熔断时，炽热的金属微粒飞溅；人体过于接近带电体等；误操作引起短路；以上原因均可能导致触电。</w:t>
      </w:r>
    </w:p>
    <w:p>
      <w:pPr>
        <w:ind w:firstLine="560" w:firstLineChars="200"/>
        <w:rPr>
          <w:color w:val="auto"/>
        </w:rPr>
      </w:pPr>
      <w:r>
        <w:rPr>
          <w:rFonts w:hint="eastAsia" w:ascii="宋体" w:hAnsi="宋体"/>
          <w:color w:val="auto"/>
          <w:sz w:val="28"/>
          <w:szCs w:val="28"/>
        </w:rPr>
        <w:t>该项目使用了大量的电气设备和电线电缆。如果电气设备或线路绝缘因击穿、老化、腐蚀、机械损坏等失效；电气设备未装设屏护装置将带电体与外界相隔离；带电体与地面、其它带电体和人体范围之间的安全距离不符合要求；低压电气设备未装设漏电保护装置或漏电保护装置失效；人体不可避免的长期接触的有触电危险的场所未采用相应等级的安全电压；用电设备金属外壳保护接地不良及人员操作、监护、防护缺陷等等，均可能导致触电。</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2.电气火灾</w:t>
      </w:r>
    </w:p>
    <w:p>
      <w:pPr>
        <w:spacing w:line="360" w:lineRule="auto"/>
        <w:ind w:firstLine="560" w:firstLineChars="200"/>
        <w:jc w:val="left"/>
        <w:rPr>
          <w:color w:val="auto"/>
          <w:sz w:val="28"/>
          <w:szCs w:val="28"/>
        </w:rPr>
      </w:pPr>
      <w:r>
        <w:rPr>
          <w:rFonts w:hint="eastAsia" w:ascii="宋体" w:hAnsi="宋体"/>
          <w:color w:val="auto"/>
          <w:sz w:val="28"/>
          <w:szCs w:val="28"/>
        </w:rPr>
        <w:t>短路：短路时由于电阻突然减小则电流将突然增大，因此线路短路时在</w:t>
      </w:r>
      <w:r>
        <w:rPr>
          <w:rFonts w:hint="eastAsia"/>
          <w:color w:val="auto"/>
          <w:sz w:val="28"/>
          <w:szCs w:val="28"/>
        </w:rPr>
        <w:t>极短的时间内会发出很大的热量。这个热量不仅能使绝缘层燃烧，而且能使金属熔化，引起邻近的易燃、可燃物质燃烧，从而造成火灾。</w:t>
      </w:r>
    </w:p>
    <w:p>
      <w:pPr>
        <w:spacing w:line="360" w:lineRule="auto"/>
        <w:ind w:firstLine="560" w:firstLineChars="200"/>
        <w:jc w:val="left"/>
        <w:rPr>
          <w:color w:val="auto"/>
          <w:sz w:val="28"/>
          <w:szCs w:val="28"/>
        </w:rPr>
      </w:pPr>
      <w:r>
        <w:rPr>
          <w:rFonts w:hint="eastAsia" w:ascii="宋体" w:hAnsi="宋体"/>
          <w:color w:val="auto"/>
          <w:sz w:val="28"/>
          <w:szCs w:val="28"/>
        </w:rPr>
        <w:t>过载</w:t>
      </w:r>
      <w:r>
        <w:rPr>
          <w:rFonts w:hint="eastAsia"/>
          <w:color w:val="auto"/>
          <w:sz w:val="28"/>
          <w:szCs w:val="28"/>
        </w:rPr>
        <w:t>（</w:t>
      </w:r>
      <w:r>
        <w:rPr>
          <w:rFonts w:hint="eastAsia" w:ascii="宋体" w:hAnsi="宋体"/>
          <w:color w:val="auto"/>
          <w:sz w:val="28"/>
          <w:szCs w:val="28"/>
        </w:rPr>
        <w:t>超负荷</w:t>
      </w:r>
      <w:r>
        <w:rPr>
          <w:rFonts w:hint="eastAsia"/>
          <w:color w:val="auto"/>
          <w:sz w:val="28"/>
          <w:szCs w:val="28"/>
        </w:rPr>
        <w:t>）</w:t>
      </w:r>
      <w:r>
        <w:rPr>
          <w:rFonts w:hint="eastAsia" w:ascii="宋体" w:hAnsi="宋体"/>
          <w:color w:val="auto"/>
          <w:sz w:val="28"/>
          <w:szCs w:val="28"/>
        </w:rPr>
        <w:t>：电气线路中允许连续通过而不致于使电线过热的电流量，称为安全载流量或安全电流。如导线流过的电流超过安全电流值，就叫导线过载。一般导线的最高允许工作温度为</w:t>
      </w:r>
      <w:r>
        <w:rPr>
          <w:rFonts w:hint="eastAsia"/>
          <w:color w:val="auto"/>
          <w:sz w:val="28"/>
          <w:szCs w:val="28"/>
        </w:rPr>
        <w:t>65</w:t>
      </w:r>
      <w:r>
        <w:rPr>
          <w:rFonts w:hint="eastAsia" w:ascii="宋体" w:hAnsi="宋体"/>
          <w:color w:val="auto"/>
          <w:sz w:val="28"/>
          <w:szCs w:val="28"/>
        </w:rPr>
        <w:t>℃。当过载时，导线的温度超过这个温度值，会使绝缘加速老化，甚至损坏，引起短路火灾事故。</w:t>
      </w:r>
    </w:p>
    <w:p>
      <w:pPr>
        <w:spacing w:line="360" w:lineRule="auto"/>
        <w:ind w:firstLine="560" w:firstLineChars="200"/>
        <w:jc w:val="left"/>
        <w:rPr>
          <w:color w:val="auto"/>
          <w:sz w:val="28"/>
          <w:szCs w:val="28"/>
        </w:rPr>
      </w:pPr>
      <w:r>
        <w:rPr>
          <w:rFonts w:hint="eastAsia" w:ascii="宋体" w:hAnsi="宋体"/>
          <w:color w:val="auto"/>
          <w:sz w:val="28"/>
          <w:szCs w:val="28"/>
        </w:rPr>
        <w:t>接触电阻过大：导体连接时，在接触面上形成的电阻称为接触电阻。接头处理良好，则接触电阻小；连接不牢或其他原因，使接头接触不良，则会导致局部接触电阻过大，产生高温，使金属变色甚至熔化，引起绝缘材料中可燃物燃烧。</w:t>
      </w:r>
    </w:p>
    <w:p>
      <w:pPr>
        <w:spacing w:line="360" w:lineRule="auto"/>
        <w:ind w:firstLine="560" w:firstLineChars="200"/>
        <w:jc w:val="left"/>
        <w:rPr>
          <w:color w:val="auto"/>
          <w:sz w:val="28"/>
          <w:szCs w:val="28"/>
        </w:rPr>
      </w:pPr>
      <w:r>
        <w:rPr>
          <w:rFonts w:hint="eastAsia" w:ascii="宋体" w:hAnsi="宋体"/>
          <w:color w:val="auto"/>
          <w:sz w:val="28"/>
          <w:szCs w:val="28"/>
        </w:rPr>
        <w:t>电缆铺设不当影响通风散热。</w:t>
      </w:r>
    </w:p>
    <w:p>
      <w:pPr>
        <w:ind w:firstLine="560" w:firstLineChars="200"/>
        <w:rPr>
          <w:color w:val="auto"/>
        </w:rPr>
      </w:pPr>
      <w:r>
        <w:rPr>
          <w:rFonts w:hint="eastAsia" w:ascii="宋体" w:hAnsi="宋体"/>
          <w:color w:val="auto"/>
          <w:sz w:val="28"/>
          <w:szCs w:val="28"/>
        </w:rPr>
        <w:t>电火花及电弧：电火花是极间的击穿放电。电弧是大量的电火花汇集而成的。一般电火花的温度都很高，特别是电弧，温度可高达</w:t>
      </w:r>
      <w:r>
        <w:rPr>
          <w:rFonts w:hint="eastAsia"/>
          <w:color w:val="auto"/>
          <w:sz w:val="28"/>
          <w:szCs w:val="28"/>
        </w:rPr>
        <w:t>6000</w:t>
      </w:r>
      <w:r>
        <w:rPr>
          <w:rFonts w:hint="eastAsia" w:ascii="宋体" w:hAnsi="宋体"/>
          <w:color w:val="auto"/>
          <w:sz w:val="28"/>
          <w:szCs w:val="28"/>
        </w:rPr>
        <w:t>℃。因此，电火花不仅能引起绝缘物质的燃烧，而且可以引起金属熔化、飞溅，是危险火源。</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2）给排水</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该项目厂区内存在消防水池、事故应急池、初期雨水池等，且面积较大，水深较深，如水池安全防护栏损坏、夜间照明条件不良导致人员失足跌落水池中，可能造成落水淹溺事故，严重者会造成人员伤亡。</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3）供热系统</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该项目供热系统蒸汽由园区蒸汽管网提供，生产过程中存在较多蒸汽管道和蒸汽加热设备，如蒸汽管道、容器设备未设置保温措施，管道和容器的保温材料经长时间使用被腐蚀脱落，导致高温部位裸露，管道或容器腐蚀造成蒸汽泄露，法兰接头部位蒸汽泄露，可能造成高温灼烫事故。</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.2.3.4</w:t>
      </w:r>
      <w:r>
        <w:rPr>
          <w:rFonts w:hint="eastAsia" w:ascii="Calibri" w:hAnsi="Calibri"/>
          <w:b/>
          <w:color w:val="auto"/>
          <w:sz w:val="28"/>
          <w:szCs w:val="32"/>
        </w:rPr>
        <w:t xml:space="preserve"> 其他危险因素分析</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1</w:t>
      </w:r>
      <w:r>
        <w:rPr>
          <w:rFonts w:ascii="宋体" w:hAnsi="宋体"/>
          <w:color w:val="auto"/>
          <w:sz w:val="28"/>
          <w:szCs w:val="28"/>
        </w:rPr>
        <w:t>.</w:t>
      </w:r>
      <w:r>
        <w:rPr>
          <w:rFonts w:hint="eastAsia" w:ascii="宋体" w:hAnsi="宋体"/>
          <w:color w:val="auto"/>
          <w:sz w:val="28"/>
          <w:szCs w:val="28"/>
        </w:rPr>
        <w:t>项目个体其他危险因素</w:t>
      </w:r>
    </w:p>
    <w:p>
      <w:pPr>
        <w:pStyle w:val="2"/>
        <w:spacing w:line="360" w:lineRule="auto"/>
        <w:ind w:firstLine="560" w:firstLineChars="200"/>
        <w:jc w:val="both"/>
        <w:rPr>
          <w:rFonts w:ascii="宋体" w:hAnsi="宋体"/>
          <w:color w:val="auto"/>
          <w:sz w:val="28"/>
          <w:szCs w:val="28"/>
        </w:rPr>
      </w:pPr>
      <w:r>
        <w:rPr>
          <w:rFonts w:hint="eastAsia" w:ascii="宋体" w:hAnsi="宋体"/>
          <w:color w:val="auto"/>
          <w:sz w:val="28"/>
          <w:szCs w:val="28"/>
        </w:rPr>
        <w:t>1）机械伤害</w:t>
      </w:r>
    </w:p>
    <w:p>
      <w:pPr>
        <w:ind w:firstLine="560" w:firstLineChars="200"/>
        <w:rPr>
          <w:rFonts w:ascii="宋体" w:hAnsi="宋体"/>
          <w:color w:val="auto"/>
          <w:sz w:val="28"/>
          <w:szCs w:val="28"/>
        </w:rPr>
      </w:pPr>
      <w:r>
        <w:rPr>
          <w:rFonts w:hint="eastAsia" w:ascii="宋体" w:hAnsi="宋体"/>
          <w:color w:val="auto"/>
          <w:sz w:val="28"/>
          <w:szCs w:val="28"/>
        </w:rPr>
        <w:t>该项目存在空压机组、真空机组、皮带输送机、提升机和泵等机械设备，如设备制造质量不符合设计要求或设计上本身存在缺陷；设备安全防护装置缺乏或损坏、被拆除；人为的违章指挥，违章操作及对机械设备的故障不及时维修；检维修作业时，误开启机器；设备控制系统失灵，设备非正常状态工作；都可能导致事故发生。</w:t>
      </w:r>
    </w:p>
    <w:p>
      <w:pPr>
        <w:ind w:firstLine="560" w:firstLineChars="200"/>
        <w:rPr>
          <w:color w:val="auto"/>
        </w:rPr>
      </w:pPr>
      <w:r>
        <w:rPr>
          <w:rFonts w:hint="eastAsia" w:ascii="宋体" w:hAnsi="宋体"/>
          <w:color w:val="auto"/>
          <w:sz w:val="28"/>
          <w:szCs w:val="28"/>
        </w:rPr>
        <w:t>项目施工阶段使用各类切削机械，如缺少安全防护设施，或人员未佩戴安全防护劳动用品，可能造成机械伤害事故。</w:t>
      </w:r>
    </w:p>
    <w:p>
      <w:pPr>
        <w:ind w:firstLine="560" w:firstLineChars="200"/>
        <w:rPr>
          <w:color w:val="auto"/>
          <w:sz w:val="28"/>
          <w:szCs w:val="28"/>
        </w:rPr>
      </w:pPr>
      <w:r>
        <w:rPr>
          <w:rFonts w:hint="eastAsia"/>
          <w:color w:val="auto"/>
          <w:sz w:val="28"/>
          <w:szCs w:val="28"/>
        </w:rPr>
        <w:t>2）高处坠落</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该项目存在各类建筑、平台等。</w:t>
      </w:r>
      <w:r>
        <w:rPr>
          <w:rFonts w:hint="eastAsia" w:ascii="宋体" w:hAnsi="宋体"/>
          <w:color w:val="auto"/>
          <w:sz w:val="28"/>
          <w:szCs w:val="28"/>
        </w:rPr>
        <w:t>作业人员经常在高于地面或操作平台2m以上的设备、平台、框架、房顶、罐顶、杆上等作业场所巡检或对其</w:t>
      </w:r>
      <w:r>
        <w:rPr>
          <w:rFonts w:hint="eastAsia" w:ascii="宋体" w:hAnsi="宋体"/>
          <w:bCs/>
          <w:color w:val="auto"/>
          <w:sz w:val="28"/>
          <w:szCs w:val="28"/>
        </w:rPr>
        <w:t>进行维修、维护，如果</w:t>
      </w:r>
      <w:r>
        <w:rPr>
          <w:rFonts w:hint="eastAsia" w:ascii="宋体" w:hAnsi="宋体"/>
          <w:color w:val="auto"/>
          <w:sz w:val="28"/>
          <w:szCs w:val="28"/>
        </w:rPr>
        <w:t>操作平台无护拦或护栏损坏，孔洞无盖板等，安全防护设施损坏或作业人员违章操作等情况时均可导致作业人员高处坠落事故。</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造成高处坠落的主要因素是：</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(1）没有按要求使用安全带。</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(2）高处作业时安全防护设施损坏。</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(3）使用安全保护装置不完善或在缺乏安全设备、设施上进行作业。</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(4）工作责任心不强，主观判断失误。</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(5）作业人员疏忽大意，疲劳过度。</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(6）高处作业安全管理不到位。</w:t>
      </w:r>
    </w:p>
    <w:p>
      <w:pPr>
        <w:ind w:firstLine="560" w:firstLineChars="200"/>
        <w:rPr>
          <w:color w:val="auto"/>
        </w:rPr>
      </w:pPr>
      <w:r>
        <w:rPr>
          <w:rFonts w:hint="eastAsia" w:ascii="宋体" w:hAnsi="宋体"/>
          <w:bCs/>
          <w:color w:val="auto"/>
          <w:sz w:val="28"/>
          <w:szCs w:val="28"/>
        </w:rPr>
        <w:t>(7）没有按要求穿防滑性能良好的软底鞋等。</w:t>
      </w:r>
    </w:p>
    <w:p>
      <w:pPr>
        <w:ind w:firstLine="560" w:firstLineChars="200"/>
        <w:rPr>
          <w:color w:val="auto"/>
          <w:sz w:val="28"/>
          <w:szCs w:val="28"/>
        </w:rPr>
      </w:pPr>
      <w:r>
        <w:rPr>
          <w:rFonts w:hint="eastAsia"/>
          <w:color w:val="auto"/>
          <w:sz w:val="28"/>
          <w:szCs w:val="28"/>
        </w:rPr>
        <w:t>3）坍塌</w:t>
      </w:r>
    </w:p>
    <w:p>
      <w:pPr>
        <w:ind w:firstLine="560" w:firstLineChars="200"/>
        <w:rPr>
          <w:color w:val="auto"/>
          <w:sz w:val="28"/>
          <w:szCs w:val="28"/>
        </w:rPr>
      </w:pPr>
      <w:r>
        <w:rPr>
          <w:rFonts w:hint="eastAsia"/>
          <w:color w:val="auto"/>
          <w:sz w:val="28"/>
          <w:szCs w:val="28"/>
        </w:rPr>
        <w:t>仓库存储如堆垛高度较高，在搬运、储存过程中可能发生堆垛坍塌，造成人员伤亡。</w:t>
      </w:r>
    </w:p>
    <w:p>
      <w:pPr>
        <w:ind w:firstLine="560" w:firstLineChars="200"/>
        <w:rPr>
          <w:color w:val="auto"/>
          <w:sz w:val="28"/>
          <w:szCs w:val="28"/>
        </w:rPr>
      </w:pPr>
      <w:r>
        <w:rPr>
          <w:rFonts w:hint="eastAsia"/>
          <w:color w:val="auto"/>
          <w:sz w:val="28"/>
          <w:szCs w:val="28"/>
        </w:rPr>
        <w:t>4）物体打击</w:t>
      </w:r>
    </w:p>
    <w:p>
      <w:pPr>
        <w:ind w:firstLine="544" w:firstLineChars="200"/>
        <w:rPr>
          <w:color w:val="auto"/>
          <w:sz w:val="28"/>
          <w:szCs w:val="28"/>
        </w:rPr>
      </w:pPr>
      <w:r>
        <w:rPr>
          <w:color w:val="auto"/>
          <w:spacing w:val="-4"/>
          <w:sz w:val="28"/>
          <w:szCs w:val="28"/>
        </w:rPr>
        <w:t>物体在外力或重力作用下，打击人体会造成人身伤害事故。高处的物体固定不牢，排空管线等固定不牢，因腐蚀或风造成断裂，检修时使用工具飞出击打到人体上；高处作业或在高处平台上作业工具，材料使用、放置不当，造成高空落物等；物料搬运、装卸过程发生跌落碰及人体；发生爆炸产生的</w:t>
      </w:r>
      <w:r>
        <w:rPr>
          <w:color w:val="auto"/>
          <w:sz w:val="28"/>
          <w:szCs w:val="28"/>
        </w:rPr>
        <w:t>碎片飞出等，造成物体打击事故。</w:t>
      </w:r>
    </w:p>
    <w:p>
      <w:pPr>
        <w:ind w:firstLine="560" w:firstLineChars="200"/>
        <w:rPr>
          <w:color w:val="auto"/>
          <w:sz w:val="28"/>
          <w:szCs w:val="28"/>
        </w:rPr>
      </w:pPr>
      <w:r>
        <w:rPr>
          <w:rFonts w:hint="eastAsia"/>
          <w:color w:val="auto"/>
          <w:sz w:val="28"/>
          <w:szCs w:val="28"/>
        </w:rPr>
        <w:t>2</w:t>
      </w:r>
      <w:r>
        <w:rPr>
          <w:color w:val="auto"/>
          <w:sz w:val="28"/>
          <w:szCs w:val="28"/>
        </w:rPr>
        <w:t>.</w:t>
      </w:r>
      <w:r>
        <w:rPr>
          <w:rFonts w:hint="eastAsia"/>
          <w:color w:val="auto"/>
          <w:sz w:val="28"/>
          <w:szCs w:val="28"/>
        </w:rPr>
        <w:t>公用工程及辅助设施的影响</w:t>
      </w:r>
    </w:p>
    <w:p>
      <w:pPr>
        <w:spacing w:line="360" w:lineRule="auto"/>
        <w:ind w:firstLine="560" w:firstLineChars="200"/>
        <w:rPr>
          <w:rFonts w:ascii="宋体" w:hAnsi="宋体"/>
          <w:color w:val="auto"/>
          <w:sz w:val="28"/>
          <w:szCs w:val="28"/>
        </w:rPr>
      </w:pPr>
      <w:r>
        <w:rPr>
          <w:rFonts w:hint="eastAsia" w:ascii="宋体" w:hAnsi="宋体"/>
          <w:color w:val="auto"/>
          <w:sz w:val="28"/>
          <w:szCs w:val="28"/>
        </w:rPr>
        <w:t>公用工程是本评价项目的一个重要组成部分，主要由供水、供电、供热等构成。对于它们本身的工艺、设备可能产生的危险、有害因素在上文相关部分都有阐述，这里只是分析公用工程出现故障，可能导致其它工艺、设施出现的后果。</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1)供水中断</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停水后，冷却水不能进入反应釜、冷凝器进行冷却终止反应，从而影响产品质量。</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该项目如果供水中断，可能造成反应后釜内的温度升高，处理不及时可能导致火灾、爆炸等严重事故后果的发生。</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如果供水中断，可能造成消防系统无法启用，处理不及时可能导致火灾事故的扩大化。</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2)供电</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（1）电气缺陷</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电气设备方面存在的危险有害因素主要表现为火灾爆炸和人身伤害。</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电气问题导致火灾爆炸发生的原因有：采用不符合要求的电气线路、设备和供电设施，导致事故的发生；易燃易爆场所没有按要求安装防爆电气设施；电气线路、设施的老化引起火灾、爆炸事故；防雷、防静电的设施不齐全，导致火灾、爆炸事故发生；违章用电、超负荷用电导致火灾、爆炸事故。人身伤害事故的发生主要由爆炸事故和违章用电造成。</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（2）供电中断</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停电后，如果得不到及时有效的处理，将会出现比较严重的后果，例如：搅拌器将停止运转，处理不及时，会引起局部热量积聚，可能造成爆炸事故；停电后，冷冻站、水泵会停止工作，使部分需冷却的工艺得不到冷却，从而引发事故的发生。消防设施不能启用，可能导致火灾事故扩大化。</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3）供热中断</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该项目中部分反应过程需要利用蒸汽进行加热才能保持其进行，如果供热中断则无法满足加热条件，造成物料损失或生产停止。</w:t>
      </w:r>
    </w:p>
    <w:p>
      <w:pPr>
        <w:spacing w:line="360" w:lineRule="auto"/>
        <w:ind w:firstLine="560" w:firstLineChars="200"/>
        <w:jc w:val="left"/>
        <w:rPr>
          <w:rFonts w:ascii="宋体" w:hAnsi="宋体"/>
          <w:bCs/>
          <w:color w:val="auto"/>
          <w:sz w:val="28"/>
          <w:szCs w:val="28"/>
        </w:rPr>
      </w:pPr>
      <w:r>
        <w:rPr>
          <w:rFonts w:hint="eastAsia" w:ascii="宋体" w:hAnsi="宋体"/>
          <w:bCs/>
          <w:color w:val="auto"/>
          <w:sz w:val="28"/>
          <w:szCs w:val="28"/>
        </w:rPr>
        <w:t>5）压缩空气中断</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该项目大部分仪表、调节阀采用气动性设施，如压缩空气压力不足，可能造成仪表、调节阀不能动作到位，引发事故，另外，如发生局部断电时，仪表压缩空气的生产中断，储存的气体不能满足将仪表、调节阀到正常停车位置，可能引发事故。</w:t>
      </w:r>
    </w:p>
    <w:p>
      <w:pPr>
        <w:pStyle w:val="101"/>
        <w:spacing w:line="360" w:lineRule="auto"/>
        <w:ind w:firstLine="592"/>
        <w:jc w:val="left"/>
        <w:rPr>
          <w:rFonts w:ascii="宋体" w:hAnsi="宋体"/>
          <w:bCs/>
          <w:color w:val="auto"/>
        </w:rPr>
      </w:pPr>
      <w:r>
        <w:rPr>
          <w:rFonts w:hint="eastAsia" w:ascii="宋体" w:hAnsi="宋体"/>
          <w:bCs/>
          <w:color w:val="auto"/>
        </w:rPr>
        <w:t>6）控制系统存在以下主要危险因素</w:t>
      </w:r>
    </w:p>
    <w:p>
      <w:pPr>
        <w:pStyle w:val="101"/>
        <w:spacing w:line="360" w:lineRule="auto"/>
        <w:ind w:firstLine="560"/>
        <w:jc w:val="left"/>
        <w:rPr>
          <w:rFonts w:ascii="宋体" w:hAnsi="宋体"/>
          <w:color w:val="auto"/>
          <w:spacing w:val="0"/>
        </w:rPr>
      </w:pPr>
      <w:r>
        <w:rPr>
          <w:rFonts w:hint="eastAsia" w:ascii="宋体" w:hAnsi="宋体"/>
          <w:color w:val="auto"/>
          <w:spacing w:val="0"/>
        </w:rPr>
        <w:t>（1）控制系统失灵。主要是控制器没有采取冗余配置，控制器损坏，造成系统无法监控或数据失效；控制系统没有配置可靠的后备手段，进入系统控制信号的电缆质量不符合要求；操作员站位及少数重要操作按钮配置不能满足工艺工况和操作要求；系统失灵后没有采取应急的措施，以上这些原因对生产的运行带来不安全因素，会导致设备损坏和人身伤亡事故。（2）自动控制系统的电缆夹层和电缆井等部位的电缆较为密集，如果阻火措施不完善，一旦电缆发生故障和燃烧，将有可能引起火灾事故，使整个系统严重损坏、失控，造成很大损失。</w:t>
      </w:r>
    </w:p>
    <w:p>
      <w:pPr>
        <w:pStyle w:val="101"/>
        <w:spacing w:line="360" w:lineRule="auto"/>
        <w:ind w:firstLine="560"/>
        <w:jc w:val="left"/>
        <w:rPr>
          <w:rFonts w:ascii="宋体" w:hAnsi="宋体"/>
          <w:color w:val="auto"/>
          <w:spacing w:val="0"/>
        </w:rPr>
      </w:pPr>
      <w:r>
        <w:rPr>
          <w:rFonts w:hint="eastAsia" w:ascii="宋体" w:hAnsi="宋体"/>
          <w:color w:val="auto"/>
          <w:spacing w:val="0"/>
        </w:rPr>
        <w:t>（3）雷击过电压。雷击过电压时电压很高、电流很大，将会击穿计算机系统的电缆、控制器、设备，造成系统瘫痪，影响系统安全运行。</w:t>
      </w:r>
    </w:p>
    <w:p>
      <w:pPr>
        <w:pStyle w:val="101"/>
        <w:spacing w:line="360" w:lineRule="auto"/>
        <w:ind w:firstLine="560"/>
        <w:jc w:val="left"/>
        <w:rPr>
          <w:rFonts w:ascii="宋体" w:hAnsi="宋体"/>
          <w:color w:val="auto"/>
          <w:spacing w:val="0"/>
        </w:rPr>
      </w:pPr>
      <w:r>
        <w:rPr>
          <w:rFonts w:hint="eastAsia" w:ascii="宋体" w:hAnsi="宋体"/>
          <w:color w:val="auto"/>
          <w:spacing w:val="0"/>
        </w:rPr>
        <w:t>（4）火灾报警系统失灵。整个生产工艺高度自动化，而连续生产，部分生产区域环境温度较高，而且对于防火要求特别高，所以火灾报警系统与消防设备系统联动，一旦火灾报警系统失灵，将给生产和经济带来极大损失。</w:t>
      </w:r>
    </w:p>
    <w:p>
      <w:pPr>
        <w:pStyle w:val="101"/>
        <w:spacing w:line="360" w:lineRule="auto"/>
        <w:ind w:firstLine="560"/>
        <w:jc w:val="left"/>
        <w:rPr>
          <w:rFonts w:ascii="宋体" w:hAnsi="宋体"/>
          <w:color w:val="auto"/>
          <w:spacing w:val="0"/>
        </w:rPr>
      </w:pPr>
      <w:r>
        <w:rPr>
          <w:rFonts w:hint="eastAsia" w:ascii="宋体" w:hAnsi="宋体"/>
          <w:color w:val="auto"/>
          <w:spacing w:val="0"/>
        </w:rPr>
        <w:t>（5）仪表损坏将导致系统的非正常运行。特别是显示数据的失准、自动控制的执行机构损坏将导致生产系统混乱并控制失灵。</w:t>
      </w:r>
    </w:p>
    <w:p>
      <w:pPr>
        <w:pStyle w:val="101"/>
        <w:spacing w:line="360" w:lineRule="auto"/>
        <w:ind w:firstLine="560"/>
        <w:jc w:val="left"/>
        <w:rPr>
          <w:rFonts w:ascii="宋体" w:hAnsi="宋体"/>
          <w:color w:val="auto"/>
          <w:spacing w:val="0"/>
        </w:rPr>
      </w:pPr>
      <w:r>
        <w:rPr>
          <w:rFonts w:hint="eastAsia" w:ascii="宋体" w:hAnsi="宋体"/>
          <w:color w:val="auto"/>
          <w:spacing w:val="0"/>
        </w:rPr>
        <w:t>（6）主要危险因素作业场所</w:t>
      </w:r>
    </w:p>
    <w:p>
      <w:pPr>
        <w:spacing w:line="360" w:lineRule="auto"/>
        <w:ind w:firstLine="560" w:firstLineChars="200"/>
        <w:jc w:val="left"/>
        <w:rPr>
          <w:rFonts w:ascii="宋体" w:hAnsi="宋体"/>
          <w:b/>
          <w:color w:val="auto"/>
          <w:sz w:val="28"/>
          <w:szCs w:val="28"/>
        </w:rPr>
      </w:pPr>
      <w:r>
        <w:rPr>
          <w:rFonts w:hint="eastAsia" w:ascii="宋体" w:hAnsi="宋体"/>
          <w:color w:val="auto"/>
          <w:sz w:val="28"/>
          <w:szCs w:val="28"/>
        </w:rPr>
        <w:t>发生故障的相关作业场所是集中控制室和在现场的检测仪表、执行机构、电脑和控制器。</w:t>
      </w:r>
    </w:p>
    <w:p>
      <w:pPr>
        <w:spacing w:line="360" w:lineRule="auto"/>
        <w:ind w:firstLine="562" w:firstLineChars="200"/>
        <w:jc w:val="left"/>
        <w:rPr>
          <w:rFonts w:ascii="宋体" w:hAnsi="宋体"/>
          <w:color w:val="auto"/>
          <w:sz w:val="28"/>
          <w:szCs w:val="28"/>
        </w:rPr>
      </w:pPr>
      <w:r>
        <w:rPr>
          <w:rFonts w:hint="eastAsia" w:ascii="宋体" w:hAnsi="宋体"/>
          <w:b/>
          <w:color w:val="auto"/>
          <w:sz w:val="28"/>
          <w:szCs w:val="28"/>
        </w:rPr>
        <w:t>3.施工阶段</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设备、管道、控制系统的设计、材质、安装质量问题，将会导致物料泄漏，甚至发生超压物理爆炸，引发火灾、爆炸、中毒、窒息、腐蚀、灼伤的危险、危害。如物料的输送管道不畅；材质不满足工艺要求；设备、管道内的危险化学品泄漏；生产系统密封性不好，杂质进入系统；设备发生坍塌等。均有可能导致火灾、爆炸、中毒窒息和腐蚀灼伤的恶性事故，造成人员伤亡和财产损失。</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生产中的设备、管道缺少安全装置和防护设施，或者安全装置和防护设施存在缺陷可能引起事故。如缺少液位计、压力表、温度计，容易造成员工误操作；缺少紧急放空管、安全阀、爆破片，容易造成压力容器、压力管道超压爆裂。调节阀控制的物料输送管道缺少旁通管道、或旁通管道长期不使用而堵塞时，DCS控制系统出现故障或断电，容易造成生产系统无法正常运行，甚至生产系统瘫痪。生产中使用的仪表失灵、安装位置不当，均有可能造成显示虚假现象，引发各种安全事故。生产中的物料输送泵如果安装、使用不当，或材质、型号选择错误，如泵出口压力超过泵壳压力，就有可能导致输送过程中物料的泄漏，进而引起火灾、爆炸、中毒窒息、腐蚀灼伤事故。</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使用的压力容器、压力管道如未经有资质的机构专业设计、制造、安装、检验，可能存在隐患，发生压力容器爆炸事故，造成重大伤害和损失。如压力容器破裂、易燃、有毒、腐蚀性物料泄漏，将会导致火灾、爆炸、中毒窒息和腐蚀的二次事故发生。</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4.设备检修过程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因该项目属于精细化工企业生产的特殊性，生产设备要受到各种生产介质的腐蚀，还要经受到负压、高温，因此设备易受到损坏，所以设备要定期进行检修，每隔一定时期还要进行大修，遇到设备发生故障或人为操作不当造成设备损坏，还要进行抢修。然而，在设备检修过程中，因时间紧，检修任务繁重，再加上作业人员的安全意识不强或技术不熟练或因作业环境不良等多种原因的影响，故作业人员在设备检修过程中极易发生人身伤亡事故。</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设备检修过程中大都作业还需要使用动火作业，如没有严格的动火作业安全制度，还会因动火作引发火灾或爆炸事故的发生。在设备管道检修时，如没有按规定对设备进行置换，当检修人员拆卸设备检修时，有毒物料喷出就有可能造成人员中毒事故。进入设备内进行清洗检查作业时，如设备内有毒有害气体置换不彻底,未进行敞开处理并通足够的空气，未进行氧气浓度分析或分析不合格，设备外无人监护，进入设备内作业的人员极易发生中毒、窒息事故。此外，设备检修过程中还需用到各种大型起重机具以及工器具等，这些大型起重机具或工器具可因本身存在缺陷，或在使用过程中没有正确使用，均会发生人身伤亡事故。</w:t>
      </w:r>
    </w:p>
    <w:p>
      <w:pPr>
        <w:spacing w:line="360" w:lineRule="auto"/>
        <w:ind w:firstLine="562" w:firstLineChars="200"/>
        <w:jc w:val="left"/>
        <w:rPr>
          <w:rFonts w:ascii="宋体" w:hAnsi="宋体"/>
          <w:b/>
          <w:color w:val="auto"/>
          <w:sz w:val="28"/>
          <w:szCs w:val="28"/>
        </w:rPr>
      </w:pPr>
      <w:r>
        <w:rPr>
          <w:rFonts w:hint="eastAsia" w:ascii="宋体" w:hAnsi="宋体"/>
          <w:b/>
          <w:color w:val="auto"/>
          <w:sz w:val="28"/>
          <w:szCs w:val="28"/>
        </w:rPr>
        <w:t>5.其他</w:t>
      </w:r>
    </w:p>
    <w:p>
      <w:pPr>
        <w:spacing w:line="360" w:lineRule="auto"/>
        <w:ind w:firstLine="560" w:firstLineChars="200"/>
        <w:jc w:val="left"/>
        <w:rPr>
          <w:color w:val="auto"/>
          <w:sz w:val="28"/>
          <w:szCs w:val="28"/>
        </w:rPr>
      </w:pPr>
      <w:r>
        <w:rPr>
          <w:rFonts w:ascii="宋体" w:hAnsi="宋体"/>
          <w:color w:val="auto"/>
          <w:sz w:val="28"/>
          <w:szCs w:val="28"/>
        </w:rPr>
        <w:t>该项目生产过程中存在腐蚀性物质，腐蚀性物质可能造成人员化学灼伤，同时</w:t>
      </w:r>
      <w:r>
        <w:rPr>
          <w:rFonts w:hint="eastAsia" w:ascii="宋体" w:hAnsi="宋体"/>
          <w:color w:val="auto"/>
          <w:sz w:val="28"/>
          <w:szCs w:val="28"/>
        </w:rPr>
        <w:t>基础</w:t>
      </w:r>
      <w:r>
        <w:rPr>
          <w:rFonts w:ascii="宋体" w:hAnsi="宋体"/>
          <w:color w:val="auto"/>
          <w:sz w:val="28"/>
          <w:szCs w:val="28"/>
        </w:rPr>
        <w:t>、框架及设备基础、支撑、设备本体长期处于腐蚀环境，易发生腐蚀引起</w:t>
      </w:r>
      <w:r>
        <w:rPr>
          <w:rFonts w:hint="eastAsia" w:ascii="宋体" w:hAnsi="宋体"/>
          <w:color w:val="auto"/>
          <w:sz w:val="28"/>
          <w:szCs w:val="28"/>
        </w:rPr>
        <w:t>坍塌</w:t>
      </w:r>
      <w:r>
        <w:rPr>
          <w:rFonts w:ascii="宋体" w:hAnsi="宋体"/>
          <w:color w:val="auto"/>
          <w:sz w:val="28"/>
          <w:szCs w:val="28"/>
        </w:rPr>
        <w:t>事故。</w:t>
      </w:r>
    </w:p>
    <w:p>
      <w:pPr>
        <w:spacing w:line="360" w:lineRule="auto"/>
        <w:ind w:firstLine="560" w:firstLineChars="200"/>
        <w:jc w:val="left"/>
        <w:rPr>
          <w:color w:val="auto"/>
          <w:sz w:val="28"/>
          <w:szCs w:val="28"/>
        </w:rPr>
      </w:pPr>
      <w:r>
        <w:rPr>
          <w:rFonts w:ascii="宋体" w:hAnsi="宋体"/>
          <w:color w:val="auto"/>
          <w:sz w:val="28"/>
          <w:szCs w:val="28"/>
        </w:rPr>
        <w:t>该项目在生产、检修过程中可能存在因环境不良、注意力不集中等原因造成的滑跌、绊倒、碰撞等，造成人员伤害。</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.2.3.5</w:t>
      </w:r>
      <w:r>
        <w:rPr>
          <w:rFonts w:hint="eastAsia" w:ascii="Calibri" w:hAnsi="Calibri"/>
          <w:b/>
          <w:color w:val="auto"/>
          <w:sz w:val="28"/>
          <w:szCs w:val="32"/>
        </w:rPr>
        <w:t xml:space="preserve"> 人的因素和管理因素危险有害因素辨识与分析</w:t>
      </w:r>
    </w:p>
    <w:p>
      <w:pPr>
        <w:spacing w:line="360" w:lineRule="auto"/>
        <w:ind w:firstLine="562" w:firstLineChars="200"/>
        <w:jc w:val="left"/>
        <w:rPr>
          <w:b/>
          <w:color w:val="auto"/>
          <w:sz w:val="28"/>
          <w:szCs w:val="28"/>
        </w:rPr>
      </w:pPr>
      <w:r>
        <w:rPr>
          <w:rFonts w:hint="eastAsia"/>
          <w:b/>
          <w:color w:val="auto"/>
          <w:sz w:val="28"/>
          <w:szCs w:val="28"/>
        </w:rPr>
        <w:t>1.</w:t>
      </w:r>
      <w:r>
        <w:rPr>
          <w:rFonts w:hint="eastAsia" w:ascii="宋体" w:hAnsi="宋体"/>
          <w:b/>
          <w:color w:val="auto"/>
          <w:sz w:val="28"/>
          <w:szCs w:val="28"/>
        </w:rPr>
        <w:t>人的因素</w:t>
      </w:r>
    </w:p>
    <w:p>
      <w:pPr>
        <w:spacing w:line="360" w:lineRule="auto"/>
        <w:ind w:firstLine="560" w:firstLineChars="200"/>
        <w:jc w:val="left"/>
        <w:rPr>
          <w:color w:val="auto"/>
          <w:sz w:val="28"/>
          <w:szCs w:val="28"/>
        </w:rPr>
      </w:pPr>
      <w:r>
        <w:rPr>
          <w:rFonts w:ascii="宋体" w:hAnsi="宋体"/>
          <w:color w:val="auto"/>
          <w:sz w:val="28"/>
          <w:szCs w:val="28"/>
        </w:rPr>
        <w:t>在人们的日常生活、生产实践等各个领域，只要有人生活、活动的地方，都会存在人为失误。由于人为失误的存在，便必然会对人们的正常生产造成诸如改变人们的生活节律，人身、财产、心理受到伤害等各种各样的影响。在此，我们所指的人的不安全行为是在人</w:t>
      </w:r>
      <w:r>
        <w:rPr>
          <w:color w:val="auto"/>
          <w:sz w:val="28"/>
          <w:szCs w:val="28"/>
        </w:rPr>
        <w:t>—</w:t>
      </w:r>
      <w:r>
        <w:rPr>
          <w:rFonts w:ascii="宋体" w:hAnsi="宋体"/>
          <w:color w:val="auto"/>
          <w:sz w:val="28"/>
          <w:szCs w:val="28"/>
        </w:rPr>
        <w:t>机</w:t>
      </w:r>
      <w:r>
        <w:rPr>
          <w:color w:val="auto"/>
          <w:sz w:val="28"/>
          <w:szCs w:val="28"/>
        </w:rPr>
        <w:t>—</w:t>
      </w:r>
      <w:r>
        <w:rPr>
          <w:rFonts w:ascii="宋体" w:hAnsi="宋体"/>
          <w:color w:val="auto"/>
          <w:sz w:val="28"/>
          <w:szCs w:val="28"/>
        </w:rPr>
        <w:t>环境系统中，人为地使系统发生故障或发生机能不良的事件，它有可能发生在设计、生产、操作、维修等系统的各个环节。</w:t>
      </w:r>
    </w:p>
    <w:p>
      <w:pPr>
        <w:spacing w:line="360" w:lineRule="auto"/>
        <w:ind w:firstLine="560" w:firstLineChars="200"/>
        <w:jc w:val="left"/>
        <w:rPr>
          <w:color w:val="auto"/>
          <w:sz w:val="28"/>
          <w:szCs w:val="28"/>
        </w:rPr>
      </w:pPr>
      <w:r>
        <w:rPr>
          <w:rFonts w:ascii="宋体" w:hAnsi="宋体"/>
          <w:color w:val="auto"/>
          <w:sz w:val="28"/>
          <w:szCs w:val="28"/>
        </w:rPr>
        <w:t>人可能是</w:t>
      </w:r>
      <w:r>
        <w:rPr>
          <w:rFonts w:hint="eastAsia" w:ascii="宋体" w:hAnsi="宋体"/>
          <w:color w:val="auto"/>
          <w:sz w:val="28"/>
          <w:szCs w:val="28"/>
        </w:rPr>
        <w:t>“</w:t>
      </w:r>
      <w:r>
        <w:rPr>
          <w:rFonts w:ascii="宋体" w:hAnsi="宋体"/>
          <w:color w:val="auto"/>
          <w:sz w:val="28"/>
          <w:szCs w:val="28"/>
        </w:rPr>
        <w:t>危险因素</w:t>
      </w:r>
      <w:r>
        <w:rPr>
          <w:rFonts w:hint="eastAsia" w:ascii="宋体" w:hAnsi="宋体"/>
          <w:color w:val="auto"/>
          <w:sz w:val="28"/>
          <w:szCs w:val="28"/>
        </w:rPr>
        <w:t>”</w:t>
      </w:r>
      <w:r>
        <w:rPr>
          <w:rFonts w:ascii="宋体" w:hAnsi="宋体"/>
          <w:color w:val="auto"/>
          <w:sz w:val="28"/>
          <w:szCs w:val="28"/>
        </w:rPr>
        <w:t>的携带者，也可能是危险因素或违章作业的制止者。人的因素对安全的影响主要包括人的思想觉悟、知识水平、工作作风、心理素质、个人经历、生理状态等几个方面。</w:t>
      </w:r>
    </w:p>
    <w:p>
      <w:pPr>
        <w:spacing w:line="360" w:lineRule="auto"/>
        <w:ind w:firstLine="560" w:firstLineChars="200"/>
        <w:jc w:val="left"/>
        <w:rPr>
          <w:color w:val="auto"/>
          <w:sz w:val="28"/>
          <w:szCs w:val="28"/>
        </w:rPr>
      </w:pPr>
      <w:r>
        <w:rPr>
          <w:rFonts w:ascii="宋体" w:hAnsi="宋体"/>
          <w:color w:val="auto"/>
          <w:sz w:val="28"/>
          <w:szCs w:val="28"/>
        </w:rPr>
        <w:t>人在生产过程中是动态，</w:t>
      </w:r>
      <w:r>
        <w:rPr>
          <w:rFonts w:hint="eastAsia" w:ascii="宋体" w:hAnsi="宋体"/>
          <w:color w:val="auto"/>
          <w:sz w:val="28"/>
          <w:szCs w:val="28"/>
        </w:rPr>
        <w:t>“</w:t>
      </w:r>
      <w:r>
        <w:rPr>
          <w:rFonts w:ascii="宋体" w:hAnsi="宋体"/>
          <w:color w:val="auto"/>
          <w:sz w:val="28"/>
          <w:szCs w:val="28"/>
        </w:rPr>
        <w:t>活</w:t>
      </w:r>
      <w:r>
        <w:rPr>
          <w:rFonts w:hint="eastAsia" w:ascii="宋体" w:hAnsi="宋体"/>
          <w:color w:val="auto"/>
          <w:sz w:val="28"/>
          <w:szCs w:val="28"/>
        </w:rPr>
        <w:t>”</w:t>
      </w:r>
      <w:r>
        <w:rPr>
          <w:rFonts w:ascii="宋体" w:hAnsi="宋体"/>
          <w:color w:val="auto"/>
          <w:sz w:val="28"/>
          <w:szCs w:val="28"/>
        </w:rPr>
        <w:t>的因素，多种因素都会对人的安全行为产生影响：</w:t>
      </w:r>
    </w:p>
    <w:p>
      <w:pPr>
        <w:spacing w:line="360" w:lineRule="auto"/>
        <w:ind w:firstLine="560" w:firstLineChars="200"/>
        <w:jc w:val="left"/>
        <w:rPr>
          <w:color w:val="auto"/>
          <w:sz w:val="28"/>
          <w:szCs w:val="28"/>
        </w:rPr>
      </w:pPr>
      <w:r>
        <w:rPr>
          <w:color w:val="auto"/>
          <w:sz w:val="28"/>
          <w:szCs w:val="28"/>
        </w:rPr>
        <w:t>1</w:t>
      </w:r>
      <w:r>
        <w:rPr>
          <w:rFonts w:ascii="宋体" w:hAnsi="宋体"/>
          <w:color w:val="auto"/>
          <w:sz w:val="28"/>
          <w:szCs w:val="28"/>
        </w:rPr>
        <w:t>）情绪对人的安全行为的影响：喜、怒、忧、畏、悲、恐、惊都会对人的情绪产生影响，这些情绪会浸入到人的生产活动中，所以有时会产生不安全行为。</w:t>
      </w:r>
    </w:p>
    <w:p>
      <w:pPr>
        <w:spacing w:line="360" w:lineRule="auto"/>
        <w:ind w:firstLine="560" w:firstLineChars="200"/>
        <w:jc w:val="left"/>
        <w:rPr>
          <w:color w:val="auto"/>
          <w:sz w:val="28"/>
          <w:szCs w:val="28"/>
        </w:rPr>
      </w:pPr>
      <w:r>
        <w:rPr>
          <w:color w:val="auto"/>
          <w:sz w:val="28"/>
          <w:szCs w:val="28"/>
        </w:rPr>
        <w:t>2</w:t>
      </w:r>
      <w:r>
        <w:rPr>
          <w:rFonts w:ascii="宋体" w:hAnsi="宋体"/>
          <w:color w:val="auto"/>
          <w:sz w:val="28"/>
          <w:szCs w:val="28"/>
        </w:rPr>
        <w:t>）气质对人的安全行为的影响：根据人的心理活动表现特点，如感受性、耐受性、灵敏性、情绪的兴奋及内储性、外倾性等方面的不同程度的组合，会产生多血质、胆汁质、粘液质、抑郁制四种类型的人，这几种类型都会对人的不安全行为产生影响。</w:t>
      </w:r>
      <w:r>
        <w:rPr>
          <w:rFonts w:hint="eastAsia"/>
          <w:color w:val="auto"/>
          <w:sz w:val="28"/>
          <w:szCs w:val="28"/>
        </w:rPr>
        <w:t xml:space="preserve"> </w:t>
      </w:r>
    </w:p>
    <w:p>
      <w:pPr>
        <w:spacing w:line="360" w:lineRule="auto"/>
        <w:ind w:firstLine="562" w:firstLineChars="200"/>
        <w:jc w:val="left"/>
        <w:rPr>
          <w:b/>
          <w:color w:val="auto"/>
          <w:sz w:val="28"/>
          <w:szCs w:val="28"/>
        </w:rPr>
      </w:pPr>
      <w:r>
        <w:rPr>
          <w:rFonts w:hint="eastAsia"/>
          <w:b/>
          <w:color w:val="auto"/>
          <w:sz w:val="28"/>
          <w:szCs w:val="28"/>
        </w:rPr>
        <w:t>2.</w:t>
      </w:r>
      <w:r>
        <w:rPr>
          <w:rFonts w:hint="eastAsia" w:ascii="宋体" w:hAnsi="宋体"/>
          <w:b/>
          <w:color w:val="auto"/>
          <w:sz w:val="28"/>
          <w:szCs w:val="28"/>
        </w:rPr>
        <w:t>管理因素</w:t>
      </w:r>
    </w:p>
    <w:p>
      <w:pPr>
        <w:spacing w:line="360" w:lineRule="auto"/>
        <w:ind w:firstLine="560" w:firstLineChars="200"/>
        <w:rPr>
          <w:color w:val="auto"/>
        </w:rPr>
      </w:pPr>
      <w:r>
        <w:rPr>
          <w:rFonts w:hint="eastAsia" w:ascii="宋体" w:hAnsi="宋体"/>
          <w:color w:val="auto"/>
          <w:kern w:val="0"/>
          <w:sz w:val="28"/>
          <w:szCs w:val="28"/>
        </w:rPr>
        <w:t>由于</w:t>
      </w:r>
      <w:r>
        <w:rPr>
          <w:rFonts w:ascii="宋体" w:hAnsi="宋体"/>
          <w:color w:val="auto"/>
          <w:sz w:val="28"/>
          <w:szCs w:val="28"/>
        </w:rPr>
        <w:t>该项目涉及</w:t>
      </w:r>
      <w:r>
        <w:rPr>
          <w:rFonts w:hint="eastAsia" w:ascii="宋体" w:hAnsi="宋体"/>
          <w:color w:val="auto"/>
          <w:sz w:val="28"/>
          <w:szCs w:val="28"/>
        </w:rPr>
        <w:t>危险化学品具有可燃</w:t>
      </w:r>
      <w:r>
        <w:rPr>
          <w:rFonts w:hint="eastAsia" w:ascii="宋体" w:hAnsi="宋体"/>
          <w:color w:val="auto"/>
          <w:kern w:val="0"/>
          <w:sz w:val="28"/>
          <w:szCs w:val="28"/>
        </w:rPr>
        <w:t>、中毒窒息和腐蚀性等，品种较多。可燃液体经高温蒸发</w:t>
      </w:r>
      <w:r>
        <w:rPr>
          <w:rFonts w:hint="eastAsia" w:ascii="宋体" w:hAnsi="宋体"/>
          <w:color w:val="auto"/>
          <w:sz w:val="28"/>
          <w:szCs w:val="28"/>
        </w:rPr>
        <w:t>的蒸气与空气可形成爆炸性混合物，遇明火、高热能引起燃烧爆炸；有毒物质能引起中毒和窒息。</w:t>
      </w:r>
      <w:r>
        <w:rPr>
          <w:rFonts w:ascii="宋体" w:hAnsi="宋体"/>
          <w:color w:val="auto"/>
          <w:sz w:val="28"/>
          <w:szCs w:val="28"/>
        </w:rPr>
        <w:t>压缩液化气体</w:t>
      </w:r>
      <w:r>
        <w:rPr>
          <w:rFonts w:hint="eastAsia" w:ascii="宋体" w:hAnsi="宋体"/>
          <w:color w:val="auto"/>
          <w:sz w:val="28"/>
          <w:szCs w:val="28"/>
        </w:rPr>
        <w:t>能引起爆炸和冻伤事故；腐蚀品对设备、管线有腐蚀作用，有可能造成物料的泄漏，同样引发火灾、爆炸、中毒和对人体造成灼烫事故。</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从本报告事故案例分析可以看出，发生事故的主要原因一般情况下不是出于生产装置存在缺陷，而是人的不安全行为、违章作业是构成事故的直接原因，人的不安全行为来自于企业的安全管理缺陷和职工队伍整体素质。</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w:t>
      </w:r>
      <w:r>
        <w:rPr>
          <w:rFonts w:hint="eastAsia"/>
          <w:color w:val="auto"/>
          <w:kern w:val="0"/>
          <w:sz w:val="28"/>
          <w:szCs w:val="28"/>
        </w:rPr>
        <w:t>1</w:t>
      </w:r>
      <w:r>
        <w:rPr>
          <w:rFonts w:hint="eastAsia" w:ascii="宋体" w:hAnsi="宋体"/>
          <w:color w:val="auto"/>
          <w:kern w:val="0"/>
          <w:sz w:val="28"/>
          <w:szCs w:val="28"/>
        </w:rPr>
        <w:t>）企业管理者安全意识薄弱</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企业单纯追求产量和效益，重生产轻安全，超能力生产；安全设施存在缺陷或拆除未投入运行，对物（作业环境）监测和不符合处置方面的缺陷，可造成事故的发生。</w:t>
      </w:r>
      <w:r>
        <w:rPr>
          <w:color w:val="auto"/>
          <w:kern w:val="0"/>
          <w:sz w:val="28"/>
          <w:szCs w:val="28"/>
        </w:rPr>
        <w:t xml:space="preserve"> </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w:t>
      </w:r>
      <w:r>
        <w:rPr>
          <w:rFonts w:hint="eastAsia"/>
          <w:color w:val="auto"/>
          <w:kern w:val="0"/>
          <w:sz w:val="28"/>
          <w:szCs w:val="28"/>
        </w:rPr>
        <w:t>2</w:t>
      </w:r>
      <w:r>
        <w:rPr>
          <w:rFonts w:hint="eastAsia" w:ascii="宋体" w:hAnsi="宋体"/>
          <w:color w:val="auto"/>
          <w:kern w:val="0"/>
          <w:sz w:val="28"/>
          <w:szCs w:val="28"/>
        </w:rPr>
        <w:t>）从业人员素质低</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如经营管理者未经系统的专业学习，缺乏必要的专业安全知识，往往违背生产规律，安全隐患不能及时排除；对现行的有关安全的法律、法规、规程、规范了解不够，因而对职工的安全教育、培训、考核缺乏力度等。</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忽视安全教育和培训，职工的安全意识和实际操作技能水平得不到提高，易发生忽视自身防护、违章操作等不安全行为。</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安全生产与岗位操作工人的安全生产意识和技术操作水平有着直接关系。企业从业人员安全生产意识淡薄，如未经教育、培训就上岗操作、不熟悉操作规程，有章不循、违章操作、自救、互救能力差等，凡此种种，都有可能导致安全事故。</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w:t>
      </w:r>
      <w:r>
        <w:rPr>
          <w:rFonts w:hint="eastAsia"/>
          <w:color w:val="auto"/>
          <w:kern w:val="0"/>
          <w:sz w:val="28"/>
          <w:szCs w:val="28"/>
        </w:rPr>
        <w:t>3</w:t>
      </w:r>
      <w:r>
        <w:rPr>
          <w:rFonts w:hint="eastAsia" w:ascii="宋体" w:hAnsi="宋体"/>
          <w:color w:val="auto"/>
          <w:kern w:val="0"/>
          <w:sz w:val="28"/>
          <w:szCs w:val="28"/>
        </w:rPr>
        <w:t>）企业各级安全责任制不健全、安全管理制度不完善</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安全责任制不健全或流于形式，会形成管理责任</w:t>
      </w:r>
      <w:r>
        <w:rPr>
          <w:rFonts w:hint="eastAsia"/>
          <w:color w:val="auto"/>
          <w:kern w:val="0"/>
          <w:sz w:val="28"/>
          <w:szCs w:val="28"/>
        </w:rPr>
        <w:t>“真空”。可造成安全事故、扩大事故后果。企业</w:t>
      </w:r>
      <w:r>
        <w:rPr>
          <w:rFonts w:hint="eastAsia" w:ascii="宋体" w:hAnsi="宋体"/>
          <w:color w:val="auto"/>
          <w:kern w:val="0"/>
          <w:sz w:val="28"/>
          <w:szCs w:val="28"/>
        </w:rPr>
        <w:t>安全管理制度不完善，必然造成无章可循、安全事故频发的混乱局面。</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w:t>
      </w:r>
      <w:r>
        <w:rPr>
          <w:rFonts w:hint="eastAsia"/>
          <w:color w:val="auto"/>
          <w:kern w:val="0"/>
          <w:sz w:val="28"/>
          <w:szCs w:val="28"/>
        </w:rPr>
        <w:t>4</w:t>
      </w:r>
      <w:r>
        <w:rPr>
          <w:rFonts w:hint="eastAsia" w:ascii="宋体" w:hAnsi="宋体"/>
          <w:color w:val="auto"/>
          <w:kern w:val="0"/>
          <w:sz w:val="28"/>
          <w:szCs w:val="28"/>
        </w:rPr>
        <w:t>）安全操作规程不健全</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工艺、技术错误或不当，无作业程序或作业程序有错误，岗位操作规程不健全会造成作业人员违背安全生产客观规律盲目作业，造成安全事故。</w:t>
      </w:r>
    </w:p>
    <w:p>
      <w:pPr>
        <w:spacing w:line="360" w:lineRule="auto"/>
        <w:ind w:firstLine="560" w:firstLineChars="200"/>
        <w:jc w:val="left"/>
        <w:rPr>
          <w:color w:val="auto"/>
          <w:kern w:val="0"/>
          <w:sz w:val="28"/>
          <w:szCs w:val="28"/>
        </w:rPr>
      </w:pPr>
      <w:r>
        <w:rPr>
          <w:rFonts w:hint="eastAsia" w:ascii="宋体" w:hAnsi="宋体"/>
          <w:color w:val="auto"/>
          <w:kern w:val="0"/>
          <w:sz w:val="28"/>
          <w:szCs w:val="28"/>
        </w:rPr>
        <w:t>（</w:t>
      </w:r>
      <w:r>
        <w:rPr>
          <w:rFonts w:hint="eastAsia"/>
          <w:color w:val="auto"/>
          <w:kern w:val="0"/>
          <w:sz w:val="28"/>
          <w:szCs w:val="28"/>
        </w:rPr>
        <w:t>5</w:t>
      </w:r>
      <w:r>
        <w:rPr>
          <w:rFonts w:hint="eastAsia" w:ascii="宋体" w:hAnsi="宋体"/>
          <w:color w:val="auto"/>
          <w:kern w:val="0"/>
          <w:sz w:val="28"/>
          <w:szCs w:val="28"/>
        </w:rPr>
        <w:t>）违反安全人机工程原理</w:t>
      </w:r>
    </w:p>
    <w:p>
      <w:pPr>
        <w:ind w:firstLine="560" w:firstLineChars="200"/>
        <w:rPr>
          <w:color w:val="auto"/>
        </w:rPr>
      </w:pPr>
      <w:r>
        <w:rPr>
          <w:rFonts w:hint="eastAsia" w:ascii="宋体" w:hAnsi="宋体"/>
          <w:color w:val="auto"/>
          <w:kern w:val="0"/>
          <w:sz w:val="28"/>
          <w:szCs w:val="28"/>
        </w:rPr>
        <w:t>使用的机器不适合人的生理或心理特点，作业环境温度、湿度、照明、噪声不适合人的生理特点，易造成事故。</w:t>
      </w:r>
    </w:p>
    <w:p>
      <w:pPr>
        <w:keepNext/>
        <w:keepLines/>
        <w:spacing w:line="600" w:lineRule="exact"/>
        <w:jc w:val="left"/>
        <w:outlineLvl w:val="2"/>
        <w:rPr>
          <w:rFonts w:ascii="Calibri" w:hAnsi="Calibri"/>
          <w:b/>
          <w:color w:val="auto"/>
          <w:sz w:val="28"/>
          <w:szCs w:val="32"/>
        </w:rPr>
      </w:pPr>
      <w:bookmarkStart w:id="259" w:name="_Toc144109246"/>
      <w:r>
        <w:rPr>
          <w:rFonts w:hint="eastAsia" w:ascii="Calibri" w:hAnsi="Calibri"/>
          <w:b/>
          <w:color w:val="auto"/>
          <w:sz w:val="28"/>
          <w:szCs w:val="32"/>
        </w:rPr>
        <w:t>B</w:t>
      </w:r>
      <w:r>
        <w:rPr>
          <w:rFonts w:ascii="Calibri" w:hAnsi="Calibri"/>
          <w:b/>
          <w:color w:val="auto"/>
          <w:sz w:val="28"/>
          <w:szCs w:val="32"/>
        </w:rPr>
        <w:t>.2.4</w:t>
      </w:r>
      <w:r>
        <w:rPr>
          <w:rFonts w:hint="eastAsia" w:ascii="Calibri" w:hAnsi="Calibri"/>
          <w:b/>
          <w:color w:val="auto"/>
          <w:sz w:val="28"/>
          <w:szCs w:val="32"/>
        </w:rPr>
        <w:t xml:space="preserve"> 生产系统和辅助系统中有害</w:t>
      </w:r>
      <w:r>
        <w:rPr>
          <w:rFonts w:ascii="Calibri" w:hAnsi="Calibri"/>
          <w:b/>
          <w:color w:val="auto"/>
          <w:sz w:val="28"/>
          <w:szCs w:val="32"/>
        </w:rPr>
        <w:t>因素辨识</w:t>
      </w:r>
      <w:r>
        <w:rPr>
          <w:rFonts w:hint="eastAsia" w:ascii="Calibri" w:hAnsi="Calibri"/>
          <w:b/>
          <w:color w:val="auto"/>
          <w:sz w:val="28"/>
          <w:szCs w:val="32"/>
        </w:rPr>
        <w:t>与分析</w:t>
      </w:r>
      <w:bookmarkEnd w:id="259"/>
    </w:p>
    <w:p>
      <w:pPr>
        <w:ind w:firstLine="560" w:firstLineChars="200"/>
        <w:rPr>
          <w:color w:val="auto"/>
        </w:rPr>
      </w:pPr>
      <w:r>
        <w:rPr>
          <w:rFonts w:ascii="宋体" w:hAnsi="宋体"/>
          <w:color w:val="auto"/>
          <w:sz w:val="28"/>
          <w:szCs w:val="28"/>
        </w:rPr>
        <w:t>参照</w:t>
      </w:r>
      <w:r>
        <w:rPr>
          <w:rFonts w:hint="eastAsia" w:ascii="宋体" w:hAnsi="宋体"/>
          <w:color w:val="auto"/>
          <w:sz w:val="28"/>
          <w:szCs w:val="28"/>
        </w:rPr>
        <w:t>《职业卫生名词术语》（</w:t>
      </w:r>
      <w:r>
        <w:rPr>
          <w:rFonts w:hint="eastAsia"/>
          <w:color w:val="auto"/>
          <w:sz w:val="28"/>
          <w:szCs w:val="28"/>
        </w:rPr>
        <w:t>GBZ/T 224-2010</w:t>
      </w:r>
      <w:r>
        <w:rPr>
          <w:rFonts w:hint="eastAsia" w:ascii="宋体" w:hAnsi="宋体"/>
          <w:color w:val="auto"/>
          <w:sz w:val="28"/>
          <w:szCs w:val="28"/>
        </w:rPr>
        <w:t>）、</w:t>
      </w:r>
      <w:r>
        <w:rPr>
          <w:rFonts w:ascii="宋体" w:hAnsi="宋体"/>
          <w:color w:val="auto"/>
          <w:sz w:val="28"/>
          <w:szCs w:val="28"/>
        </w:rPr>
        <w:t>《职业病危害因素分类目录》</w:t>
      </w:r>
      <w:r>
        <w:rPr>
          <w:rFonts w:ascii="宋体" w:hAnsi="宋体"/>
          <w:color w:val="auto"/>
          <w:kern w:val="0"/>
          <w:sz w:val="28"/>
          <w:szCs w:val="28"/>
        </w:rPr>
        <w:t>及《工作场所有害因素接触限值</w:t>
      </w:r>
      <w:r>
        <w:rPr>
          <w:color w:val="auto"/>
          <w:kern w:val="0"/>
          <w:sz w:val="28"/>
          <w:szCs w:val="28"/>
        </w:rPr>
        <w:t xml:space="preserve"> 第1</w:t>
      </w:r>
      <w:r>
        <w:rPr>
          <w:rFonts w:ascii="宋体" w:hAnsi="宋体"/>
          <w:color w:val="auto"/>
          <w:kern w:val="0"/>
          <w:sz w:val="28"/>
          <w:szCs w:val="28"/>
        </w:rPr>
        <w:t>部分 第</w:t>
      </w:r>
      <w:r>
        <w:rPr>
          <w:color w:val="auto"/>
          <w:kern w:val="0"/>
          <w:sz w:val="28"/>
          <w:szCs w:val="28"/>
        </w:rPr>
        <w:t>2</w:t>
      </w:r>
      <w:r>
        <w:rPr>
          <w:rFonts w:ascii="宋体" w:hAnsi="宋体"/>
          <w:color w:val="auto"/>
          <w:kern w:val="0"/>
          <w:sz w:val="28"/>
          <w:szCs w:val="28"/>
        </w:rPr>
        <w:t>部分》</w:t>
      </w:r>
      <w:r>
        <w:rPr>
          <w:rFonts w:ascii="宋体" w:hAnsi="宋体"/>
          <w:color w:val="auto"/>
          <w:sz w:val="28"/>
          <w:szCs w:val="28"/>
        </w:rPr>
        <w:t>，综合考虑</w:t>
      </w:r>
      <w:r>
        <w:rPr>
          <w:rFonts w:hint="eastAsia" w:ascii="宋体" w:hAnsi="宋体"/>
          <w:color w:val="auto"/>
          <w:sz w:val="28"/>
          <w:szCs w:val="28"/>
        </w:rPr>
        <w:t>职业危害</w:t>
      </w:r>
      <w:r>
        <w:rPr>
          <w:rFonts w:ascii="宋体" w:hAnsi="宋体"/>
          <w:color w:val="auto"/>
          <w:sz w:val="28"/>
          <w:szCs w:val="28"/>
        </w:rPr>
        <w:t>的诱导性原因、致害物、伤害方式等</w:t>
      </w:r>
      <w:r>
        <w:rPr>
          <w:rFonts w:hint="eastAsia" w:ascii="宋体" w:hAnsi="宋体"/>
          <w:color w:val="auto"/>
          <w:sz w:val="28"/>
          <w:szCs w:val="28"/>
        </w:rPr>
        <w:t>。</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.2.4.1</w:t>
      </w:r>
      <w:r>
        <w:rPr>
          <w:rFonts w:hint="eastAsia" w:ascii="Calibri" w:hAnsi="Calibri"/>
          <w:b/>
          <w:color w:val="auto"/>
          <w:sz w:val="28"/>
          <w:szCs w:val="32"/>
        </w:rPr>
        <w:t xml:space="preserve"> 粉尘辨识与分析</w:t>
      </w:r>
    </w:p>
    <w:p>
      <w:pPr>
        <w:ind w:firstLine="560" w:firstLineChars="200"/>
        <w:rPr>
          <w:color w:val="auto"/>
        </w:rPr>
      </w:pPr>
      <w:r>
        <w:rPr>
          <w:rFonts w:hint="eastAsia"/>
          <w:color w:val="auto"/>
          <w:sz w:val="28"/>
          <w:szCs w:val="28"/>
        </w:rPr>
        <w:t>该项目2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高芸苔素内酯、丙酰芸苔素内酯、氨基寡糖素、苄氨基嘌呤、黄原胶、三十烷醇等固体物料投料过程；最终产品2</w:t>
      </w:r>
      <w:r>
        <w:rPr>
          <w:color w:val="auto"/>
          <w:sz w:val="28"/>
          <w:szCs w:val="28"/>
        </w:rPr>
        <w:t>4-</w:t>
      </w:r>
      <w:r>
        <w:rPr>
          <w:rFonts w:hint="eastAsia"/>
          <w:color w:val="auto"/>
          <w:sz w:val="28"/>
          <w:szCs w:val="28"/>
        </w:rPr>
        <w:t>表芸苔素内酯、2</w:t>
      </w:r>
      <w:r>
        <w:rPr>
          <w:color w:val="auto"/>
          <w:sz w:val="28"/>
          <w:szCs w:val="28"/>
        </w:rPr>
        <w:t>8-</w:t>
      </w:r>
      <w:r>
        <w:rPr>
          <w:rFonts w:hint="eastAsia"/>
          <w:color w:val="auto"/>
          <w:sz w:val="28"/>
          <w:szCs w:val="28"/>
        </w:rPr>
        <w:t>高芸苔素内酯、丙酰芸苔素内酯干燥、称量、包装过程中可能产生粉尘，</w:t>
      </w:r>
      <w:r>
        <w:rPr>
          <w:rFonts w:hint="eastAsia" w:ascii="宋体" w:hAnsi="宋体"/>
          <w:color w:val="auto"/>
          <w:sz w:val="28"/>
          <w:szCs w:val="28"/>
        </w:rPr>
        <w:t>如装置或过程中未采取有效可靠的除尘措施，或除尘装置损坏、除尘率低等，使粉尘大量散发到空气中。粉尘对人体健康的危害同粉尘的性质、粒径大小和进入人体的粉尘量有关。</w:t>
      </w:r>
    </w:p>
    <w:p>
      <w:pPr>
        <w:ind w:firstLine="560" w:firstLineChars="200"/>
        <w:rPr>
          <w:color w:val="auto"/>
        </w:rPr>
      </w:pPr>
      <w:r>
        <w:rPr>
          <w:rFonts w:hint="eastAsia" w:ascii="宋体" w:hAnsi="宋体"/>
          <w:color w:val="auto"/>
          <w:sz w:val="28"/>
          <w:szCs w:val="28"/>
        </w:rPr>
        <w:t>粉尘的化学性质是危害人体的主要因素。因为化学性质决定它在体内参与和干扰生化过程的程度和速度，从而决定危害的性质和大小。有些毒性强的金属粉尘</w:t>
      </w:r>
      <w:r>
        <w:rPr>
          <w:rFonts w:hint="eastAsia"/>
          <w:color w:val="auto"/>
          <w:sz w:val="28"/>
          <w:szCs w:val="28"/>
        </w:rPr>
        <w:t>(</w:t>
      </w:r>
      <w:r>
        <w:rPr>
          <w:rFonts w:hint="eastAsia" w:ascii="宋体" w:hAnsi="宋体"/>
          <w:color w:val="auto"/>
          <w:sz w:val="28"/>
          <w:szCs w:val="28"/>
        </w:rPr>
        <w:t>铬，锰、镉、铅、镍等</w:t>
      </w:r>
      <w:r>
        <w:rPr>
          <w:rFonts w:hint="eastAsia"/>
          <w:color w:val="auto"/>
          <w:sz w:val="28"/>
          <w:szCs w:val="28"/>
        </w:rPr>
        <w:t>)</w:t>
      </w:r>
      <w:r>
        <w:rPr>
          <w:rFonts w:hint="eastAsia" w:ascii="宋体" w:hAnsi="宋体"/>
          <w:color w:val="auto"/>
          <w:sz w:val="28"/>
          <w:szCs w:val="28"/>
        </w:rPr>
        <w:t>进入人体后，会引起中毒以至死亡。例如铅使人贫血，损害大脑，锰，镉损坏人的神经，肾脏，镍可以致癌，铬会引起鼻中隔溃疡和穿孔，以及肺癌发病率增加。此外，它们都能直接对肺部产生危害。如吸入锰尘会引起中毒性肺炎，吸入镉尘会引起心肺机能不全等。粉尘中的一些重金属元素对人体的危害很大。</w:t>
      </w:r>
    </w:p>
    <w:p>
      <w:pPr>
        <w:ind w:firstLine="560" w:firstLineChars="200"/>
        <w:rPr>
          <w:rFonts w:ascii="宋体" w:hAnsi="宋体"/>
          <w:color w:val="auto"/>
          <w:sz w:val="28"/>
          <w:szCs w:val="28"/>
        </w:rPr>
      </w:pPr>
      <w:r>
        <w:rPr>
          <w:rFonts w:hint="eastAsia" w:ascii="宋体" w:hAnsi="宋体"/>
          <w:color w:val="auto"/>
          <w:sz w:val="28"/>
          <w:szCs w:val="28"/>
        </w:rPr>
        <w:t>一般粉尘进入人体肺部后，可能引起各种尘肺病。项目在生产、干燥过程中产生的粉尘，由于吸人人体后不能排除，将变成尘肺。粉尘还可能引发呼吸道感染疾病，粉尘经过鼻、鼻咽、气管、大支气管至肺泡内，长期生活在一定浓度的粉尘中，将使人致残以至死亡。</w:t>
      </w:r>
    </w:p>
    <w:p>
      <w:pPr>
        <w:ind w:firstLine="560" w:firstLineChars="200"/>
        <w:rPr>
          <w:rFonts w:ascii="宋体" w:hAnsi="宋体"/>
          <w:color w:val="auto"/>
          <w:sz w:val="28"/>
          <w:szCs w:val="28"/>
        </w:rPr>
      </w:pPr>
      <w:r>
        <w:rPr>
          <w:rFonts w:hint="eastAsia" w:ascii="宋体" w:hAnsi="宋体"/>
          <w:color w:val="auto"/>
          <w:sz w:val="28"/>
          <w:szCs w:val="28"/>
        </w:rPr>
        <w:t>粉尘引起的肺部病变反应和过敏性疾病。这类疾病主要是由有机粉尘引起的。</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.2.4.2</w:t>
      </w:r>
      <w:r>
        <w:rPr>
          <w:rFonts w:hint="eastAsia" w:ascii="Calibri" w:hAnsi="Calibri"/>
          <w:b/>
          <w:color w:val="auto"/>
          <w:sz w:val="28"/>
          <w:szCs w:val="32"/>
        </w:rPr>
        <w:t xml:space="preserve"> 噪声和振动辨识与分析</w:t>
      </w:r>
    </w:p>
    <w:p>
      <w:pPr>
        <w:widowControl/>
        <w:spacing w:line="600" w:lineRule="exact"/>
        <w:ind w:firstLine="560" w:firstLineChars="200"/>
        <w:rPr>
          <w:color w:val="auto"/>
          <w:kern w:val="0"/>
          <w:sz w:val="28"/>
          <w:szCs w:val="28"/>
        </w:rPr>
      </w:pPr>
      <w:r>
        <w:rPr>
          <w:color w:val="auto"/>
          <w:kern w:val="0"/>
          <w:sz w:val="28"/>
          <w:szCs w:val="28"/>
        </w:rPr>
        <w:t xml:space="preserve">噪声是一种人们所不希望要的声音。它经常影响着人们的情绪和健康，干扰人们的工作和正常生活。长期工作在高噪声环境下而又没有采取任何有效的防护措施，必将导致永久性的无可挽回的听力损失，甚至导致严重的职业性耳聋。职业性耳聋列为重要的职业病之一。强噪声除了可导致耳聋外，还可对人体的神经系统、心血管系统、消化系统，以及生殖机能等，产生不良的影响。由于噪声易造成心理恐惧以及对报警信号的遮蔽，它常又是造成工伤死亡事故的重要配合因素。患有职业性耳聋的工人在工作中很难很好地与别人交换意见，以致影响工作效率。 </w:t>
      </w:r>
    </w:p>
    <w:p>
      <w:pPr>
        <w:widowControl/>
        <w:spacing w:line="600" w:lineRule="exact"/>
        <w:ind w:firstLine="560" w:firstLineChars="200"/>
        <w:rPr>
          <w:color w:val="auto"/>
          <w:kern w:val="0"/>
          <w:sz w:val="28"/>
          <w:szCs w:val="28"/>
        </w:rPr>
      </w:pPr>
      <w:r>
        <w:rPr>
          <w:rFonts w:hint="eastAsia"/>
          <w:color w:val="auto"/>
          <w:kern w:val="0"/>
          <w:sz w:val="28"/>
          <w:szCs w:val="28"/>
        </w:rPr>
        <w:t>该项目产生的噪声源的主要设施有搅拌设备、机泵、真空机组等，其在运行过程中可能产生机械性或气动性噪声。</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.2.4.3</w:t>
      </w:r>
      <w:r>
        <w:rPr>
          <w:rFonts w:hint="eastAsia" w:ascii="Calibri" w:hAnsi="Calibri"/>
          <w:b/>
          <w:color w:val="auto"/>
          <w:sz w:val="28"/>
          <w:szCs w:val="32"/>
        </w:rPr>
        <w:t xml:space="preserve"> 毒物辨识与分析</w:t>
      </w:r>
    </w:p>
    <w:p>
      <w:pPr>
        <w:ind w:firstLine="560" w:firstLineChars="200"/>
        <w:rPr>
          <w:color w:val="auto"/>
        </w:rPr>
      </w:pPr>
      <w:r>
        <w:rPr>
          <w:rFonts w:hint="eastAsia" w:ascii="宋体" w:hAnsi="宋体"/>
          <w:color w:val="auto"/>
          <w:sz w:val="28"/>
          <w:szCs w:val="28"/>
        </w:rPr>
        <w:t>依据《危险化学品目录》（</w:t>
      </w:r>
      <w:r>
        <w:rPr>
          <w:rFonts w:hint="eastAsia"/>
          <w:color w:val="auto"/>
          <w:sz w:val="28"/>
          <w:szCs w:val="28"/>
        </w:rPr>
        <w:t>20</w:t>
      </w:r>
      <w:r>
        <w:rPr>
          <w:color w:val="auto"/>
          <w:sz w:val="28"/>
          <w:szCs w:val="28"/>
        </w:rPr>
        <w:t>22</w:t>
      </w:r>
      <w:r>
        <w:rPr>
          <w:rFonts w:hint="eastAsia" w:ascii="宋体" w:hAnsi="宋体"/>
          <w:color w:val="auto"/>
          <w:sz w:val="28"/>
          <w:szCs w:val="28"/>
        </w:rPr>
        <w:t>版）、《职业性接触毒物危害程度分级》（</w:t>
      </w:r>
      <w:r>
        <w:rPr>
          <w:rFonts w:hint="eastAsia"/>
          <w:color w:val="auto"/>
          <w:sz w:val="28"/>
          <w:szCs w:val="28"/>
        </w:rPr>
        <w:t>GBZ</w:t>
      </w:r>
      <w:r>
        <w:rPr>
          <w:color w:val="auto"/>
          <w:sz w:val="28"/>
          <w:szCs w:val="28"/>
        </w:rPr>
        <w:t>230-2010</w:t>
      </w:r>
      <w:r>
        <w:rPr>
          <w:rFonts w:hint="eastAsia" w:ascii="宋体" w:hAnsi="宋体"/>
          <w:color w:val="auto"/>
          <w:sz w:val="28"/>
          <w:szCs w:val="28"/>
        </w:rPr>
        <w:t>）和该公司提供的资料，该项目在生产作业过程中硫酸、甲醇、乙醇、甲苯、甲基磺酰氯、液氨、氯化氢、二氧化硫、NP</w:t>
      </w:r>
      <w:r>
        <w:rPr>
          <w:rFonts w:ascii="宋体" w:hAnsi="宋体"/>
          <w:color w:val="auto"/>
          <w:sz w:val="28"/>
          <w:szCs w:val="28"/>
        </w:rPr>
        <w:t>-10</w:t>
      </w:r>
      <w:r>
        <w:rPr>
          <w:rFonts w:hint="eastAsia" w:ascii="宋体" w:hAnsi="宋体"/>
          <w:color w:val="auto"/>
          <w:sz w:val="28"/>
          <w:szCs w:val="28"/>
        </w:rPr>
        <w:t>、二氯甲烷、氢溴酸等均具有一定毒性</w:t>
      </w:r>
      <w:r>
        <w:rPr>
          <w:rFonts w:hint="eastAsia"/>
          <w:color w:val="auto"/>
          <w:sz w:val="28"/>
          <w:szCs w:val="28"/>
        </w:rPr>
        <w:t>。</w:t>
      </w:r>
      <w:r>
        <w:rPr>
          <w:rFonts w:hint="eastAsia" w:ascii="宋体" w:hAnsi="宋体"/>
          <w:color w:val="auto"/>
          <w:sz w:val="28"/>
          <w:szCs w:val="28"/>
        </w:rPr>
        <w:t>如果作业人员未采取安全防护措施或防护设施失效，在有毒物质超标的环境中作业，存在职业病可能。</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.2.4.4</w:t>
      </w:r>
      <w:r>
        <w:rPr>
          <w:rFonts w:hint="eastAsia" w:ascii="Calibri" w:hAnsi="Calibri"/>
          <w:b/>
          <w:color w:val="auto"/>
          <w:sz w:val="28"/>
          <w:szCs w:val="32"/>
        </w:rPr>
        <w:t xml:space="preserve"> 高温辨识与分析</w:t>
      </w:r>
    </w:p>
    <w:p>
      <w:pPr>
        <w:spacing w:line="360" w:lineRule="auto"/>
        <w:ind w:firstLine="560" w:firstLineChars="200"/>
        <w:rPr>
          <w:color w:val="auto"/>
        </w:rPr>
      </w:pPr>
      <w:r>
        <w:rPr>
          <w:rFonts w:hint="eastAsia" w:ascii="宋体" w:hAnsi="宋体"/>
          <w:color w:val="auto"/>
          <w:sz w:val="28"/>
          <w:szCs w:val="28"/>
        </w:rPr>
        <w:t>该项目部分生产装置、设备在生产过程使用高温蒸汽进行加热升温、蒸馏浓缩，操作温度超过</w:t>
      </w:r>
      <w:r>
        <w:rPr>
          <w:rFonts w:hint="eastAsia"/>
          <w:color w:val="auto"/>
          <w:sz w:val="28"/>
          <w:szCs w:val="28"/>
        </w:rPr>
        <w:t>60</w:t>
      </w:r>
      <w:r>
        <w:rPr>
          <w:rFonts w:hint="eastAsia" w:ascii="宋体" w:hAnsi="宋体"/>
          <w:color w:val="auto"/>
          <w:spacing w:val="-2"/>
          <w:sz w:val="28"/>
          <w:szCs w:val="28"/>
        </w:rPr>
        <w:t>℃</w:t>
      </w:r>
      <w:r>
        <w:rPr>
          <w:rFonts w:hint="eastAsia" w:ascii="宋体" w:hAnsi="宋体"/>
          <w:color w:val="auto"/>
          <w:sz w:val="28"/>
          <w:szCs w:val="28"/>
        </w:rPr>
        <w:t>；该项目设备及其管道内存在有高温物料，高温蒸汽及其管道，使用高温蒸汽的换热设备，高温物料和高温蒸汽管道附近的作业场所都存在高温热源，向外强烈的辐射热量，若操作或检修作业人员在存在高温物料装置场所周围长时间作业，受热辐射的影响，亦会受到高温中暑的危害。如果室内没有良好的通风措施，会造成室内较高的环境温度，作业人员在室内长时间工作，会造成高温中暑的危害。</w:t>
      </w:r>
    </w:p>
    <w:p>
      <w:pPr>
        <w:ind w:firstLine="560" w:firstLineChars="200"/>
        <w:rPr>
          <w:color w:val="auto"/>
        </w:rPr>
      </w:pPr>
      <w:r>
        <w:rPr>
          <w:rFonts w:hint="eastAsia" w:ascii="宋体" w:hAnsi="宋体"/>
          <w:color w:val="auto"/>
          <w:sz w:val="28"/>
          <w:szCs w:val="28"/>
        </w:rPr>
        <w:t>该地区</w:t>
      </w:r>
      <w:r>
        <w:rPr>
          <w:rFonts w:ascii="宋体" w:hAnsi="宋体"/>
          <w:color w:val="auto"/>
          <w:sz w:val="28"/>
          <w:szCs w:val="28"/>
        </w:rPr>
        <w:t>年最高气温出现在</w:t>
      </w:r>
      <w:r>
        <w:rPr>
          <w:color w:val="auto"/>
          <w:sz w:val="28"/>
          <w:szCs w:val="28"/>
        </w:rPr>
        <w:t>7</w:t>
      </w:r>
      <w:r>
        <w:rPr>
          <w:rFonts w:ascii="宋体" w:hAnsi="宋体"/>
          <w:color w:val="auto"/>
          <w:sz w:val="28"/>
          <w:szCs w:val="28"/>
        </w:rPr>
        <w:t>月份，</w:t>
      </w:r>
      <w:r>
        <w:rPr>
          <w:rFonts w:hint="eastAsia" w:ascii="宋体" w:hAnsi="宋体"/>
          <w:color w:val="auto"/>
          <w:sz w:val="28"/>
          <w:szCs w:val="28"/>
        </w:rPr>
        <w:t>夏季极端高温为</w:t>
      </w:r>
      <w:r>
        <w:rPr>
          <w:rFonts w:ascii="宋体" w:hAnsi="宋体"/>
          <w:color w:val="auto"/>
          <w:sz w:val="28"/>
          <w:szCs w:val="28"/>
        </w:rPr>
        <w:t>极端最高温度</w:t>
      </w:r>
      <w:r>
        <w:rPr>
          <w:color w:val="auto"/>
          <w:sz w:val="28"/>
          <w:szCs w:val="28"/>
        </w:rPr>
        <w:t>40.5℃</w:t>
      </w:r>
      <w:r>
        <w:rPr>
          <w:rFonts w:hint="eastAsia" w:ascii="宋体" w:hAnsi="宋体"/>
          <w:color w:val="auto"/>
          <w:sz w:val="28"/>
          <w:szCs w:val="28"/>
        </w:rPr>
        <w:t>。岗位作业人员夏季需进行例行巡检或相关操作，如果防范措施不当，会受到高温危害</w:t>
      </w:r>
      <w:r>
        <w:rPr>
          <w:rFonts w:ascii="宋体" w:hAnsi="宋体"/>
          <w:color w:val="auto"/>
          <w:sz w:val="28"/>
          <w:szCs w:val="28"/>
        </w:rPr>
        <w:t>。</w:t>
      </w:r>
      <w:r>
        <w:rPr>
          <w:rFonts w:hint="eastAsia" w:ascii="宋体" w:hAnsi="宋体"/>
          <w:color w:val="auto"/>
          <w:sz w:val="28"/>
          <w:szCs w:val="28"/>
        </w:rPr>
        <w:t>高气温可能导致生产、贮存设备内的液体及液化气体挥发速度加快，可引起火灾、爆炸、中毒事故。</w:t>
      </w:r>
    </w:p>
    <w:p>
      <w:pPr>
        <w:keepNext/>
        <w:keepLines/>
        <w:spacing w:line="600" w:lineRule="exact"/>
        <w:jc w:val="left"/>
        <w:outlineLvl w:val="3"/>
        <w:rPr>
          <w:rFonts w:ascii="Calibri" w:hAnsi="Calibri"/>
          <w:b/>
          <w:color w:val="auto"/>
          <w:sz w:val="28"/>
          <w:szCs w:val="32"/>
        </w:rPr>
      </w:pPr>
      <w:r>
        <w:rPr>
          <w:rFonts w:hint="eastAsia" w:ascii="Calibri" w:hAnsi="Calibri"/>
          <w:b/>
          <w:color w:val="auto"/>
          <w:sz w:val="28"/>
          <w:szCs w:val="32"/>
        </w:rPr>
        <w:t>B</w:t>
      </w:r>
      <w:r>
        <w:rPr>
          <w:rFonts w:ascii="Calibri" w:hAnsi="Calibri"/>
          <w:b/>
          <w:color w:val="auto"/>
          <w:sz w:val="28"/>
          <w:szCs w:val="32"/>
        </w:rPr>
        <w:t>.2.4.5</w:t>
      </w:r>
      <w:r>
        <w:rPr>
          <w:rFonts w:hint="eastAsia" w:ascii="Calibri" w:hAnsi="Calibri"/>
          <w:b/>
          <w:color w:val="auto"/>
          <w:sz w:val="28"/>
          <w:szCs w:val="32"/>
        </w:rPr>
        <w:t xml:space="preserve"> 低温辨识与分析</w:t>
      </w:r>
    </w:p>
    <w:bookmarkEnd w:id="258"/>
    <w:p>
      <w:pPr>
        <w:spacing w:line="600" w:lineRule="exact"/>
        <w:ind w:firstLine="560" w:firstLineChars="200"/>
        <w:rPr>
          <w:color w:val="auto"/>
          <w:sz w:val="28"/>
        </w:rPr>
      </w:pPr>
      <w:bookmarkStart w:id="260" w:name="_Toc35435403"/>
      <w:bookmarkStart w:id="261" w:name="_Toc35435398"/>
      <w:r>
        <w:rPr>
          <w:rFonts w:hint="eastAsia"/>
          <w:color w:val="auto"/>
          <w:sz w:val="28"/>
        </w:rPr>
        <w:t>该项目生活过程中涉及低温物质如低温水、液氮等，如保冷设施损坏，当人员接触时可能造成低温伤害事故；泄露喷出，人员无防护或防护不当时可能引起低温伤害事故。</w:t>
      </w:r>
    </w:p>
    <w:p>
      <w:pPr>
        <w:spacing w:line="600" w:lineRule="exact"/>
        <w:ind w:firstLine="560" w:firstLineChars="200"/>
        <w:rPr>
          <w:color w:val="auto"/>
          <w:sz w:val="28"/>
          <w:lang w:val="zh-CN"/>
        </w:rPr>
      </w:pPr>
      <w:r>
        <w:rPr>
          <w:color w:val="auto"/>
          <w:sz w:val="28"/>
        </w:rPr>
        <w:t>该项目所在地极端最低气温达</w:t>
      </w:r>
      <w:r>
        <w:rPr>
          <w:rFonts w:hint="eastAsia"/>
          <w:color w:val="auto"/>
          <w:sz w:val="28"/>
        </w:rPr>
        <w:t>-</w:t>
      </w:r>
      <w:r>
        <w:rPr>
          <w:color w:val="auto"/>
          <w:sz w:val="28"/>
        </w:rPr>
        <w:t>9.1</w:t>
      </w:r>
      <w:r>
        <w:rPr>
          <w:rFonts w:hint="eastAsia"/>
          <w:color w:val="auto"/>
          <w:sz w:val="28"/>
        </w:rPr>
        <w:t>℃</w:t>
      </w:r>
      <w:r>
        <w:rPr>
          <w:color w:val="auto"/>
          <w:sz w:val="28"/>
        </w:rPr>
        <w:t>，冬季</w:t>
      </w:r>
      <w:r>
        <w:rPr>
          <w:color w:val="auto"/>
          <w:kern w:val="0"/>
          <w:sz w:val="28"/>
          <w:szCs w:val="28"/>
          <w:lang w:val="zh-CN"/>
        </w:rPr>
        <w:t>露天作业，如：露天物料</w:t>
      </w:r>
      <w:r>
        <w:rPr>
          <w:color w:val="auto"/>
          <w:sz w:val="28"/>
          <w:lang w:val="zh-CN"/>
        </w:rPr>
        <w:t>搬运、露天设备检修等，作业环境及场所不良</w:t>
      </w:r>
      <w:r>
        <w:rPr>
          <w:color w:val="auto"/>
          <w:sz w:val="28"/>
        </w:rPr>
        <w:t>导致作业人员出现冻伤等</w:t>
      </w:r>
      <w:r>
        <w:rPr>
          <w:color w:val="auto"/>
          <w:sz w:val="28"/>
          <w:lang w:val="zh-CN"/>
        </w:rPr>
        <w:t>。</w:t>
      </w:r>
    </w:p>
    <w:p>
      <w:pPr>
        <w:keepNext/>
        <w:keepLines/>
        <w:spacing w:line="600" w:lineRule="exact"/>
        <w:jc w:val="left"/>
        <w:outlineLvl w:val="2"/>
        <w:rPr>
          <w:rFonts w:ascii="Calibri" w:hAnsi="Calibri"/>
          <w:b/>
          <w:color w:val="auto"/>
          <w:sz w:val="28"/>
          <w:szCs w:val="32"/>
        </w:rPr>
      </w:pPr>
      <w:bookmarkStart w:id="262" w:name="_Toc144109247"/>
      <w:r>
        <w:rPr>
          <w:rFonts w:hint="eastAsia" w:ascii="Calibri" w:hAnsi="Calibri"/>
          <w:b/>
          <w:color w:val="auto"/>
          <w:sz w:val="28"/>
          <w:szCs w:val="32"/>
        </w:rPr>
        <w:t>B</w:t>
      </w:r>
      <w:r>
        <w:rPr>
          <w:rFonts w:ascii="Calibri" w:hAnsi="Calibri"/>
          <w:b/>
          <w:color w:val="auto"/>
          <w:sz w:val="28"/>
          <w:szCs w:val="32"/>
        </w:rPr>
        <w:t>.2.5</w:t>
      </w:r>
      <w:r>
        <w:rPr>
          <w:rFonts w:hint="eastAsia" w:ascii="Calibri" w:hAnsi="Calibri"/>
          <w:b/>
          <w:color w:val="auto"/>
          <w:sz w:val="28"/>
          <w:szCs w:val="32"/>
        </w:rPr>
        <w:t xml:space="preserve"> 按导致事故直接原因进行危险、有害</w:t>
      </w:r>
      <w:r>
        <w:rPr>
          <w:rFonts w:ascii="Calibri" w:hAnsi="Calibri"/>
          <w:b/>
          <w:color w:val="auto"/>
          <w:sz w:val="28"/>
          <w:szCs w:val="32"/>
        </w:rPr>
        <w:t>因素辨识</w:t>
      </w:r>
      <w:r>
        <w:rPr>
          <w:rFonts w:hint="eastAsia" w:ascii="Calibri" w:hAnsi="Calibri"/>
          <w:b/>
          <w:color w:val="auto"/>
          <w:sz w:val="28"/>
          <w:szCs w:val="32"/>
        </w:rPr>
        <w:t>与分析</w:t>
      </w:r>
      <w:bookmarkEnd w:id="262"/>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根据《生产过程危险和有害因素分类与代码》（GB/T13861-20</w:t>
      </w:r>
      <w:r>
        <w:rPr>
          <w:rFonts w:ascii="宋体" w:hAnsi="宋体"/>
          <w:color w:val="auto"/>
          <w:kern w:val="0"/>
          <w:sz w:val="28"/>
          <w:szCs w:val="28"/>
        </w:rPr>
        <w:t>22</w:t>
      </w:r>
      <w:r>
        <w:rPr>
          <w:rFonts w:hint="eastAsia" w:ascii="宋体" w:hAnsi="宋体"/>
          <w:color w:val="auto"/>
          <w:kern w:val="0"/>
          <w:sz w:val="28"/>
          <w:szCs w:val="28"/>
        </w:rPr>
        <w:t>），该项目存在以下四类危险、有害因素。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1.人的因素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人的行为性危险、有害因素主要表现为指挥错误（如违章指挥，对故障或危险因素判断指挥错误等）、操作错误（如误操作、违章操作）或监护错误（如监护时未采取有效的监护手段及措施，监护时分心或脱离岗位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中职工人员存在年龄、体质、受教育程度、操作熟练程度、心理承受能力、对事物的反应速度、休息好坏等差异。在生产过程中，存在过度疲劳、健康异常、心理异常（如情绪异常、过度紧张等）或有职业禁忌症，反应迟钝等，从而不能及时判断处理故障发生事故或引发事故。</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2.物的因素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1）物理性危险、有害因素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（1）设备、设施缺陷</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该项目中存在釜、罐、槽、泵等设备、设施，存在压力容器等，如因设备基础、本体腐蚀、强度不够、安装质量低、密封不良、运动件外露等可能引发各类事故。</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（2）电危害</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该项目设置配电设施、电气设备、设施，可能发生带电部位裸露、漏电、雷电、静电、电火花等电危害。</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（3）噪声和振动危害</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该项目中机、泵等运行或排空时产生的机械性和气动性噪声和振动等。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（4）运动物危害</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该项目中存在机械运动设备，在工作时可能发生机械伤人，另外，高处未固定好的物体或检修工具、器落下、飞出等。运输车辆可能因各种原因发生撞击设备或人员等。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（5）明火</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包括检修动火，违章吸烟及汽车排气管尾气带火等。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（6）作业环境不良</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该项目作业环境不良、主要包括有毒有害物质及自然灾害、高温高湿环境、气压过高过低、采光照明不良、作业平台缺陷等。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（7）信号缺陷</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该项目信号缺陷主要是设备开停和运行时信号不清或缺失。</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（8）标志缺陷</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该项目标志缺陷主要可能在于未设置警示标志或标志不规范，管道标色不符合规定等。</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2）化学性危险、有害因素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（1）易燃物质</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该项目在生产过程中使用的易燃物质涉及三乙胺、四氢呋喃、丙酮、甲苯、液氨、丁酮、金属锂、DMF、乙酸乙酯、叔丁醇、石油醚、甲醇、乙醇、异丙醇、NP</w:t>
      </w:r>
      <w:r>
        <w:rPr>
          <w:rFonts w:ascii="宋体" w:hAnsi="宋体"/>
          <w:color w:val="auto"/>
          <w:kern w:val="0"/>
          <w:sz w:val="28"/>
          <w:szCs w:val="28"/>
        </w:rPr>
        <w:t>-10</w:t>
      </w:r>
      <w:r>
        <w:rPr>
          <w:rFonts w:hint="eastAsia" w:ascii="宋体" w:hAnsi="宋体"/>
          <w:color w:val="auto"/>
          <w:kern w:val="0"/>
          <w:sz w:val="28"/>
          <w:szCs w:val="28"/>
        </w:rPr>
        <w:t>等</w:t>
      </w:r>
      <w:r>
        <w:rPr>
          <w:rFonts w:hint="eastAsia" w:ascii="宋体" w:hAnsi="宋体"/>
          <w:color w:val="auto"/>
          <w:sz w:val="28"/>
          <w:szCs w:val="28"/>
        </w:rPr>
        <w:t>属于易燃物质，双氧水、三氟乙酸酐、硫酸、氢溴酸、甲基磺酰氯、丙酸酐、中间产物氢氧化锂、过氧三氟乙酸和三氟乙酸等具有氧化性；涉及的非危险化学品麦角淄醇、豆甾醇、甲基磺酰氯、三十烷醇、环己酮、胺鲜酯等具有可燃性，遇热源、明火、氧化剂有燃烧的危险</w:t>
      </w:r>
      <w:r>
        <w:rPr>
          <w:rFonts w:hint="eastAsia" w:ascii="宋体" w:hAnsi="宋体"/>
          <w:color w:val="auto"/>
          <w:kern w:val="0"/>
          <w:sz w:val="28"/>
          <w:szCs w:val="28"/>
        </w:rPr>
        <w:t>。</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（2）有毒物质</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该项目中涉及甲基磺酰氯为剧毒品；液氨、</w:t>
      </w:r>
      <w:r>
        <w:rPr>
          <w:rFonts w:hint="eastAsia" w:ascii="宋体" w:hAnsi="宋体"/>
          <w:color w:val="auto"/>
          <w:sz w:val="28"/>
          <w:szCs w:val="28"/>
        </w:rPr>
        <w:t>甲醇、乙醇、甲苯、氯化氢、二氧化硫、NP</w:t>
      </w:r>
      <w:r>
        <w:rPr>
          <w:rFonts w:ascii="宋体" w:hAnsi="宋体"/>
          <w:color w:val="auto"/>
          <w:sz w:val="28"/>
          <w:szCs w:val="28"/>
        </w:rPr>
        <w:t>-10</w:t>
      </w:r>
      <w:r>
        <w:rPr>
          <w:rFonts w:hint="eastAsia" w:ascii="宋体" w:hAnsi="宋体"/>
          <w:color w:val="auto"/>
          <w:sz w:val="28"/>
          <w:szCs w:val="28"/>
        </w:rPr>
        <w:t>、二氯甲烷、氢溴酸等具有一定毒性。氮气及反应过程中产生的二氧化碳具有窒息性。</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（3）腐蚀性物质</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该项目使用的</w:t>
      </w:r>
      <w:r>
        <w:rPr>
          <w:rFonts w:hint="eastAsia" w:ascii="宋体" w:hAnsi="宋体"/>
          <w:color w:val="auto"/>
          <w:sz w:val="28"/>
          <w:szCs w:val="28"/>
        </w:rPr>
        <w:t>三乙胺、甲基磺酰氯、液氨、金属锂、硫酸、氢溴酸、三氟乙酸酐、亚硫酸氢钠、丙酸酐、NP</w:t>
      </w:r>
      <w:r>
        <w:rPr>
          <w:rFonts w:ascii="宋体" w:hAnsi="宋体"/>
          <w:color w:val="auto"/>
          <w:sz w:val="28"/>
          <w:szCs w:val="28"/>
        </w:rPr>
        <w:t>-10</w:t>
      </w:r>
      <w:r>
        <w:rPr>
          <w:rFonts w:hint="eastAsia" w:ascii="宋体" w:hAnsi="宋体"/>
          <w:color w:val="auto"/>
          <w:sz w:val="28"/>
          <w:szCs w:val="28"/>
        </w:rPr>
        <w:t>、吲哚丁酸等均具有一定的腐蚀性，对人体具有刺激性</w:t>
      </w:r>
      <w:r>
        <w:rPr>
          <w:rFonts w:hint="eastAsia" w:ascii="宋体" w:hAnsi="宋体"/>
          <w:color w:val="auto"/>
          <w:kern w:val="0"/>
          <w:sz w:val="28"/>
          <w:szCs w:val="28"/>
        </w:rPr>
        <w:t>。</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3.环境因素</w:t>
      </w:r>
    </w:p>
    <w:p>
      <w:pPr>
        <w:spacing w:line="600" w:lineRule="exact"/>
        <w:ind w:firstLine="560" w:firstLineChars="200"/>
        <w:rPr>
          <w:color w:val="auto"/>
          <w:sz w:val="28"/>
        </w:rPr>
      </w:pPr>
      <w:r>
        <w:rPr>
          <w:rFonts w:hint="eastAsia"/>
          <w:color w:val="auto"/>
          <w:sz w:val="28"/>
        </w:rPr>
        <w:t>1）雷击</w:t>
      </w:r>
    </w:p>
    <w:p>
      <w:pPr>
        <w:spacing w:line="600" w:lineRule="exact"/>
        <w:ind w:firstLine="560" w:firstLineChars="200"/>
        <w:rPr>
          <w:color w:val="auto"/>
          <w:sz w:val="28"/>
        </w:rPr>
      </w:pPr>
      <w:r>
        <w:rPr>
          <w:color w:val="auto"/>
          <w:sz w:val="28"/>
        </w:rPr>
        <w:t xml:space="preserve">该项目地处南方多雷地带，易受雷电袭击，雷击可能造成设备损坏和人员伤亡，也能引发可燃物质发生火灾、爆炸事故，同时雷击可使电气出现故障或损坏电气设备，造成全厂或局部停电，引发事故。 </w:t>
      </w:r>
    </w:p>
    <w:p>
      <w:pPr>
        <w:spacing w:line="600" w:lineRule="exact"/>
        <w:ind w:firstLine="560" w:firstLineChars="200"/>
        <w:rPr>
          <w:color w:val="auto"/>
          <w:sz w:val="28"/>
        </w:rPr>
      </w:pPr>
      <w:r>
        <w:rPr>
          <w:rFonts w:hint="eastAsia"/>
          <w:color w:val="auto"/>
          <w:sz w:val="28"/>
        </w:rPr>
        <w:t>2）采光照明通风不良</w:t>
      </w:r>
    </w:p>
    <w:p>
      <w:pPr>
        <w:spacing w:line="600" w:lineRule="exact"/>
        <w:ind w:firstLine="560" w:firstLineChars="200"/>
        <w:rPr>
          <w:color w:val="auto"/>
          <w:sz w:val="28"/>
        </w:rPr>
      </w:pPr>
      <w:r>
        <w:rPr>
          <w:color w:val="auto"/>
          <w:sz w:val="28"/>
        </w:rPr>
        <w:t>采光照明不良可能造成操作、检修作业出现失误，作业场所照度不足也可能造成人员发生摔跌发生事故，通风不良可能造成危险物质的积聚，引发火灾、爆炸事故或造成人员中毒等。</w:t>
      </w:r>
    </w:p>
    <w:p>
      <w:pPr>
        <w:spacing w:line="600" w:lineRule="exact"/>
        <w:ind w:firstLine="560" w:firstLineChars="200"/>
        <w:rPr>
          <w:color w:val="auto"/>
          <w:sz w:val="28"/>
          <w:szCs w:val="28"/>
        </w:rPr>
      </w:pPr>
      <w:r>
        <w:rPr>
          <w:rFonts w:hint="eastAsia"/>
          <w:color w:val="auto"/>
          <w:sz w:val="28"/>
          <w:szCs w:val="28"/>
        </w:rPr>
        <w:t>3）不良地质</w:t>
      </w:r>
    </w:p>
    <w:p>
      <w:pPr>
        <w:spacing w:line="600" w:lineRule="exact"/>
        <w:ind w:firstLine="560" w:firstLineChars="200"/>
        <w:rPr>
          <w:color w:val="auto"/>
          <w:sz w:val="28"/>
          <w:szCs w:val="28"/>
        </w:rPr>
      </w:pPr>
      <w:r>
        <w:rPr>
          <w:color w:val="auto"/>
          <w:sz w:val="28"/>
          <w:szCs w:val="28"/>
        </w:rPr>
        <w:t>不良地质包括有泥石流、滑坡、流沙、断裂带、软地基、溶洞等直接危害的地段及采矿陷落区（错动）界限内，不良地质对建（构）筑物的破坏作用较大，影响人员的安全；施工时如果回填土处理不当，可能会产生不均匀沉降，导致建（构）筑物沉降开裂等。该项目位于相对较平坦地域内，因而山体滑坡和泥石流危险的基本不存在影响。</w:t>
      </w:r>
    </w:p>
    <w:p>
      <w:pPr>
        <w:spacing w:line="600" w:lineRule="exact"/>
        <w:ind w:firstLine="560" w:firstLineChars="200"/>
        <w:rPr>
          <w:color w:val="auto"/>
          <w:sz w:val="28"/>
          <w:szCs w:val="28"/>
        </w:rPr>
      </w:pPr>
      <w:r>
        <w:rPr>
          <w:rFonts w:hint="eastAsia"/>
          <w:color w:val="auto"/>
          <w:sz w:val="28"/>
          <w:szCs w:val="28"/>
        </w:rPr>
        <w:t>4）暴雨洪水</w:t>
      </w:r>
    </w:p>
    <w:p>
      <w:pPr>
        <w:spacing w:line="600" w:lineRule="exact"/>
        <w:ind w:firstLine="560" w:firstLineChars="200"/>
        <w:rPr>
          <w:color w:val="auto"/>
          <w:sz w:val="28"/>
          <w:szCs w:val="28"/>
        </w:rPr>
      </w:pPr>
      <w:r>
        <w:rPr>
          <w:color w:val="auto"/>
          <w:sz w:val="28"/>
          <w:szCs w:val="28"/>
        </w:rPr>
        <w:t>暴雨可能威胁项目的安全，该项目建设地势相对较高，排水便利。设计中采取合理了竖向布置，出现内涝危害的可能性很小。</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4.管理因素</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（1）职业安全卫生组织机构不健全；</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（2）建设项目“三同时”制度未落实；</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（3）职业安全卫生管理制度未完善；</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（4）操作规程不规范、事故应急救援预案缺陷、培训不完善等其他职业安全卫生管理规章未完善；</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（5）职业安全卫生投入不足等。</w:t>
      </w:r>
    </w:p>
    <w:p>
      <w:pPr>
        <w:keepNext/>
        <w:keepLines/>
        <w:spacing w:line="600" w:lineRule="exact"/>
        <w:jc w:val="left"/>
        <w:outlineLvl w:val="1"/>
        <w:rPr>
          <w:b/>
          <w:color w:val="auto"/>
          <w:sz w:val="30"/>
          <w:szCs w:val="30"/>
        </w:rPr>
      </w:pPr>
      <w:bookmarkStart w:id="263" w:name="_Toc144109248"/>
      <w:r>
        <w:rPr>
          <w:rFonts w:hint="eastAsia"/>
          <w:b/>
          <w:color w:val="auto"/>
          <w:sz w:val="30"/>
          <w:szCs w:val="30"/>
        </w:rPr>
        <w:t>B</w:t>
      </w:r>
      <w:r>
        <w:rPr>
          <w:b/>
          <w:color w:val="auto"/>
          <w:sz w:val="30"/>
          <w:szCs w:val="30"/>
        </w:rPr>
        <w:t xml:space="preserve">.3 </w:t>
      </w:r>
      <w:r>
        <w:rPr>
          <w:rFonts w:hint="eastAsia"/>
          <w:b/>
          <w:color w:val="auto"/>
          <w:sz w:val="30"/>
          <w:szCs w:val="30"/>
        </w:rPr>
        <w:t>重大危险源辨识结果</w:t>
      </w:r>
      <w:bookmarkEnd w:id="263"/>
    </w:p>
    <w:bookmarkEnd w:id="260"/>
    <w:bookmarkEnd w:id="261"/>
    <w:p>
      <w:pPr>
        <w:keepNext/>
        <w:keepLines/>
        <w:spacing w:line="600" w:lineRule="exact"/>
        <w:jc w:val="left"/>
        <w:outlineLvl w:val="2"/>
        <w:rPr>
          <w:rFonts w:ascii="Calibri" w:hAnsi="Calibri"/>
          <w:b/>
          <w:color w:val="auto"/>
          <w:sz w:val="28"/>
          <w:szCs w:val="32"/>
        </w:rPr>
      </w:pPr>
      <w:bookmarkStart w:id="264" w:name="_Toc35435410"/>
      <w:bookmarkStart w:id="265" w:name="_Toc144109249"/>
      <w:r>
        <w:rPr>
          <w:rFonts w:hint="eastAsia" w:ascii="Calibri" w:hAnsi="Calibri"/>
          <w:b/>
          <w:color w:val="auto"/>
          <w:sz w:val="28"/>
          <w:szCs w:val="32"/>
        </w:rPr>
        <w:t>B</w:t>
      </w:r>
      <w:r>
        <w:rPr>
          <w:rFonts w:ascii="Calibri" w:hAnsi="Calibri"/>
          <w:b/>
          <w:color w:val="auto"/>
          <w:sz w:val="28"/>
          <w:szCs w:val="32"/>
        </w:rPr>
        <w:t>.3</w:t>
      </w:r>
      <w:r>
        <w:rPr>
          <w:rFonts w:hint="eastAsia" w:ascii="Calibri" w:hAnsi="Calibri"/>
          <w:b/>
          <w:color w:val="auto"/>
          <w:sz w:val="28"/>
          <w:szCs w:val="32"/>
        </w:rPr>
        <w:t>.1重大危险源辨识</w:t>
      </w:r>
      <w:bookmarkEnd w:id="264"/>
      <w:r>
        <w:rPr>
          <w:rFonts w:hint="eastAsia" w:ascii="Calibri" w:hAnsi="Calibri"/>
          <w:b/>
          <w:color w:val="auto"/>
          <w:sz w:val="28"/>
          <w:szCs w:val="32"/>
        </w:rPr>
        <w:t>相关资料介绍</w:t>
      </w:r>
      <w:bookmarkEnd w:id="265"/>
    </w:p>
    <w:p>
      <w:pPr>
        <w:spacing w:line="580" w:lineRule="exact"/>
        <w:ind w:firstLine="552" w:firstLineChars="200"/>
        <w:jc w:val="left"/>
        <w:rPr>
          <w:color w:val="auto"/>
          <w:spacing w:val="-2"/>
          <w:sz w:val="28"/>
          <w:szCs w:val="28"/>
        </w:rPr>
      </w:pPr>
      <w:r>
        <w:rPr>
          <w:rFonts w:hint="eastAsia"/>
          <w:color w:val="auto"/>
          <w:spacing w:val="-2"/>
          <w:sz w:val="28"/>
          <w:szCs w:val="28"/>
        </w:rPr>
        <w:t>本报告遵循的重大危险源辨识标准</w:t>
      </w:r>
      <w:r>
        <w:rPr>
          <w:color w:val="auto"/>
          <w:spacing w:val="-2"/>
          <w:sz w:val="28"/>
          <w:szCs w:val="28"/>
        </w:rPr>
        <w:t>4</w:t>
      </w:r>
      <w:r>
        <w:rPr>
          <w:rFonts w:hint="eastAsia"/>
          <w:color w:val="auto"/>
          <w:spacing w:val="-2"/>
          <w:sz w:val="28"/>
          <w:szCs w:val="28"/>
        </w:rPr>
        <w:t>个：</w:t>
      </w:r>
    </w:p>
    <w:p>
      <w:pPr>
        <w:spacing w:line="360" w:lineRule="auto"/>
        <w:ind w:firstLine="560" w:firstLineChars="200"/>
        <w:rPr>
          <w:color w:val="auto"/>
          <w:sz w:val="28"/>
          <w:szCs w:val="28"/>
        </w:rPr>
      </w:pPr>
      <w:r>
        <w:rPr>
          <w:rFonts w:hint="eastAsia" w:ascii="宋体" w:hAnsi="宋体"/>
          <w:color w:val="auto"/>
          <w:sz w:val="28"/>
          <w:szCs w:val="28"/>
        </w:rPr>
        <w:t>一、《危险化学品重大危险源辨识》（</w:t>
      </w:r>
      <w:r>
        <w:rPr>
          <w:rFonts w:hint="eastAsia"/>
          <w:color w:val="auto"/>
          <w:sz w:val="28"/>
          <w:szCs w:val="28"/>
        </w:rPr>
        <w:t>GB18218-2018</w:t>
      </w:r>
      <w:r>
        <w:rPr>
          <w:rFonts w:hint="eastAsia" w:ascii="宋体" w:hAnsi="宋体"/>
          <w:color w:val="auto"/>
          <w:sz w:val="28"/>
          <w:szCs w:val="28"/>
        </w:rPr>
        <w:t>）；</w:t>
      </w:r>
    </w:p>
    <w:p>
      <w:pPr>
        <w:spacing w:line="360" w:lineRule="auto"/>
        <w:ind w:firstLine="560" w:firstLineChars="200"/>
        <w:rPr>
          <w:color w:val="auto"/>
          <w:kern w:val="0"/>
          <w:sz w:val="28"/>
          <w:szCs w:val="28"/>
        </w:rPr>
      </w:pPr>
      <w:r>
        <w:rPr>
          <w:rFonts w:hint="eastAsia" w:ascii="宋体" w:hAnsi="宋体"/>
          <w:color w:val="auto"/>
          <w:sz w:val="28"/>
          <w:szCs w:val="28"/>
        </w:rPr>
        <w:t>二、</w:t>
      </w:r>
      <w:r>
        <w:rPr>
          <w:rFonts w:hint="eastAsia" w:ascii="宋体" w:hAnsi="宋体"/>
          <w:color w:val="auto"/>
          <w:kern w:val="0"/>
          <w:sz w:val="28"/>
          <w:szCs w:val="28"/>
        </w:rPr>
        <w:t>《危险货物品名表》（</w:t>
      </w:r>
      <w:r>
        <w:rPr>
          <w:color w:val="auto"/>
          <w:kern w:val="0"/>
          <w:sz w:val="28"/>
          <w:szCs w:val="28"/>
        </w:rPr>
        <w:t>GB12268-20</w:t>
      </w:r>
      <w:r>
        <w:rPr>
          <w:rFonts w:hint="eastAsia"/>
          <w:color w:val="auto"/>
          <w:kern w:val="0"/>
          <w:sz w:val="28"/>
          <w:szCs w:val="28"/>
        </w:rPr>
        <w:t>12</w:t>
      </w:r>
      <w:r>
        <w:rPr>
          <w:rFonts w:hint="eastAsia" w:ascii="宋体" w:hAnsi="宋体"/>
          <w:color w:val="auto"/>
          <w:kern w:val="0"/>
          <w:sz w:val="28"/>
          <w:szCs w:val="28"/>
        </w:rPr>
        <w:t>）</w:t>
      </w:r>
    </w:p>
    <w:p>
      <w:pPr>
        <w:spacing w:line="360" w:lineRule="auto"/>
        <w:ind w:firstLine="560" w:firstLineChars="200"/>
        <w:rPr>
          <w:color w:val="auto"/>
          <w:sz w:val="28"/>
          <w:szCs w:val="28"/>
        </w:rPr>
      </w:pPr>
      <w:r>
        <w:rPr>
          <w:rFonts w:hint="eastAsia" w:ascii="宋体" w:hAnsi="宋体"/>
          <w:color w:val="auto"/>
          <w:sz w:val="28"/>
          <w:szCs w:val="28"/>
        </w:rPr>
        <w:t>三、《危险化学品重大危险源监督管理暂行规定》</w:t>
      </w:r>
      <w:r>
        <w:rPr>
          <w:rFonts w:hint="eastAsia"/>
          <w:color w:val="auto"/>
          <w:sz w:val="28"/>
          <w:szCs w:val="28"/>
        </w:rPr>
        <w:t>(</w:t>
      </w:r>
      <w:r>
        <w:rPr>
          <w:rFonts w:hint="eastAsia" w:ascii="宋体" w:hAnsi="宋体"/>
          <w:color w:val="auto"/>
          <w:sz w:val="28"/>
          <w:szCs w:val="28"/>
        </w:rPr>
        <w:t>国家安全生产监督管理总局令 第</w:t>
      </w:r>
      <w:r>
        <w:rPr>
          <w:rFonts w:hint="eastAsia"/>
          <w:color w:val="auto"/>
          <w:sz w:val="28"/>
          <w:szCs w:val="28"/>
        </w:rPr>
        <w:t>40</w:t>
      </w:r>
      <w:r>
        <w:rPr>
          <w:rFonts w:hint="eastAsia" w:ascii="宋体" w:hAnsi="宋体"/>
          <w:color w:val="auto"/>
          <w:sz w:val="28"/>
          <w:szCs w:val="28"/>
        </w:rPr>
        <w:t>号</w:t>
      </w:r>
      <w:r>
        <w:rPr>
          <w:rFonts w:hint="eastAsia"/>
          <w:color w:val="auto"/>
          <w:sz w:val="28"/>
          <w:szCs w:val="28"/>
        </w:rPr>
        <w:t>)</w:t>
      </w:r>
    </w:p>
    <w:p>
      <w:pPr>
        <w:spacing w:line="360" w:lineRule="auto"/>
        <w:ind w:firstLine="560" w:firstLineChars="200"/>
        <w:rPr>
          <w:color w:val="auto"/>
          <w:sz w:val="28"/>
          <w:szCs w:val="28"/>
        </w:rPr>
      </w:pPr>
      <w:r>
        <w:rPr>
          <w:rFonts w:hint="eastAsia" w:ascii="宋体" w:hAnsi="宋体"/>
          <w:color w:val="auto"/>
          <w:sz w:val="28"/>
          <w:szCs w:val="28"/>
        </w:rPr>
        <w:t>四、《危险化学品目录》（</w:t>
      </w:r>
      <w:r>
        <w:rPr>
          <w:rFonts w:hint="eastAsia"/>
          <w:color w:val="auto"/>
          <w:sz w:val="28"/>
          <w:szCs w:val="28"/>
        </w:rPr>
        <w:t>20</w:t>
      </w:r>
      <w:r>
        <w:rPr>
          <w:color w:val="auto"/>
          <w:sz w:val="28"/>
          <w:szCs w:val="28"/>
        </w:rPr>
        <w:t>22</w:t>
      </w:r>
      <w:r>
        <w:rPr>
          <w:rFonts w:hint="eastAsia" w:ascii="宋体" w:hAnsi="宋体"/>
          <w:color w:val="auto"/>
          <w:sz w:val="28"/>
          <w:szCs w:val="28"/>
        </w:rPr>
        <w:t>版）应急管理部等十部门</w:t>
      </w:r>
      <w:r>
        <w:rPr>
          <w:rFonts w:hint="eastAsia"/>
          <w:color w:val="auto"/>
          <w:sz w:val="28"/>
          <w:szCs w:val="28"/>
        </w:rPr>
        <w:t>20</w:t>
      </w:r>
      <w:r>
        <w:rPr>
          <w:color w:val="auto"/>
          <w:sz w:val="28"/>
          <w:szCs w:val="28"/>
        </w:rPr>
        <w:t>22</w:t>
      </w:r>
      <w:r>
        <w:rPr>
          <w:rFonts w:hint="eastAsia" w:ascii="宋体" w:hAnsi="宋体"/>
          <w:color w:val="auto"/>
          <w:sz w:val="28"/>
          <w:szCs w:val="28"/>
        </w:rPr>
        <w:t>年第</w:t>
      </w:r>
      <w:r>
        <w:rPr>
          <w:color w:val="auto"/>
          <w:sz w:val="28"/>
          <w:szCs w:val="28"/>
        </w:rPr>
        <w:t>8</w:t>
      </w:r>
      <w:r>
        <w:rPr>
          <w:rFonts w:hint="eastAsia" w:ascii="宋体" w:hAnsi="宋体"/>
          <w:color w:val="auto"/>
          <w:sz w:val="28"/>
          <w:szCs w:val="28"/>
        </w:rPr>
        <w:t>号</w:t>
      </w:r>
    </w:p>
    <w:p>
      <w:pPr>
        <w:spacing w:line="580" w:lineRule="exact"/>
        <w:ind w:firstLine="552" w:firstLineChars="200"/>
        <w:jc w:val="left"/>
        <w:rPr>
          <w:color w:val="auto"/>
          <w:spacing w:val="-2"/>
          <w:sz w:val="28"/>
          <w:szCs w:val="28"/>
        </w:rPr>
      </w:pPr>
      <w:r>
        <w:rPr>
          <w:color w:val="auto"/>
          <w:spacing w:val="-2"/>
          <w:sz w:val="28"/>
          <w:szCs w:val="28"/>
        </w:rPr>
        <w:t>《危险化学品重大危险源辨识》（GB18218-2018）（简称：标准，下同）中根据物质的不同特性，将危险物质分为爆炸物、易燃气体、气溶胶、氧化性气体、易燃液体、易燃固体、自反应物质和混合物、自燃液体、自燃固体、自热物质和混合物、遇水放出易燃气体的物质和混合物、氧化性液体、氧化性固体、有机过氧化物、急性毒性十五大类，标准中给出了部分物质的名称及其临界量，对未列出具体临界量物质规定了相应临界量确定办法。</w:t>
      </w:r>
    </w:p>
    <w:p>
      <w:pPr>
        <w:spacing w:line="580" w:lineRule="exact"/>
        <w:ind w:firstLine="560" w:firstLineChars="200"/>
        <w:jc w:val="left"/>
        <w:rPr>
          <w:color w:val="auto"/>
          <w:sz w:val="28"/>
          <w:szCs w:val="28"/>
        </w:rPr>
      </w:pPr>
      <w:r>
        <w:rPr>
          <w:color w:val="auto"/>
          <w:sz w:val="28"/>
          <w:szCs w:val="28"/>
        </w:rPr>
        <w:t>危险化学品：具有毒害、腐蚀、爆炸、燃烧、助燃等性质，对人体、设施、环境具有危害的剧毒化学品和其他化学品。</w:t>
      </w:r>
    </w:p>
    <w:p>
      <w:pPr>
        <w:spacing w:line="600" w:lineRule="exact"/>
        <w:ind w:firstLine="560" w:firstLineChars="200"/>
        <w:jc w:val="left"/>
        <w:rPr>
          <w:color w:val="auto"/>
          <w:sz w:val="28"/>
          <w:szCs w:val="28"/>
        </w:rPr>
      </w:pPr>
      <w:r>
        <w:rPr>
          <w:color w:val="auto"/>
          <w:sz w:val="28"/>
          <w:szCs w:val="28"/>
        </w:rPr>
        <w:t>单元：涉及危险化学品的生产、储存装置、设施或场所，分为生产单元和储存单元。</w:t>
      </w:r>
    </w:p>
    <w:p>
      <w:pPr>
        <w:spacing w:line="600" w:lineRule="exact"/>
        <w:ind w:firstLine="560" w:firstLineChars="200"/>
        <w:jc w:val="left"/>
        <w:rPr>
          <w:color w:val="auto"/>
          <w:sz w:val="28"/>
          <w:szCs w:val="28"/>
        </w:rPr>
      </w:pPr>
      <w:r>
        <w:rPr>
          <w:color w:val="auto"/>
          <w:sz w:val="28"/>
          <w:szCs w:val="28"/>
        </w:rPr>
        <w:t>生产单元：危险化学品的生产、加工及使用等的装置，当装置及设施之间有切断阀时，以切断阀作为分隔界限划分为独立的单元。</w:t>
      </w:r>
    </w:p>
    <w:p>
      <w:pPr>
        <w:spacing w:line="600" w:lineRule="exact"/>
        <w:ind w:firstLine="560" w:firstLineChars="200"/>
        <w:jc w:val="left"/>
        <w:rPr>
          <w:color w:val="auto"/>
          <w:sz w:val="28"/>
          <w:szCs w:val="28"/>
        </w:rPr>
      </w:pPr>
      <w:r>
        <w:rPr>
          <w:color w:val="auto"/>
          <w:sz w:val="28"/>
          <w:szCs w:val="28"/>
        </w:rPr>
        <w:t>储存单元：用于储存危险化学品的储罐或仓库组成的相对独立的区域，储罐区以罐区防火堤为界限划分为独立的单元，仓库以独立库房（独立建筑物）为界限划分为独立的单元。</w:t>
      </w:r>
    </w:p>
    <w:p>
      <w:pPr>
        <w:spacing w:line="600" w:lineRule="exact"/>
        <w:ind w:firstLine="560" w:firstLineChars="200"/>
        <w:jc w:val="left"/>
        <w:rPr>
          <w:color w:val="auto"/>
          <w:sz w:val="28"/>
          <w:szCs w:val="28"/>
        </w:rPr>
      </w:pPr>
      <w:r>
        <w:rPr>
          <w:color w:val="auto"/>
          <w:sz w:val="28"/>
          <w:szCs w:val="28"/>
        </w:rPr>
        <w:t>临界量：某种或某类危险化学品构成重大危险源所规定的最小数量。</w:t>
      </w:r>
    </w:p>
    <w:p>
      <w:pPr>
        <w:spacing w:line="600" w:lineRule="exact"/>
        <w:ind w:firstLine="560" w:firstLineChars="200"/>
        <w:rPr>
          <w:color w:val="auto"/>
          <w:sz w:val="28"/>
          <w:szCs w:val="28"/>
        </w:rPr>
      </w:pPr>
      <w:r>
        <w:rPr>
          <w:color w:val="auto"/>
          <w:sz w:val="28"/>
          <w:szCs w:val="28"/>
        </w:rPr>
        <w:t>危险化学品重大危险源：长期或临时地生产、储存、使用和经营危险化学品，且危险化学品的数量等于或超过临界量的单元。</w:t>
      </w:r>
    </w:p>
    <w:p>
      <w:pPr>
        <w:spacing w:line="600" w:lineRule="exact"/>
        <w:ind w:firstLine="560" w:firstLineChars="200"/>
        <w:rPr>
          <w:color w:val="auto"/>
          <w:sz w:val="28"/>
          <w:szCs w:val="28"/>
          <w:lang w:val="zh-CN"/>
        </w:rPr>
      </w:pPr>
      <w:r>
        <w:rPr>
          <w:color w:val="auto"/>
          <w:sz w:val="28"/>
          <w:szCs w:val="28"/>
        </w:rPr>
        <w:t>混合物：</w:t>
      </w:r>
      <w:r>
        <w:rPr>
          <w:color w:val="auto"/>
          <w:sz w:val="28"/>
          <w:szCs w:val="28"/>
          <w:lang w:val="zh-CN"/>
        </w:rPr>
        <w:t>由两种或者多种物质组成的混合体或者溶液。</w:t>
      </w:r>
    </w:p>
    <w:p>
      <w:pPr>
        <w:ind w:firstLine="560" w:firstLineChars="200"/>
        <w:rPr>
          <w:rFonts w:ascii="宋体" w:hAnsi="宋体"/>
          <w:color w:val="auto"/>
          <w:sz w:val="28"/>
          <w:szCs w:val="28"/>
        </w:rPr>
      </w:pPr>
      <w:r>
        <w:rPr>
          <w:rFonts w:hint="eastAsia" w:ascii="宋体" w:hAnsi="宋体"/>
          <w:color w:val="auto"/>
          <w:sz w:val="28"/>
          <w:szCs w:val="28"/>
        </w:rPr>
        <w:t>危险化学品</w:t>
      </w:r>
      <w:r>
        <w:rPr>
          <w:rFonts w:ascii="宋体" w:hAnsi="宋体"/>
          <w:color w:val="auto"/>
          <w:sz w:val="28"/>
          <w:szCs w:val="28"/>
        </w:rPr>
        <w:t>重大危险源的辨识依据是物质的危险特性及其数量。</w:t>
      </w:r>
      <w:r>
        <w:rPr>
          <w:rFonts w:hint="eastAsia" w:ascii="宋体" w:hAnsi="宋体"/>
          <w:color w:val="auto"/>
          <w:sz w:val="28"/>
          <w:szCs w:val="28"/>
        </w:rPr>
        <w:t>单元内存在的危险化学品的数量根据处理危险化学品种类的多少分为以下两种情况：</w:t>
      </w:r>
    </w:p>
    <w:p>
      <w:pPr>
        <w:ind w:firstLine="560" w:firstLineChars="200"/>
        <w:rPr>
          <w:color w:val="auto"/>
        </w:rPr>
      </w:pPr>
      <w:r>
        <w:rPr>
          <w:rFonts w:hint="eastAsia" w:ascii="宋体" w:hAnsi="宋体"/>
          <w:color w:val="auto"/>
          <w:sz w:val="28"/>
          <w:szCs w:val="28"/>
        </w:rPr>
        <w:t>（1）单元内存在的危险化学品为单一品种，则该危险化学品的数量即为单元内危险化学品的总量，若等于或超过其对应的临界量，则定为重大危险源；</w:t>
      </w:r>
    </w:p>
    <w:p>
      <w:pPr>
        <w:ind w:firstLine="560" w:firstLineChars="200"/>
        <w:rPr>
          <w:color w:val="auto"/>
        </w:rPr>
      </w:pPr>
      <w:r>
        <w:rPr>
          <w:rFonts w:hint="eastAsia" w:ascii="宋体" w:hAnsi="宋体"/>
          <w:color w:val="auto"/>
          <w:sz w:val="28"/>
          <w:szCs w:val="28"/>
        </w:rPr>
        <w:t>（2）</w:t>
      </w:r>
      <w:r>
        <w:rPr>
          <w:rFonts w:ascii="宋体" w:hAnsi="宋体"/>
          <w:color w:val="auto"/>
          <w:sz w:val="28"/>
          <w:szCs w:val="28"/>
        </w:rPr>
        <w:t>单元内存在的危险化学品为多品种时，则按下式计算，若满</w:t>
      </w:r>
      <w:r>
        <w:rPr>
          <w:color w:val="auto"/>
          <w:sz w:val="28"/>
          <w:szCs w:val="28"/>
          <w:lang w:val="zh-CN"/>
        </w:rPr>
        <w:t>足下面公式，则为重大危险源：</w:t>
      </w:r>
    </w:p>
    <w:p>
      <w:pPr>
        <w:autoSpaceDE w:val="0"/>
        <w:autoSpaceDN w:val="0"/>
        <w:spacing w:line="600" w:lineRule="exact"/>
        <w:ind w:firstLine="573"/>
        <w:rPr>
          <w:color w:val="auto"/>
          <w:sz w:val="28"/>
          <w:szCs w:val="28"/>
        </w:rPr>
      </w:pPr>
      <w:r>
        <w:rPr>
          <w:color w:val="auto"/>
          <w:sz w:val="28"/>
          <w:szCs w:val="28"/>
        </w:rPr>
        <w:t>S＝q</w:t>
      </w:r>
      <w:r>
        <w:rPr>
          <w:color w:val="auto"/>
          <w:sz w:val="28"/>
          <w:szCs w:val="28"/>
          <w:vertAlign w:val="subscript"/>
        </w:rPr>
        <w:t>1</w:t>
      </w:r>
      <w:r>
        <w:rPr>
          <w:color w:val="auto"/>
          <w:sz w:val="28"/>
          <w:szCs w:val="28"/>
        </w:rPr>
        <w:t>/Q</w:t>
      </w:r>
      <w:r>
        <w:rPr>
          <w:color w:val="auto"/>
          <w:sz w:val="28"/>
          <w:szCs w:val="28"/>
          <w:vertAlign w:val="subscript"/>
        </w:rPr>
        <w:t>1</w:t>
      </w:r>
      <w:r>
        <w:rPr>
          <w:color w:val="auto"/>
          <w:sz w:val="28"/>
          <w:szCs w:val="28"/>
        </w:rPr>
        <w:t>＋q</w:t>
      </w:r>
      <w:r>
        <w:rPr>
          <w:color w:val="auto"/>
          <w:sz w:val="28"/>
          <w:szCs w:val="28"/>
          <w:vertAlign w:val="subscript"/>
        </w:rPr>
        <w:t>2</w:t>
      </w:r>
      <w:r>
        <w:rPr>
          <w:color w:val="auto"/>
          <w:sz w:val="28"/>
          <w:szCs w:val="28"/>
        </w:rPr>
        <w:t>/Q</w:t>
      </w:r>
      <w:r>
        <w:rPr>
          <w:color w:val="auto"/>
          <w:sz w:val="28"/>
          <w:szCs w:val="28"/>
          <w:vertAlign w:val="subscript"/>
        </w:rPr>
        <w:t>2</w:t>
      </w:r>
      <w:r>
        <w:rPr>
          <w:color w:val="auto"/>
          <w:sz w:val="28"/>
          <w:szCs w:val="28"/>
        </w:rPr>
        <w:t>＋…＋q</w:t>
      </w:r>
      <w:r>
        <w:rPr>
          <w:color w:val="auto"/>
          <w:sz w:val="28"/>
          <w:szCs w:val="28"/>
          <w:vertAlign w:val="subscript"/>
        </w:rPr>
        <w:t>n</w:t>
      </w:r>
      <w:r>
        <w:rPr>
          <w:color w:val="auto"/>
          <w:sz w:val="28"/>
          <w:szCs w:val="28"/>
        </w:rPr>
        <w:t>/Q</w:t>
      </w:r>
      <w:r>
        <w:rPr>
          <w:color w:val="auto"/>
          <w:sz w:val="28"/>
          <w:szCs w:val="28"/>
          <w:vertAlign w:val="subscript"/>
        </w:rPr>
        <w:t>n</w:t>
      </w:r>
      <w:r>
        <w:rPr>
          <w:color w:val="auto"/>
          <w:sz w:val="28"/>
          <w:szCs w:val="28"/>
        </w:rPr>
        <w:t>≥1</w:t>
      </w:r>
    </w:p>
    <w:p>
      <w:pPr>
        <w:spacing w:line="600" w:lineRule="exact"/>
        <w:ind w:firstLine="560" w:firstLineChars="200"/>
        <w:rPr>
          <w:color w:val="auto"/>
          <w:sz w:val="28"/>
          <w:szCs w:val="28"/>
        </w:rPr>
      </w:pPr>
      <w:r>
        <w:rPr>
          <w:rFonts w:hint="eastAsia"/>
          <w:color w:val="auto"/>
          <w:sz w:val="28"/>
          <w:szCs w:val="28"/>
        </w:rPr>
        <w:t>式中：S ——辨识指标；</w:t>
      </w:r>
    </w:p>
    <w:p>
      <w:pPr>
        <w:spacing w:line="600" w:lineRule="exact"/>
        <w:ind w:firstLine="560" w:firstLineChars="200"/>
        <w:rPr>
          <w:color w:val="auto"/>
          <w:sz w:val="28"/>
          <w:szCs w:val="28"/>
        </w:rPr>
      </w:pPr>
      <w:r>
        <w:rPr>
          <w:color w:val="auto"/>
          <w:sz w:val="28"/>
          <w:szCs w:val="28"/>
        </w:rPr>
        <w:t>q</w:t>
      </w:r>
      <w:r>
        <w:rPr>
          <w:color w:val="auto"/>
          <w:sz w:val="28"/>
          <w:szCs w:val="28"/>
          <w:vertAlign w:val="subscript"/>
        </w:rPr>
        <w:t>1</w:t>
      </w:r>
      <w:r>
        <w:rPr>
          <w:rFonts w:hint="eastAsia"/>
          <w:color w:val="auto"/>
          <w:sz w:val="28"/>
          <w:szCs w:val="28"/>
        </w:rPr>
        <w:t>，</w:t>
      </w:r>
      <w:r>
        <w:rPr>
          <w:color w:val="auto"/>
          <w:sz w:val="28"/>
          <w:szCs w:val="28"/>
        </w:rPr>
        <w:t>q</w:t>
      </w:r>
      <w:r>
        <w:rPr>
          <w:color w:val="auto"/>
          <w:sz w:val="28"/>
          <w:szCs w:val="28"/>
          <w:vertAlign w:val="subscript"/>
        </w:rPr>
        <w:t>2</w:t>
      </w:r>
      <w:r>
        <w:rPr>
          <w:rFonts w:hint="eastAsia"/>
          <w:color w:val="auto"/>
          <w:sz w:val="28"/>
          <w:szCs w:val="28"/>
        </w:rPr>
        <w:t>，</w:t>
      </w:r>
      <w:r>
        <w:rPr>
          <w:color w:val="auto"/>
          <w:sz w:val="28"/>
          <w:szCs w:val="28"/>
        </w:rPr>
        <w:t>…</w:t>
      </w:r>
      <w:r>
        <w:rPr>
          <w:rFonts w:hint="eastAsia"/>
          <w:color w:val="auto"/>
          <w:sz w:val="28"/>
          <w:szCs w:val="28"/>
        </w:rPr>
        <w:t>.，</w:t>
      </w:r>
      <w:r>
        <w:rPr>
          <w:color w:val="auto"/>
          <w:sz w:val="28"/>
          <w:szCs w:val="28"/>
        </w:rPr>
        <w:t>q</w:t>
      </w:r>
      <w:r>
        <w:rPr>
          <w:color w:val="auto"/>
          <w:sz w:val="28"/>
          <w:szCs w:val="28"/>
          <w:vertAlign w:val="subscript"/>
        </w:rPr>
        <w:t xml:space="preserve">n </w:t>
      </w:r>
      <w:r>
        <w:rPr>
          <w:color w:val="auto"/>
          <w:sz w:val="28"/>
          <w:szCs w:val="28"/>
        </w:rPr>
        <w:t>——</w:t>
      </w:r>
      <w:r>
        <w:rPr>
          <w:rFonts w:hint="eastAsia"/>
          <w:color w:val="auto"/>
          <w:sz w:val="28"/>
          <w:szCs w:val="28"/>
        </w:rPr>
        <w:t>每种危险化学品的实际存在量，单位为吨</w:t>
      </w:r>
      <w:r>
        <w:rPr>
          <w:color w:val="auto"/>
          <w:sz w:val="28"/>
          <w:szCs w:val="28"/>
        </w:rPr>
        <w:t xml:space="preserve">(t) </w:t>
      </w:r>
      <w:r>
        <w:rPr>
          <w:rFonts w:hint="eastAsia"/>
          <w:color w:val="auto"/>
          <w:sz w:val="28"/>
          <w:szCs w:val="28"/>
        </w:rPr>
        <w:t>；</w:t>
      </w:r>
    </w:p>
    <w:p>
      <w:pPr>
        <w:spacing w:line="600" w:lineRule="exact"/>
        <w:ind w:firstLine="536" w:firstLineChars="200"/>
        <w:rPr>
          <w:color w:val="auto"/>
          <w:sz w:val="28"/>
          <w:szCs w:val="28"/>
        </w:rPr>
      </w:pPr>
      <w:r>
        <w:rPr>
          <w:color w:val="auto"/>
          <w:spacing w:val="-6"/>
          <w:sz w:val="28"/>
          <w:szCs w:val="28"/>
        </w:rPr>
        <w:t>Q</w:t>
      </w:r>
      <w:r>
        <w:rPr>
          <w:color w:val="auto"/>
          <w:spacing w:val="-6"/>
          <w:sz w:val="28"/>
          <w:szCs w:val="28"/>
          <w:vertAlign w:val="subscript"/>
        </w:rPr>
        <w:t>1</w:t>
      </w:r>
      <w:r>
        <w:rPr>
          <w:rFonts w:hint="eastAsia"/>
          <w:color w:val="auto"/>
          <w:spacing w:val="-6"/>
          <w:sz w:val="28"/>
          <w:szCs w:val="28"/>
        </w:rPr>
        <w:t>，</w:t>
      </w:r>
      <w:r>
        <w:rPr>
          <w:color w:val="auto"/>
          <w:spacing w:val="-6"/>
          <w:sz w:val="28"/>
          <w:szCs w:val="28"/>
        </w:rPr>
        <w:t>Q</w:t>
      </w:r>
      <w:r>
        <w:rPr>
          <w:color w:val="auto"/>
          <w:spacing w:val="-6"/>
          <w:sz w:val="28"/>
          <w:szCs w:val="28"/>
          <w:vertAlign w:val="subscript"/>
        </w:rPr>
        <w:t>2</w:t>
      </w:r>
      <w:r>
        <w:rPr>
          <w:rFonts w:hint="eastAsia"/>
          <w:color w:val="auto"/>
          <w:spacing w:val="-6"/>
          <w:sz w:val="28"/>
          <w:szCs w:val="28"/>
        </w:rPr>
        <w:t>，</w:t>
      </w:r>
      <w:r>
        <w:rPr>
          <w:color w:val="auto"/>
          <w:spacing w:val="-6"/>
          <w:sz w:val="28"/>
          <w:szCs w:val="28"/>
        </w:rPr>
        <w:t>…</w:t>
      </w:r>
      <w:r>
        <w:rPr>
          <w:rFonts w:hint="eastAsia"/>
          <w:color w:val="auto"/>
          <w:spacing w:val="-6"/>
          <w:sz w:val="28"/>
          <w:szCs w:val="28"/>
        </w:rPr>
        <w:t>.，</w:t>
      </w:r>
      <w:r>
        <w:rPr>
          <w:color w:val="auto"/>
          <w:spacing w:val="-6"/>
          <w:sz w:val="28"/>
          <w:szCs w:val="28"/>
        </w:rPr>
        <w:t>Q</w:t>
      </w:r>
      <w:r>
        <w:rPr>
          <w:color w:val="auto"/>
          <w:spacing w:val="-6"/>
          <w:sz w:val="28"/>
          <w:szCs w:val="28"/>
          <w:vertAlign w:val="subscript"/>
        </w:rPr>
        <w:t>n</w:t>
      </w:r>
      <w:r>
        <w:rPr>
          <w:color w:val="auto"/>
          <w:spacing w:val="-6"/>
          <w:sz w:val="28"/>
          <w:szCs w:val="28"/>
        </w:rPr>
        <w:t xml:space="preserve"> ——</w:t>
      </w:r>
      <w:r>
        <w:rPr>
          <w:rFonts w:hint="eastAsia"/>
          <w:color w:val="auto"/>
          <w:spacing w:val="-6"/>
          <w:sz w:val="28"/>
          <w:szCs w:val="28"/>
        </w:rPr>
        <w:t>与每种危险化学品相对应的临界量，单位为吨</w:t>
      </w:r>
      <w:r>
        <w:rPr>
          <w:color w:val="auto"/>
          <w:sz w:val="28"/>
          <w:szCs w:val="28"/>
        </w:rPr>
        <w:t>(t)</w:t>
      </w:r>
      <w:r>
        <w:rPr>
          <w:rFonts w:hint="eastAsia"/>
          <w:color w:val="auto"/>
          <w:sz w:val="28"/>
          <w:szCs w:val="28"/>
        </w:rPr>
        <w:t>。</w:t>
      </w:r>
    </w:p>
    <w:p>
      <w:pPr>
        <w:keepNext/>
        <w:keepLines/>
        <w:spacing w:line="360" w:lineRule="auto"/>
        <w:jc w:val="left"/>
        <w:outlineLvl w:val="2"/>
        <w:rPr>
          <w:rFonts w:ascii="Calibri" w:hAnsi="Calibri"/>
          <w:b/>
          <w:color w:val="auto"/>
          <w:sz w:val="28"/>
          <w:szCs w:val="32"/>
        </w:rPr>
      </w:pPr>
      <w:bookmarkStart w:id="266" w:name="_Toc35435411"/>
      <w:bookmarkStart w:id="267" w:name="_Toc144109250"/>
      <w:r>
        <w:rPr>
          <w:rFonts w:hint="eastAsia" w:ascii="Calibri" w:hAnsi="Calibri"/>
          <w:b/>
          <w:color w:val="auto"/>
          <w:sz w:val="28"/>
          <w:szCs w:val="32"/>
        </w:rPr>
        <w:t>B</w:t>
      </w:r>
      <w:r>
        <w:rPr>
          <w:rFonts w:ascii="Calibri" w:hAnsi="Calibri"/>
          <w:b/>
          <w:color w:val="auto"/>
          <w:sz w:val="28"/>
          <w:szCs w:val="32"/>
        </w:rPr>
        <w:t>.3</w:t>
      </w:r>
      <w:r>
        <w:rPr>
          <w:rFonts w:hint="eastAsia" w:ascii="Calibri" w:hAnsi="Calibri"/>
          <w:b/>
          <w:color w:val="auto"/>
          <w:sz w:val="28"/>
          <w:szCs w:val="32"/>
        </w:rPr>
        <w:t>.2 危险化学品重大危险源辩识</w:t>
      </w:r>
      <w:bookmarkEnd w:id="266"/>
      <w:r>
        <w:rPr>
          <w:rFonts w:hint="eastAsia" w:ascii="Calibri" w:hAnsi="Calibri"/>
          <w:b/>
          <w:color w:val="auto"/>
          <w:sz w:val="28"/>
          <w:szCs w:val="32"/>
        </w:rPr>
        <w:t>过程</w:t>
      </w:r>
      <w:bookmarkEnd w:id="267"/>
    </w:p>
    <w:p>
      <w:pPr>
        <w:pStyle w:val="2"/>
        <w:spacing w:line="360" w:lineRule="auto"/>
        <w:ind w:firstLine="562" w:firstLineChars="200"/>
        <w:rPr>
          <w:b/>
          <w:color w:val="auto"/>
          <w:sz w:val="28"/>
          <w:szCs w:val="28"/>
        </w:rPr>
      </w:pPr>
      <w:r>
        <w:rPr>
          <w:rFonts w:hint="eastAsia"/>
          <w:b/>
          <w:color w:val="auto"/>
          <w:sz w:val="28"/>
          <w:szCs w:val="28"/>
        </w:rPr>
        <w:t>1、单元划分</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根据基本规定，生产单元是指危险化学品的生产、加工及使用等装置及设施，当装置及设施之间有切断阀时，以切断阀作为分隔界限划分独立的单元；该公司</w:t>
      </w:r>
      <w:r>
        <w:rPr>
          <w:rFonts w:hint="eastAsia" w:ascii="宋体" w:hAnsi="宋体"/>
          <w:color w:val="auto"/>
          <w:kern w:val="0"/>
          <w:sz w:val="28"/>
          <w:szCs w:val="28"/>
        </w:rPr>
        <w:t>生产单元按独立的生产装置或单元划分。独立的生产装置（包括联合装置）或单元划分为一个生产单元。独立的生产装置（包括联合装置）或单元是指生产装置或单元与其周边装置、设施之间防火间距满足标准规定。</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（1）生产单元</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该项目发电机柴油罐贮存在发电间，柴油储存量较小（0.85t），远未达到临界量，因此不进行重大危险源辨识。</w:t>
      </w:r>
    </w:p>
    <w:p>
      <w:pPr>
        <w:ind w:firstLine="420" w:firstLineChars="200"/>
        <w:jc w:val="center"/>
        <w:rPr>
          <w:rFonts w:ascii="宋体" w:hAnsi="宋体"/>
          <w:color w:val="auto"/>
          <w:kern w:val="0"/>
        </w:rPr>
      </w:pPr>
      <w:r>
        <w:rPr>
          <w:rFonts w:hint="eastAsia" w:ascii="宋体" w:hAnsi="宋体"/>
          <w:color w:val="auto"/>
          <w:kern w:val="0"/>
        </w:rPr>
        <w:t>表3.3-2生产子单元划分一览表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2344"/>
        <w:gridCol w:w="3826"/>
        <w:gridCol w:w="2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7" w:type="pct"/>
            <w:tcBorders>
              <w:top w:val="single" w:color="auto" w:sz="4" w:space="0"/>
              <w:left w:val="single" w:color="auto" w:sz="4" w:space="0"/>
              <w:bottom w:val="single" w:color="auto" w:sz="4" w:space="0"/>
              <w:right w:val="single" w:color="auto" w:sz="4" w:space="0"/>
            </w:tcBorders>
            <w:vAlign w:val="center"/>
          </w:tcPr>
          <w:p>
            <w:pPr>
              <w:jc w:val="left"/>
              <w:rPr>
                <w:rFonts w:ascii="宋体" w:hAnsi="宋体"/>
                <w:color w:val="auto"/>
              </w:rPr>
            </w:pPr>
          </w:p>
        </w:tc>
        <w:tc>
          <w:tcPr>
            <w:tcW w:w="1262" w:type="pct"/>
            <w:tcBorders>
              <w:top w:val="single" w:color="auto" w:sz="4" w:space="0"/>
              <w:left w:val="single" w:color="auto" w:sz="4" w:space="0"/>
              <w:bottom w:val="single" w:color="auto" w:sz="4" w:space="0"/>
              <w:right w:val="single" w:color="auto" w:sz="4" w:space="0"/>
            </w:tcBorders>
            <w:vAlign w:val="center"/>
          </w:tcPr>
          <w:p>
            <w:pPr>
              <w:jc w:val="left"/>
              <w:rPr>
                <w:rFonts w:ascii="宋体" w:hAnsi="宋体"/>
                <w:color w:val="auto"/>
              </w:rPr>
            </w:pPr>
            <w:r>
              <w:rPr>
                <w:rFonts w:hint="eastAsia" w:ascii="宋体" w:hAnsi="宋体"/>
                <w:color w:val="auto"/>
              </w:rPr>
              <w:t>单元名称</w:t>
            </w:r>
          </w:p>
        </w:tc>
        <w:tc>
          <w:tcPr>
            <w:tcW w:w="2060" w:type="pct"/>
            <w:tcBorders>
              <w:top w:val="single" w:color="auto" w:sz="4" w:space="0"/>
              <w:left w:val="single" w:color="auto" w:sz="4" w:space="0"/>
              <w:bottom w:val="single" w:color="auto" w:sz="4" w:space="0"/>
              <w:right w:val="single" w:color="auto" w:sz="4" w:space="0"/>
            </w:tcBorders>
            <w:vAlign w:val="center"/>
          </w:tcPr>
          <w:p>
            <w:pPr>
              <w:jc w:val="left"/>
              <w:rPr>
                <w:rFonts w:ascii="宋体" w:hAnsi="宋体"/>
                <w:color w:val="auto"/>
              </w:rPr>
            </w:pPr>
            <w:r>
              <w:rPr>
                <w:rFonts w:hint="eastAsia" w:ascii="宋体" w:hAnsi="宋体"/>
                <w:color w:val="auto"/>
              </w:rPr>
              <w:t>涉及工艺情况</w:t>
            </w:r>
          </w:p>
        </w:tc>
        <w:tc>
          <w:tcPr>
            <w:tcW w:w="1431"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47" w:type="pct"/>
            <w:tcBorders>
              <w:top w:val="single" w:color="auto" w:sz="4" w:space="0"/>
              <w:left w:val="single" w:color="auto" w:sz="4" w:space="0"/>
              <w:bottom w:val="single" w:color="auto" w:sz="4" w:space="0"/>
              <w:right w:val="single" w:color="auto" w:sz="4" w:space="0"/>
            </w:tcBorders>
            <w:vAlign w:val="center"/>
          </w:tcPr>
          <w:p>
            <w:pPr>
              <w:numPr>
                <w:ilvl w:val="0"/>
                <w:numId w:val="29"/>
              </w:numPr>
              <w:jc w:val="left"/>
              <w:rPr>
                <w:rFonts w:ascii="宋体" w:hAnsi="宋体"/>
                <w:color w:val="auto"/>
              </w:rPr>
            </w:pPr>
          </w:p>
        </w:tc>
        <w:tc>
          <w:tcPr>
            <w:tcW w:w="1262"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甲类车间一单元</w:t>
            </w:r>
          </w:p>
        </w:tc>
        <w:tc>
          <w:tcPr>
            <w:tcW w:w="2060" w:type="pct"/>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olor w:val="auto"/>
                <w:kern w:val="0"/>
              </w:rPr>
            </w:pPr>
            <w:r>
              <w:rPr>
                <w:rFonts w:hint="eastAsia" w:ascii="宋体" w:hAnsi="宋体"/>
                <w:color w:val="auto"/>
                <w:kern w:val="0"/>
              </w:rPr>
              <w:t>2</w:t>
            </w:r>
            <w:r>
              <w:rPr>
                <w:rFonts w:ascii="宋体" w:hAnsi="宋体"/>
                <w:color w:val="auto"/>
                <w:kern w:val="0"/>
              </w:rPr>
              <w:t>4</w:t>
            </w:r>
            <w:r>
              <w:rPr>
                <w:rFonts w:hint="eastAsia" w:ascii="宋体" w:hAnsi="宋体"/>
                <w:color w:val="auto"/>
                <w:kern w:val="0"/>
              </w:rPr>
              <w:t>表芸苔素内酯、2</w:t>
            </w:r>
            <w:r>
              <w:rPr>
                <w:rFonts w:ascii="宋体" w:hAnsi="宋体"/>
                <w:color w:val="auto"/>
                <w:kern w:val="0"/>
              </w:rPr>
              <w:t>8-</w:t>
            </w:r>
            <w:r>
              <w:rPr>
                <w:rFonts w:hint="eastAsia" w:ascii="宋体" w:hAnsi="宋体"/>
                <w:color w:val="auto"/>
                <w:kern w:val="0"/>
              </w:rPr>
              <w:t>高芸苔素内酯、丙酰芸苔素内酯生产装置</w:t>
            </w:r>
          </w:p>
        </w:tc>
        <w:tc>
          <w:tcPr>
            <w:tcW w:w="1431"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磺化工艺、氧化工艺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7" w:type="pct"/>
            <w:tcBorders>
              <w:top w:val="single" w:color="auto" w:sz="4" w:space="0"/>
              <w:left w:val="single" w:color="auto" w:sz="4" w:space="0"/>
              <w:bottom w:val="single" w:color="auto" w:sz="4" w:space="0"/>
              <w:right w:val="single" w:color="auto" w:sz="4" w:space="0"/>
            </w:tcBorders>
            <w:vAlign w:val="center"/>
          </w:tcPr>
          <w:p>
            <w:pPr>
              <w:numPr>
                <w:ilvl w:val="0"/>
                <w:numId w:val="29"/>
              </w:numPr>
              <w:jc w:val="left"/>
              <w:rPr>
                <w:rFonts w:ascii="宋体" w:hAnsi="宋体"/>
                <w:color w:val="auto"/>
              </w:rPr>
            </w:pPr>
          </w:p>
        </w:tc>
        <w:tc>
          <w:tcPr>
            <w:tcW w:w="1262"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rPr>
            </w:pPr>
            <w:r>
              <w:rPr>
                <w:rFonts w:hint="eastAsia"/>
                <w:color w:val="auto"/>
                <w:kern w:val="0"/>
              </w:rPr>
              <w:t>1</w:t>
            </w:r>
            <w:r>
              <w:rPr>
                <w:color w:val="auto"/>
                <w:kern w:val="0"/>
              </w:rPr>
              <w:t>03</w:t>
            </w:r>
            <w:r>
              <w:rPr>
                <w:rFonts w:hint="eastAsia"/>
                <w:color w:val="auto"/>
                <w:kern w:val="0"/>
              </w:rPr>
              <w:t>液体剂车间单元</w:t>
            </w:r>
          </w:p>
        </w:tc>
        <w:tc>
          <w:tcPr>
            <w:tcW w:w="2060" w:type="pct"/>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olor w:val="auto"/>
                <w:kern w:val="0"/>
              </w:rPr>
            </w:pPr>
            <w:r>
              <w:rPr>
                <w:rFonts w:hint="eastAsia" w:ascii="宋体" w:hAnsi="宋体"/>
                <w:color w:val="auto"/>
                <w:kern w:val="0"/>
              </w:rPr>
              <w:t>芸苔素液体剂生产装置</w:t>
            </w:r>
          </w:p>
        </w:tc>
        <w:tc>
          <w:tcPr>
            <w:tcW w:w="1431" w:type="pct"/>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7" w:type="pct"/>
            <w:tcBorders>
              <w:top w:val="single" w:color="auto" w:sz="4" w:space="0"/>
              <w:left w:val="single" w:color="auto" w:sz="4" w:space="0"/>
              <w:bottom w:val="single" w:color="auto" w:sz="4" w:space="0"/>
              <w:right w:val="single" w:color="auto" w:sz="4" w:space="0"/>
            </w:tcBorders>
            <w:vAlign w:val="center"/>
          </w:tcPr>
          <w:p>
            <w:pPr>
              <w:numPr>
                <w:ilvl w:val="0"/>
                <w:numId w:val="29"/>
              </w:numPr>
              <w:jc w:val="left"/>
              <w:rPr>
                <w:rFonts w:ascii="宋体" w:hAnsi="宋体"/>
                <w:color w:val="auto"/>
              </w:rPr>
            </w:pPr>
          </w:p>
        </w:tc>
        <w:tc>
          <w:tcPr>
            <w:tcW w:w="1262"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rPr>
            </w:pPr>
            <w:r>
              <w:rPr>
                <w:rFonts w:hint="eastAsia"/>
                <w:color w:val="auto"/>
                <w:kern w:val="0"/>
              </w:rPr>
              <w:t>1</w:t>
            </w:r>
            <w:r>
              <w:rPr>
                <w:color w:val="auto"/>
                <w:kern w:val="0"/>
              </w:rPr>
              <w:t>04</w:t>
            </w:r>
            <w:r>
              <w:rPr>
                <w:rFonts w:hint="eastAsia"/>
                <w:color w:val="auto"/>
                <w:kern w:val="0"/>
              </w:rPr>
              <w:t>颗粒剂车间单元</w:t>
            </w:r>
          </w:p>
        </w:tc>
        <w:tc>
          <w:tcPr>
            <w:tcW w:w="2060" w:type="pct"/>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olor w:val="auto"/>
                <w:kern w:val="0"/>
              </w:rPr>
            </w:pPr>
            <w:r>
              <w:rPr>
                <w:rFonts w:hint="eastAsia" w:ascii="宋体" w:hAnsi="宋体"/>
                <w:color w:val="auto"/>
                <w:kern w:val="0"/>
              </w:rPr>
              <w:t>芸苔素颗粒剂生产装置</w:t>
            </w:r>
          </w:p>
        </w:tc>
        <w:tc>
          <w:tcPr>
            <w:tcW w:w="1431" w:type="pct"/>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bl>
    <w:p>
      <w:pPr>
        <w:spacing w:line="360" w:lineRule="auto"/>
        <w:ind w:firstLine="560" w:firstLineChars="200"/>
        <w:jc w:val="left"/>
        <w:rPr>
          <w:rFonts w:ascii="宋体" w:hAnsi="宋体" w:cs="Calibri"/>
          <w:color w:val="auto"/>
          <w:kern w:val="0"/>
          <w:sz w:val="28"/>
          <w:szCs w:val="28"/>
        </w:rPr>
      </w:pPr>
      <w:r>
        <w:rPr>
          <w:rFonts w:hint="eastAsia" w:ascii="宋体" w:hAnsi="宋体"/>
          <w:color w:val="auto"/>
          <w:kern w:val="0"/>
          <w:sz w:val="28"/>
          <w:szCs w:val="28"/>
        </w:rPr>
        <w:t>（2）存储场所</w:t>
      </w:r>
    </w:p>
    <w:p>
      <w:pPr>
        <w:ind w:firstLine="420" w:firstLineChars="200"/>
        <w:jc w:val="center"/>
        <w:rPr>
          <w:rFonts w:ascii="宋体" w:hAnsi="宋体"/>
          <w:color w:val="auto"/>
          <w:kern w:val="0"/>
        </w:rPr>
      </w:pPr>
      <w:r>
        <w:rPr>
          <w:rFonts w:hint="eastAsia" w:ascii="宋体" w:hAnsi="宋体"/>
          <w:color w:val="auto"/>
          <w:kern w:val="0"/>
        </w:rPr>
        <w:t>表3.3-3储存单元划分一览表</w:t>
      </w:r>
    </w:p>
    <w:tbl>
      <w:tblPr>
        <w:tblStyle w:val="31"/>
        <w:tblW w:w="8884"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567"/>
        <w:gridCol w:w="1895"/>
        <w:gridCol w:w="5618"/>
        <w:gridCol w:w="80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567" w:type="dxa"/>
            <w:tcBorders>
              <w:top w:val="single" w:color="auto" w:sz="4" w:space="0"/>
              <w:left w:val="single" w:color="auto" w:sz="4"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序号</w:t>
            </w:r>
          </w:p>
        </w:tc>
        <w:tc>
          <w:tcPr>
            <w:tcW w:w="1895" w:type="dxa"/>
            <w:tcBorders>
              <w:top w:val="single" w:color="auto" w:sz="4"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单元名称</w:t>
            </w:r>
          </w:p>
        </w:tc>
        <w:tc>
          <w:tcPr>
            <w:tcW w:w="5618" w:type="dxa"/>
            <w:tcBorders>
              <w:top w:val="single" w:color="auto" w:sz="4"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涉及的重大危险源辨识范畴物质基本情况</w:t>
            </w:r>
          </w:p>
        </w:tc>
        <w:tc>
          <w:tcPr>
            <w:tcW w:w="804" w:type="dxa"/>
            <w:tcBorders>
              <w:top w:val="single" w:color="auto" w:sz="4" w:space="0"/>
              <w:left w:val="single" w:color="auto" w:sz="6" w:space="0"/>
              <w:bottom w:val="single" w:color="auto" w:sz="6" w:space="0"/>
              <w:right w:val="single" w:color="auto" w:sz="4" w:space="0"/>
            </w:tcBorders>
            <w:noWrap/>
          </w:tcPr>
          <w:p>
            <w:pPr>
              <w:widowControl/>
              <w:jc w:val="left"/>
              <w:rPr>
                <w:rFonts w:ascii="宋体" w:hAnsi="宋体"/>
                <w:color w:val="auto"/>
                <w:kern w:val="0"/>
              </w:rPr>
            </w:pPr>
            <w:r>
              <w:rPr>
                <w:rFonts w:hint="eastAsia" w:ascii="宋体" w:hAnsi="宋体"/>
                <w:color w:val="auto"/>
                <w:kern w:val="0"/>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jc w:val="center"/>
        </w:trPr>
        <w:tc>
          <w:tcPr>
            <w:tcW w:w="567" w:type="dxa"/>
            <w:tcBorders>
              <w:top w:val="single" w:color="auto" w:sz="6" w:space="0"/>
              <w:left w:val="single" w:color="auto" w:sz="4" w:space="0"/>
              <w:bottom w:val="single" w:color="auto" w:sz="6" w:space="0"/>
              <w:right w:val="single" w:color="auto" w:sz="6" w:space="0"/>
            </w:tcBorders>
            <w:noWrap/>
          </w:tcPr>
          <w:p>
            <w:pPr>
              <w:pStyle w:val="57"/>
              <w:widowControl/>
              <w:numPr>
                <w:ilvl w:val="0"/>
                <w:numId w:val="30"/>
              </w:numPr>
              <w:ind w:firstLineChars="0"/>
              <w:jc w:val="left"/>
              <w:rPr>
                <w:rFonts w:ascii="宋体" w:hAnsi="宋体"/>
                <w:color w:val="auto"/>
                <w:kern w:val="0"/>
              </w:rPr>
            </w:pPr>
          </w:p>
        </w:tc>
        <w:tc>
          <w:tcPr>
            <w:tcW w:w="1895"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ascii="宋体" w:hAnsi="宋体"/>
                <w:color w:val="auto"/>
                <w:kern w:val="0"/>
              </w:rPr>
              <w:t>201</w:t>
            </w:r>
            <w:r>
              <w:rPr>
                <w:rFonts w:hint="eastAsia" w:ascii="宋体" w:hAnsi="宋体"/>
                <w:color w:val="auto"/>
                <w:kern w:val="0"/>
              </w:rPr>
              <w:t xml:space="preserve">甲类仓库一单元 </w:t>
            </w:r>
          </w:p>
        </w:tc>
        <w:tc>
          <w:tcPr>
            <w:tcW w:w="5618"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四氢呋喃、三乙胺、丙酮、甲苯、乙酸乙酯、液氨、叔丁醇、石油醚、双氧水、丁酮、DMF、甲醇、间氯过氧苯甲酸</w:t>
            </w:r>
          </w:p>
        </w:tc>
        <w:tc>
          <w:tcPr>
            <w:tcW w:w="804" w:type="dxa"/>
            <w:tcBorders>
              <w:top w:val="single" w:color="auto" w:sz="6" w:space="0"/>
              <w:left w:val="single" w:color="auto" w:sz="6" w:space="0"/>
              <w:bottom w:val="single" w:color="auto" w:sz="6" w:space="0"/>
              <w:right w:val="single" w:color="auto" w:sz="4" w:space="0"/>
            </w:tcBorders>
            <w:noWrap/>
          </w:tcPr>
          <w:p>
            <w:pPr>
              <w:widowControl/>
              <w:jc w:val="lef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jc w:val="center"/>
        </w:trPr>
        <w:tc>
          <w:tcPr>
            <w:tcW w:w="567" w:type="dxa"/>
            <w:tcBorders>
              <w:top w:val="single" w:color="auto" w:sz="6" w:space="0"/>
              <w:left w:val="single" w:color="auto" w:sz="4" w:space="0"/>
              <w:bottom w:val="single" w:color="auto" w:sz="6" w:space="0"/>
              <w:right w:val="single" w:color="auto" w:sz="6" w:space="0"/>
            </w:tcBorders>
            <w:noWrap/>
          </w:tcPr>
          <w:p>
            <w:pPr>
              <w:pStyle w:val="57"/>
              <w:widowControl/>
              <w:numPr>
                <w:ilvl w:val="0"/>
                <w:numId w:val="30"/>
              </w:numPr>
              <w:ind w:firstLineChars="0"/>
              <w:jc w:val="left"/>
              <w:rPr>
                <w:rFonts w:ascii="宋体" w:hAnsi="宋体"/>
                <w:color w:val="auto"/>
                <w:kern w:val="0"/>
              </w:rPr>
            </w:pPr>
          </w:p>
        </w:tc>
        <w:tc>
          <w:tcPr>
            <w:tcW w:w="1895"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ascii="宋体" w:hAnsi="宋体"/>
                <w:color w:val="auto"/>
                <w:kern w:val="0"/>
              </w:rPr>
              <w:t>202</w:t>
            </w:r>
            <w:r>
              <w:rPr>
                <w:rFonts w:hint="eastAsia" w:ascii="宋体" w:hAnsi="宋体"/>
                <w:color w:val="auto"/>
                <w:kern w:val="0"/>
              </w:rPr>
              <w:t>甲类仓库二单元</w:t>
            </w:r>
          </w:p>
        </w:tc>
        <w:tc>
          <w:tcPr>
            <w:tcW w:w="5618"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乙醇、异丙醇、DMF、甲基磺酰氯</w:t>
            </w:r>
          </w:p>
        </w:tc>
        <w:tc>
          <w:tcPr>
            <w:tcW w:w="804" w:type="dxa"/>
            <w:tcBorders>
              <w:top w:val="single" w:color="auto" w:sz="6" w:space="0"/>
              <w:left w:val="single" w:color="auto" w:sz="6" w:space="0"/>
              <w:bottom w:val="single" w:color="auto" w:sz="6" w:space="0"/>
              <w:right w:val="single" w:color="auto" w:sz="4" w:space="0"/>
            </w:tcBorders>
            <w:noWrap/>
          </w:tcPr>
          <w:p>
            <w:pPr>
              <w:widowControl/>
              <w:jc w:val="left"/>
              <w:rPr>
                <w:rFonts w:ascii="宋体" w:hAnsi="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20" w:hRule="atLeast"/>
          <w:jc w:val="center"/>
        </w:trPr>
        <w:tc>
          <w:tcPr>
            <w:tcW w:w="567" w:type="dxa"/>
            <w:tcBorders>
              <w:top w:val="single" w:color="auto" w:sz="6" w:space="0"/>
              <w:left w:val="single" w:color="auto" w:sz="4" w:space="0"/>
              <w:bottom w:val="single" w:color="auto" w:sz="6" w:space="0"/>
              <w:right w:val="single" w:color="auto" w:sz="6" w:space="0"/>
            </w:tcBorders>
            <w:noWrap/>
          </w:tcPr>
          <w:p>
            <w:pPr>
              <w:pStyle w:val="57"/>
              <w:widowControl/>
              <w:numPr>
                <w:ilvl w:val="0"/>
                <w:numId w:val="30"/>
              </w:numPr>
              <w:ind w:firstLineChars="0"/>
              <w:jc w:val="left"/>
              <w:rPr>
                <w:rFonts w:ascii="宋体" w:hAnsi="宋体"/>
                <w:color w:val="auto"/>
                <w:kern w:val="0"/>
              </w:rPr>
            </w:pPr>
          </w:p>
        </w:tc>
        <w:tc>
          <w:tcPr>
            <w:tcW w:w="1895"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2</w:t>
            </w:r>
            <w:r>
              <w:rPr>
                <w:rFonts w:ascii="宋体" w:hAnsi="宋体"/>
                <w:color w:val="auto"/>
                <w:kern w:val="0"/>
              </w:rPr>
              <w:t>05</w:t>
            </w:r>
            <w:r>
              <w:rPr>
                <w:rFonts w:hint="eastAsia" w:ascii="宋体" w:hAnsi="宋体"/>
                <w:color w:val="auto"/>
                <w:kern w:val="0"/>
              </w:rPr>
              <w:t>甲类仓库三单元</w:t>
            </w:r>
          </w:p>
        </w:tc>
        <w:tc>
          <w:tcPr>
            <w:tcW w:w="5618" w:type="dxa"/>
            <w:tcBorders>
              <w:top w:val="single" w:color="auto" w:sz="6" w:space="0"/>
              <w:left w:val="single" w:color="auto" w:sz="6" w:space="0"/>
              <w:bottom w:val="single" w:color="auto" w:sz="6" w:space="0"/>
              <w:right w:val="single" w:color="auto" w:sz="6" w:space="0"/>
            </w:tcBorders>
            <w:noWrap/>
          </w:tcPr>
          <w:p>
            <w:pPr>
              <w:widowControl/>
              <w:jc w:val="left"/>
              <w:rPr>
                <w:rFonts w:ascii="宋体" w:hAnsi="宋体"/>
                <w:color w:val="auto"/>
                <w:kern w:val="0"/>
              </w:rPr>
            </w:pPr>
            <w:r>
              <w:rPr>
                <w:rFonts w:hint="eastAsia" w:ascii="宋体" w:hAnsi="宋体"/>
                <w:color w:val="auto"/>
                <w:kern w:val="0"/>
              </w:rPr>
              <w:t>金属锂</w:t>
            </w:r>
          </w:p>
        </w:tc>
        <w:tc>
          <w:tcPr>
            <w:tcW w:w="804" w:type="dxa"/>
            <w:tcBorders>
              <w:top w:val="single" w:color="auto" w:sz="6" w:space="0"/>
              <w:left w:val="single" w:color="auto" w:sz="6" w:space="0"/>
              <w:bottom w:val="single" w:color="auto" w:sz="6" w:space="0"/>
              <w:right w:val="single" w:color="auto" w:sz="4" w:space="0"/>
            </w:tcBorders>
            <w:noWrap/>
          </w:tcPr>
          <w:p>
            <w:pPr>
              <w:widowControl/>
              <w:jc w:val="left"/>
              <w:rPr>
                <w:rFonts w:ascii="宋体" w:hAnsi="宋体"/>
                <w:color w:val="auto"/>
                <w:kern w:val="0"/>
              </w:rPr>
            </w:pPr>
          </w:p>
        </w:tc>
      </w:tr>
    </w:tbl>
    <w:p>
      <w:pPr>
        <w:pStyle w:val="2"/>
        <w:spacing w:line="360" w:lineRule="auto"/>
        <w:ind w:firstLine="560" w:firstLineChars="200"/>
        <w:rPr>
          <w:color w:val="auto"/>
          <w:sz w:val="28"/>
          <w:szCs w:val="28"/>
        </w:rPr>
      </w:pPr>
    </w:p>
    <w:p>
      <w:pPr>
        <w:pStyle w:val="2"/>
        <w:spacing w:line="360" w:lineRule="auto"/>
        <w:ind w:firstLine="562" w:firstLineChars="200"/>
        <w:rPr>
          <w:rFonts w:ascii="Calibri" w:hAnsi="Calibri"/>
          <w:b/>
          <w:color w:val="auto"/>
          <w:sz w:val="28"/>
          <w:szCs w:val="28"/>
        </w:rPr>
      </w:pPr>
      <w:r>
        <w:rPr>
          <w:rFonts w:hint="eastAsia"/>
          <w:b/>
          <w:color w:val="auto"/>
          <w:sz w:val="28"/>
          <w:szCs w:val="28"/>
        </w:rPr>
        <w:t>2、危险化学品</w:t>
      </w:r>
      <w:r>
        <w:rPr>
          <w:b/>
          <w:color w:val="auto"/>
          <w:sz w:val="28"/>
          <w:szCs w:val="28"/>
        </w:rPr>
        <w:t>重大危险源物质种类辨识</w:t>
      </w:r>
    </w:p>
    <w:p>
      <w:pPr>
        <w:ind w:firstLine="560" w:firstLineChars="200"/>
        <w:rPr>
          <w:color w:val="auto"/>
        </w:rPr>
      </w:pPr>
      <w:r>
        <w:rPr>
          <w:rFonts w:hint="eastAsia" w:ascii="宋体" w:hAnsi="宋体"/>
          <w:color w:val="auto"/>
          <w:sz w:val="28"/>
          <w:szCs w:val="28"/>
        </w:rPr>
        <w:t>依据《危险化学品目录》，该</w:t>
      </w:r>
      <w:r>
        <w:rPr>
          <w:rFonts w:ascii="宋体" w:hAnsi="宋体"/>
          <w:color w:val="auto"/>
          <w:sz w:val="28"/>
          <w:szCs w:val="28"/>
        </w:rPr>
        <w:t>项目涉及的危险化学品有</w:t>
      </w:r>
      <w:r>
        <w:rPr>
          <w:rFonts w:hint="eastAsia" w:ascii="宋体" w:hAnsi="宋体"/>
          <w:color w:val="auto"/>
          <w:sz w:val="28"/>
          <w:szCs w:val="28"/>
        </w:rPr>
        <w:t>三乙胺、甲基磺酰氯、四氢呋喃、丙酮、甲苯、液氨、液氮、金属锂粒、双氧水、丁酮、硫酸、氢溴酸、二甲基甲酰胺、乙酸乙酯、叔丁醇、三氟乙酸酐、二氯甲烷、石油醚、亚硫酸氢钠、次氯酸钠水溶液、甲醇、乙醇、丙酸酐、间氯过氧苯甲酸、异丙醇、环己酮、</w:t>
      </w:r>
      <w:r>
        <w:rPr>
          <w:color w:val="auto"/>
          <w:sz w:val="28"/>
          <w:szCs w:val="28"/>
        </w:rPr>
        <w:t>NP-10</w:t>
      </w:r>
      <w:r>
        <w:rPr>
          <w:rFonts w:hint="eastAsia"/>
          <w:color w:val="auto"/>
          <w:sz w:val="28"/>
          <w:szCs w:val="28"/>
        </w:rPr>
        <w:t>、柴油</w:t>
      </w:r>
      <w:r>
        <w:rPr>
          <w:rFonts w:hint="eastAsia" w:ascii="宋体" w:hAnsi="宋体"/>
          <w:color w:val="auto"/>
          <w:sz w:val="28"/>
          <w:szCs w:val="28"/>
        </w:rPr>
        <w:t>，</w:t>
      </w:r>
      <w:r>
        <w:rPr>
          <w:rFonts w:hint="eastAsia"/>
          <w:color w:val="auto"/>
          <w:sz w:val="28"/>
          <w:szCs w:val="28"/>
        </w:rPr>
        <w:t>中间产物中</w:t>
      </w:r>
      <w:r>
        <w:rPr>
          <w:rFonts w:hint="eastAsia" w:ascii="宋体" w:hAnsi="宋体"/>
          <w:color w:val="auto"/>
          <w:sz w:val="28"/>
          <w:szCs w:val="28"/>
        </w:rPr>
        <w:t>氢氧化锂、氨气、氢气、</w:t>
      </w:r>
      <w:r>
        <w:rPr>
          <w:color w:val="auto"/>
          <w:sz w:val="28"/>
          <w:szCs w:val="28"/>
        </w:rPr>
        <w:t>N-</w:t>
      </w:r>
      <w:r>
        <w:rPr>
          <w:rFonts w:hint="eastAsia" w:ascii="宋体" w:hAnsi="宋体"/>
          <w:color w:val="auto"/>
          <w:sz w:val="28"/>
          <w:szCs w:val="28"/>
        </w:rPr>
        <w:t>甲基吗啉、三氟乙酸、氯化氢、甲基磺酸、氨基锂、二氧化硫、硫酸氢钠</w:t>
      </w:r>
      <w:r>
        <w:rPr>
          <w:rFonts w:hint="eastAsia"/>
          <w:color w:val="auto"/>
          <w:sz w:val="28"/>
          <w:szCs w:val="28"/>
        </w:rPr>
        <w:t>等为危险化学品。</w:t>
      </w:r>
      <w:r>
        <w:rPr>
          <w:rFonts w:ascii="宋体" w:hAnsi="宋体"/>
          <w:color w:val="auto"/>
          <w:sz w:val="28"/>
          <w:szCs w:val="28"/>
        </w:rPr>
        <w:t>根据《危险化学品重大危险源辨识》（</w:t>
      </w:r>
      <w:r>
        <w:rPr>
          <w:color w:val="auto"/>
          <w:sz w:val="28"/>
          <w:szCs w:val="28"/>
        </w:rPr>
        <w:t>GB18218-2018</w:t>
      </w:r>
      <w:r>
        <w:rPr>
          <w:rFonts w:ascii="宋体" w:hAnsi="宋体"/>
          <w:color w:val="auto"/>
          <w:sz w:val="28"/>
          <w:szCs w:val="28"/>
        </w:rPr>
        <w:t>），</w:t>
      </w:r>
      <w:r>
        <w:rPr>
          <w:rFonts w:hint="eastAsia" w:ascii="宋体" w:hAnsi="宋体"/>
          <w:color w:val="auto"/>
          <w:sz w:val="28"/>
          <w:szCs w:val="28"/>
        </w:rPr>
        <w:t>该项目三乙胺、甲基磺酰氯、四氢呋喃、丙酮、甲苯、液氨、金属锂、双氧水、丁酮、DMF（二甲基甲酰胺）、乙酸乙酯、叔丁醇、石油醚、甲醇、乙醇、间氯过氧苯甲酸、异丙醇、环己酮、柴油、氯化氢（中间产物）、二氧化硫（中间产物）、氨基锂（中间产物）、氢气（中间产物）、N</w:t>
      </w:r>
      <w:r>
        <w:rPr>
          <w:rFonts w:ascii="宋体" w:hAnsi="宋体"/>
          <w:color w:val="auto"/>
          <w:sz w:val="28"/>
          <w:szCs w:val="28"/>
        </w:rPr>
        <w:t>-</w:t>
      </w:r>
      <w:r>
        <w:rPr>
          <w:rFonts w:hint="eastAsia" w:ascii="宋体" w:hAnsi="宋体"/>
          <w:color w:val="auto"/>
          <w:sz w:val="28"/>
          <w:szCs w:val="28"/>
        </w:rPr>
        <w:t>甲基吗啉（中间产物）等属于危险化学品重大危险源辨识范围内的物质。液氮为窒息性加压气体，硫酸、氢溴酸、三氟乙酸酐、二氯甲烷、次氯酸钠水溶液、丙酸酐、硫酸氢钠、氢氧化锂、NP</w:t>
      </w:r>
      <w:r>
        <w:rPr>
          <w:rFonts w:ascii="宋体" w:hAnsi="宋体"/>
          <w:color w:val="auto"/>
          <w:sz w:val="28"/>
          <w:szCs w:val="28"/>
        </w:rPr>
        <w:t>-10</w:t>
      </w:r>
      <w:r>
        <w:rPr>
          <w:rFonts w:hint="eastAsia" w:ascii="宋体" w:hAnsi="宋体"/>
          <w:color w:val="auto"/>
          <w:sz w:val="28"/>
          <w:szCs w:val="28"/>
        </w:rPr>
        <w:t>、亚硫酸氢钠、三氟乙酸、甲基磺酸等为腐蚀刺激性物品，不属于危险化学品重大危险源辨识范围内的物质。氯化氢、二氧化硫、氨基锂、N</w:t>
      </w:r>
      <w:r>
        <w:rPr>
          <w:rFonts w:ascii="宋体" w:hAnsi="宋体"/>
          <w:color w:val="auto"/>
          <w:sz w:val="28"/>
          <w:szCs w:val="28"/>
        </w:rPr>
        <w:t>-</w:t>
      </w:r>
      <w:r>
        <w:rPr>
          <w:rFonts w:hint="eastAsia" w:ascii="宋体" w:hAnsi="宋体"/>
          <w:color w:val="auto"/>
          <w:sz w:val="28"/>
          <w:szCs w:val="28"/>
        </w:rPr>
        <w:t>甲基吗啉等为生产过程中少量生成的副产物质，远未达到临界量，本报告不进行辨识。中间产物氨气产生量</w:t>
      </w:r>
      <w:r>
        <w:rPr>
          <w:rFonts w:ascii="宋体" w:hAnsi="宋体"/>
          <w:color w:val="auto"/>
          <w:sz w:val="28"/>
          <w:szCs w:val="28"/>
        </w:rPr>
        <w:t>0.21</w:t>
      </w:r>
      <w:r>
        <w:rPr>
          <w:rFonts w:hint="eastAsia" w:ascii="宋体" w:hAnsi="宋体"/>
          <w:color w:val="auto"/>
          <w:sz w:val="28"/>
          <w:szCs w:val="28"/>
        </w:rPr>
        <w:t>t，氢气产生量0</w:t>
      </w:r>
      <w:r>
        <w:rPr>
          <w:rFonts w:ascii="宋体" w:hAnsi="宋体"/>
          <w:color w:val="auto"/>
          <w:sz w:val="28"/>
          <w:szCs w:val="28"/>
        </w:rPr>
        <w:t>.0013</w:t>
      </w:r>
      <w:r>
        <w:rPr>
          <w:rFonts w:hint="eastAsia" w:ascii="宋体" w:hAnsi="宋体"/>
          <w:color w:val="auto"/>
          <w:sz w:val="28"/>
          <w:szCs w:val="28"/>
        </w:rPr>
        <w:t>t。</w:t>
      </w:r>
    </w:p>
    <w:p>
      <w:pPr>
        <w:pStyle w:val="2"/>
        <w:spacing w:line="360" w:lineRule="auto"/>
        <w:ind w:firstLine="562" w:firstLineChars="200"/>
        <w:rPr>
          <w:b/>
          <w:color w:val="auto"/>
          <w:sz w:val="28"/>
          <w:szCs w:val="28"/>
        </w:rPr>
      </w:pPr>
      <w:r>
        <w:rPr>
          <w:rFonts w:hint="eastAsia"/>
          <w:b/>
          <w:color w:val="auto"/>
          <w:sz w:val="28"/>
          <w:szCs w:val="28"/>
        </w:rPr>
        <w:t>3、临界量</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1）各装置、场所涉及危险化学品重大危险源辨识范围内的物质情况</w:t>
      </w:r>
    </w:p>
    <w:p>
      <w:pPr>
        <w:ind w:firstLine="420" w:firstLineChars="200"/>
        <w:jc w:val="center"/>
        <w:rPr>
          <w:rFonts w:ascii="宋体" w:hAnsi="宋体"/>
          <w:color w:val="auto"/>
          <w:kern w:val="0"/>
        </w:rPr>
      </w:pPr>
      <w:r>
        <w:rPr>
          <w:rFonts w:hint="eastAsia" w:ascii="宋体" w:hAnsi="宋体"/>
          <w:color w:val="auto"/>
          <w:kern w:val="0"/>
        </w:rPr>
        <w:t>表3.3-</w:t>
      </w:r>
      <w:r>
        <w:rPr>
          <w:rFonts w:ascii="宋体" w:hAnsi="宋体"/>
          <w:color w:val="auto"/>
          <w:kern w:val="0"/>
        </w:rPr>
        <w:t>4</w:t>
      </w:r>
      <w:r>
        <w:rPr>
          <w:rFonts w:hint="eastAsia" w:ascii="宋体" w:hAnsi="宋体"/>
          <w:color w:val="auto"/>
          <w:kern w:val="0"/>
        </w:rPr>
        <w:t>生产车间涉及重大危险源物质辨识一览表</w:t>
      </w:r>
    </w:p>
    <w:tbl>
      <w:tblPr>
        <w:tblStyle w:val="31"/>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697"/>
        <w:gridCol w:w="3359"/>
        <w:gridCol w:w="2505"/>
        <w:gridCol w:w="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spacing w:line="380" w:lineRule="exact"/>
              <w:jc w:val="left"/>
              <w:rPr>
                <w:rFonts w:ascii="宋体" w:hAnsi="宋体"/>
                <w:color w:val="auto"/>
              </w:rPr>
            </w:pPr>
            <w:r>
              <w:rPr>
                <w:rFonts w:hint="eastAsia" w:ascii="宋体" w:hAnsi="宋体"/>
                <w:color w:val="auto"/>
              </w:rPr>
              <w:t>序号</w:t>
            </w:r>
          </w:p>
        </w:tc>
        <w:tc>
          <w:tcPr>
            <w:tcW w:w="918" w:type="pct"/>
            <w:tcBorders>
              <w:top w:val="single" w:color="auto" w:sz="4" w:space="0"/>
              <w:left w:val="single" w:color="auto" w:sz="4" w:space="0"/>
              <w:bottom w:val="single" w:color="auto" w:sz="4" w:space="0"/>
              <w:right w:val="single" w:color="auto" w:sz="4" w:space="0"/>
            </w:tcBorders>
            <w:vAlign w:val="center"/>
          </w:tcPr>
          <w:p>
            <w:pPr>
              <w:spacing w:line="380" w:lineRule="exact"/>
              <w:jc w:val="left"/>
              <w:rPr>
                <w:rFonts w:ascii="宋体" w:hAnsi="宋体"/>
                <w:color w:val="auto"/>
              </w:rPr>
            </w:pPr>
            <w:r>
              <w:rPr>
                <w:rFonts w:hint="eastAsia" w:ascii="宋体" w:hAnsi="宋体"/>
                <w:color w:val="auto"/>
              </w:rPr>
              <w:t>单元名称</w:t>
            </w:r>
          </w:p>
        </w:tc>
        <w:tc>
          <w:tcPr>
            <w:tcW w:w="1803" w:type="pct"/>
            <w:tcBorders>
              <w:top w:val="single" w:color="auto" w:sz="4" w:space="0"/>
              <w:left w:val="single" w:color="auto" w:sz="4" w:space="0"/>
              <w:bottom w:val="single" w:color="auto" w:sz="4" w:space="0"/>
              <w:right w:val="single" w:color="auto" w:sz="4" w:space="0"/>
            </w:tcBorders>
          </w:tcPr>
          <w:p>
            <w:pPr>
              <w:spacing w:line="380" w:lineRule="exact"/>
              <w:jc w:val="left"/>
              <w:rPr>
                <w:rFonts w:ascii="宋体" w:hAnsi="宋体"/>
                <w:color w:val="auto"/>
              </w:rPr>
            </w:pPr>
            <w:r>
              <w:rPr>
                <w:rFonts w:hint="eastAsia" w:ascii="宋体" w:hAnsi="宋体"/>
                <w:color w:val="auto"/>
              </w:rPr>
              <w:t>涉及的重大危险源辨识范畴物质</w:t>
            </w:r>
          </w:p>
        </w:tc>
        <w:tc>
          <w:tcPr>
            <w:tcW w:w="1355" w:type="pct"/>
            <w:tcBorders>
              <w:top w:val="single" w:color="auto" w:sz="4" w:space="0"/>
              <w:left w:val="single" w:color="auto" w:sz="4" w:space="0"/>
              <w:bottom w:val="single" w:color="auto" w:sz="4" w:space="0"/>
              <w:right w:val="single" w:color="auto" w:sz="4" w:space="0"/>
            </w:tcBorders>
          </w:tcPr>
          <w:p>
            <w:pPr>
              <w:spacing w:line="380" w:lineRule="exact"/>
              <w:jc w:val="left"/>
              <w:rPr>
                <w:rFonts w:ascii="宋体" w:hAnsi="宋体"/>
                <w:color w:val="auto"/>
              </w:rPr>
            </w:pPr>
            <w:r>
              <w:rPr>
                <w:rFonts w:hint="eastAsia" w:ascii="宋体" w:hAnsi="宋体"/>
                <w:color w:val="auto"/>
              </w:rPr>
              <w:t>涉及的设备及操作条件</w:t>
            </w:r>
          </w:p>
        </w:tc>
        <w:tc>
          <w:tcPr>
            <w:tcW w:w="518" w:type="pct"/>
            <w:tcBorders>
              <w:top w:val="single" w:color="auto" w:sz="4" w:space="0"/>
              <w:left w:val="single" w:color="auto" w:sz="4" w:space="0"/>
              <w:bottom w:val="single" w:color="auto" w:sz="4" w:space="0"/>
              <w:right w:val="single" w:color="auto" w:sz="4" w:space="0"/>
            </w:tcBorders>
          </w:tcPr>
          <w:p>
            <w:pPr>
              <w:spacing w:line="380" w:lineRule="exact"/>
              <w:jc w:val="left"/>
              <w:rPr>
                <w:rFonts w:ascii="宋体" w:hAnsi="宋体"/>
                <w:color w:val="auto"/>
              </w:rPr>
            </w:pPr>
            <w:r>
              <w:rPr>
                <w:rFonts w:hint="eastAsia"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spacing w:line="380" w:lineRule="exact"/>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vAlign w:val="center"/>
          </w:tcPr>
          <w:p>
            <w:pPr>
              <w:widowControl/>
              <w:spacing w:line="380" w:lineRule="exact"/>
              <w:jc w:val="center"/>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w:t>
            </w:r>
          </w:p>
        </w:tc>
        <w:tc>
          <w:tcPr>
            <w:tcW w:w="1803" w:type="pct"/>
            <w:tcBorders>
              <w:top w:val="single" w:color="auto" w:sz="4" w:space="0"/>
              <w:left w:val="single" w:color="auto" w:sz="4" w:space="0"/>
              <w:bottom w:val="single" w:color="auto" w:sz="4" w:space="0"/>
              <w:right w:val="single" w:color="auto" w:sz="4" w:space="0"/>
            </w:tcBorders>
          </w:tcPr>
          <w:p>
            <w:pPr>
              <w:spacing w:line="380" w:lineRule="exact"/>
              <w:jc w:val="left"/>
              <w:rPr>
                <w:rFonts w:ascii="宋体" w:hAnsi="宋体"/>
                <w:color w:val="auto"/>
              </w:rPr>
            </w:pPr>
            <w:r>
              <w:rPr>
                <w:rFonts w:hint="eastAsia" w:ascii="宋体" w:hAnsi="宋体"/>
                <w:color w:val="auto"/>
              </w:rPr>
              <w:t>四氢呋喃、三乙胺、丙酮、甲苯、乙酸乙酯、液氨、叔丁醇、石油醚、5</w:t>
            </w:r>
            <w:r>
              <w:rPr>
                <w:rFonts w:ascii="宋体" w:hAnsi="宋体"/>
                <w:color w:val="auto"/>
              </w:rPr>
              <w:t>0%</w:t>
            </w:r>
            <w:r>
              <w:rPr>
                <w:rFonts w:hint="eastAsia" w:ascii="宋体" w:hAnsi="宋体"/>
                <w:color w:val="auto"/>
              </w:rPr>
              <w:t>双氧水、3</w:t>
            </w:r>
            <w:r>
              <w:rPr>
                <w:rFonts w:ascii="宋体" w:hAnsi="宋体"/>
                <w:color w:val="auto"/>
              </w:rPr>
              <w:t>0%</w:t>
            </w:r>
            <w:r>
              <w:rPr>
                <w:rFonts w:hint="eastAsia" w:ascii="宋体" w:hAnsi="宋体"/>
                <w:color w:val="auto"/>
              </w:rPr>
              <w:t>双氧水、甲基磺酰氯、丁酮、DMF、甲醇、间氯过氧苯甲酸、金属锂、氨气、氢气</w:t>
            </w:r>
          </w:p>
        </w:tc>
        <w:tc>
          <w:tcPr>
            <w:tcW w:w="1355" w:type="pct"/>
            <w:tcBorders>
              <w:top w:val="single" w:color="auto" w:sz="4" w:space="0"/>
              <w:left w:val="single" w:color="auto" w:sz="4" w:space="0"/>
              <w:bottom w:val="single" w:color="auto" w:sz="4" w:space="0"/>
              <w:right w:val="single" w:color="auto" w:sz="4" w:space="0"/>
            </w:tcBorders>
          </w:tcPr>
          <w:p>
            <w:pPr>
              <w:spacing w:line="380" w:lineRule="exact"/>
              <w:rPr>
                <w:rFonts w:ascii="宋体" w:hAnsi="宋体"/>
                <w:color w:val="auto"/>
              </w:rPr>
            </w:pPr>
            <w:r>
              <w:rPr>
                <w:rFonts w:hint="eastAsia" w:ascii="宋体" w:hAnsi="宋体"/>
                <w:color w:val="auto"/>
              </w:rPr>
              <w:t>设备及操作条件情况具体见2.6节</w:t>
            </w:r>
          </w:p>
        </w:tc>
        <w:tc>
          <w:tcPr>
            <w:tcW w:w="518" w:type="pct"/>
            <w:tcBorders>
              <w:top w:val="single" w:color="auto" w:sz="4" w:space="0"/>
              <w:left w:val="single" w:color="auto" w:sz="4" w:space="0"/>
              <w:bottom w:val="single" w:color="auto" w:sz="4" w:space="0"/>
              <w:right w:val="single" w:color="auto" w:sz="4" w:space="0"/>
            </w:tcBorders>
          </w:tcPr>
          <w:p>
            <w:pPr>
              <w:spacing w:line="380" w:lineRule="exact"/>
              <w:rPr>
                <w:rFonts w:ascii="Calibri" w:hAnsi="Calibri"/>
                <w:color w:val="auto"/>
              </w:rPr>
            </w:pPr>
            <w:r>
              <w:rPr>
                <w:rFonts w:hint="eastAsia" w:ascii="Calibri" w:hAnsi="Calibri"/>
                <w:color w:val="auto"/>
              </w:rPr>
              <w:t>磺酰化、氧化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w:t>
            </w:r>
          </w:p>
        </w:tc>
        <w:tc>
          <w:tcPr>
            <w:tcW w:w="1817"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乙醇、异丙醇、DMF、环己酮</w:t>
            </w:r>
          </w:p>
        </w:tc>
        <w:tc>
          <w:tcPr>
            <w:tcW w:w="1341" w:type="pct"/>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设备及操作条件情况具体见2.6节</w:t>
            </w:r>
          </w:p>
        </w:tc>
        <w:tc>
          <w:tcPr>
            <w:tcW w:w="518" w:type="pct"/>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w:t>
            </w:r>
          </w:p>
        </w:tc>
        <w:tc>
          <w:tcPr>
            <w:tcW w:w="1817"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乙醇</w:t>
            </w:r>
          </w:p>
        </w:tc>
        <w:tc>
          <w:tcPr>
            <w:tcW w:w="1341" w:type="pct"/>
            <w:tcBorders>
              <w:top w:val="single" w:color="auto" w:sz="4" w:space="0"/>
              <w:left w:val="single" w:color="auto" w:sz="4" w:space="0"/>
              <w:bottom w:val="single" w:color="auto" w:sz="4" w:space="0"/>
              <w:right w:val="single" w:color="auto" w:sz="4" w:space="0"/>
            </w:tcBorders>
          </w:tcPr>
          <w:p>
            <w:pPr>
              <w:rPr>
                <w:rFonts w:ascii="宋体" w:hAnsi="宋体"/>
                <w:color w:val="auto"/>
              </w:rPr>
            </w:pPr>
            <w:r>
              <w:rPr>
                <w:rFonts w:hint="eastAsia" w:ascii="宋体" w:hAnsi="宋体"/>
                <w:color w:val="auto"/>
              </w:rPr>
              <w:t>设备及操作条件情况具体见2.6节</w:t>
            </w:r>
          </w:p>
        </w:tc>
        <w:tc>
          <w:tcPr>
            <w:tcW w:w="518" w:type="pct"/>
            <w:tcBorders>
              <w:top w:val="single" w:color="auto" w:sz="4" w:space="0"/>
              <w:left w:val="single" w:color="auto" w:sz="4" w:space="0"/>
              <w:bottom w:val="single" w:color="auto" w:sz="4" w:space="0"/>
              <w:right w:val="single" w:color="auto" w:sz="4" w:space="0"/>
            </w:tcBorders>
          </w:tcPr>
          <w:p>
            <w:pPr>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tcPr>
          <w:p>
            <w:pPr>
              <w:rPr>
                <w:rFonts w:ascii="Calibri" w:hAnsi="Calibri"/>
                <w:color w:val="auto"/>
              </w:rPr>
            </w:pPr>
            <w:r>
              <w:rPr>
                <w:rFonts w:hint="eastAsia" w:ascii="Calibri" w:hAnsi="Calibri"/>
                <w:color w:val="auto"/>
              </w:rPr>
              <w:t>2</w:t>
            </w:r>
            <w:r>
              <w:rPr>
                <w:rFonts w:ascii="Calibri" w:hAnsi="Calibri"/>
                <w:color w:val="auto"/>
              </w:rPr>
              <w:t>01</w:t>
            </w:r>
            <w:r>
              <w:rPr>
                <w:rFonts w:hint="eastAsia" w:ascii="Calibri" w:hAnsi="Calibri"/>
                <w:color w:val="auto"/>
              </w:rPr>
              <w:t>甲类仓库一</w:t>
            </w:r>
          </w:p>
        </w:tc>
        <w:tc>
          <w:tcPr>
            <w:tcW w:w="1817"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四氢呋喃、三乙胺、丙酮、甲苯、乙酸乙酯、液氨、叔丁醇、石油醚、5</w:t>
            </w:r>
            <w:r>
              <w:rPr>
                <w:rFonts w:ascii="宋体" w:hAnsi="宋体"/>
                <w:color w:val="auto"/>
              </w:rPr>
              <w:t>0%</w:t>
            </w:r>
            <w:r>
              <w:rPr>
                <w:rFonts w:hint="eastAsia" w:ascii="宋体" w:hAnsi="宋体"/>
                <w:color w:val="auto"/>
              </w:rPr>
              <w:t>双氧水、3</w:t>
            </w:r>
            <w:r>
              <w:rPr>
                <w:rFonts w:ascii="宋体" w:hAnsi="宋体"/>
                <w:color w:val="auto"/>
              </w:rPr>
              <w:t>0%</w:t>
            </w:r>
            <w:r>
              <w:rPr>
                <w:rFonts w:hint="eastAsia" w:ascii="宋体" w:hAnsi="宋体"/>
                <w:color w:val="auto"/>
              </w:rPr>
              <w:t>双氧水、丁酮、DMF、甲醇、间氯过氧苯甲酸、环己酮</w:t>
            </w:r>
          </w:p>
        </w:tc>
        <w:tc>
          <w:tcPr>
            <w:tcW w:w="1341" w:type="pct"/>
            <w:tcBorders>
              <w:top w:val="single" w:color="auto" w:sz="4" w:space="0"/>
              <w:left w:val="single" w:color="auto" w:sz="4" w:space="0"/>
              <w:bottom w:val="single" w:color="auto" w:sz="4" w:space="0"/>
              <w:right w:val="single" w:color="auto" w:sz="4" w:space="0"/>
            </w:tcBorders>
          </w:tcPr>
          <w:p>
            <w:pPr>
              <w:rPr>
                <w:rFonts w:ascii="Calibri" w:hAnsi="Calibri"/>
                <w:color w:val="auto"/>
              </w:rPr>
            </w:pPr>
          </w:p>
        </w:tc>
        <w:tc>
          <w:tcPr>
            <w:tcW w:w="518" w:type="pct"/>
            <w:tcBorders>
              <w:top w:val="single" w:color="auto" w:sz="4" w:space="0"/>
              <w:left w:val="single" w:color="auto" w:sz="4" w:space="0"/>
              <w:bottom w:val="single" w:color="auto" w:sz="4" w:space="0"/>
              <w:right w:val="single" w:color="auto" w:sz="4" w:space="0"/>
            </w:tcBorders>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tcPr>
          <w:p>
            <w:pPr>
              <w:rPr>
                <w:rFonts w:ascii="Calibri" w:hAnsi="Calibri"/>
                <w:color w:val="auto"/>
              </w:rPr>
            </w:pPr>
            <w:r>
              <w:rPr>
                <w:rFonts w:hint="eastAsia" w:ascii="Calibri" w:hAnsi="Calibri"/>
                <w:color w:val="auto"/>
              </w:rPr>
              <w:t>2</w:t>
            </w:r>
            <w:r>
              <w:rPr>
                <w:rFonts w:ascii="Calibri" w:hAnsi="Calibri"/>
                <w:color w:val="auto"/>
              </w:rPr>
              <w:t>02</w:t>
            </w:r>
            <w:r>
              <w:rPr>
                <w:rFonts w:hint="eastAsia" w:ascii="Calibri" w:hAnsi="Calibri"/>
                <w:color w:val="auto"/>
              </w:rPr>
              <w:t>甲类仓库二</w:t>
            </w:r>
          </w:p>
        </w:tc>
        <w:tc>
          <w:tcPr>
            <w:tcW w:w="1817"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乙醇、异丙醇、DMF、甲基磺酰氯</w:t>
            </w:r>
          </w:p>
        </w:tc>
        <w:tc>
          <w:tcPr>
            <w:tcW w:w="1341" w:type="pct"/>
            <w:tcBorders>
              <w:top w:val="single" w:color="auto" w:sz="4" w:space="0"/>
              <w:left w:val="single" w:color="auto" w:sz="4" w:space="0"/>
              <w:bottom w:val="single" w:color="auto" w:sz="4" w:space="0"/>
              <w:right w:val="single" w:color="auto" w:sz="4" w:space="0"/>
            </w:tcBorders>
          </w:tcPr>
          <w:p>
            <w:pPr>
              <w:rPr>
                <w:rFonts w:ascii="Calibri" w:hAnsi="Calibri"/>
                <w:color w:val="auto"/>
              </w:rPr>
            </w:pPr>
          </w:p>
        </w:tc>
        <w:tc>
          <w:tcPr>
            <w:tcW w:w="518"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tcBorders>
              <w:top w:val="single" w:color="auto" w:sz="4" w:space="0"/>
              <w:left w:val="single" w:color="auto" w:sz="4" w:space="0"/>
              <w:bottom w:val="single" w:color="auto" w:sz="4" w:space="0"/>
              <w:right w:val="single" w:color="auto" w:sz="4" w:space="0"/>
            </w:tcBorders>
            <w:vAlign w:val="center"/>
          </w:tcPr>
          <w:p>
            <w:pPr>
              <w:numPr>
                <w:ilvl w:val="0"/>
                <w:numId w:val="31"/>
              </w:numPr>
              <w:jc w:val="left"/>
              <w:rPr>
                <w:rFonts w:ascii="宋体" w:hAnsi="宋体"/>
                <w:color w:val="auto"/>
              </w:rPr>
            </w:pPr>
          </w:p>
        </w:tc>
        <w:tc>
          <w:tcPr>
            <w:tcW w:w="918" w:type="pct"/>
            <w:tcBorders>
              <w:top w:val="single" w:color="auto" w:sz="4" w:space="0"/>
              <w:left w:val="single" w:color="auto" w:sz="4" w:space="0"/>
              <w:bottom w:val="single" w:color="auto" w:sz="4" w:space="0"/>
              <w:right w:val="single" w:color="auto" w:sz="4" w:space="0"/>
            </w:tcBorders>
          </w:tcPr>
          <w:p>
            <w:pPr>
              <w:rPr>
                <w:rFonts w:ascii="宋体" w:hAnsi="宋体"/>
                <w:color w:val="auto"/>
                <w:kern w:val="0"/>
              </w:rPr>
            </w:pPr>
            <w:r>
              <w:rPr>
                <w:rFonts w:hint="eastAsia" w:ascii="宋体" w:hAnsi="宋体"/>
                <w:color w:val="auto"/>
                <w:kern w:val="0"/>
              </w:rPr>
              <w:t>2</w:t>
            </w:r>
            <w:r>
              <w:rPr>
                <w:rFonts w:ascii="宋体" w:hAnsi="宋体"/>
                <w:color w:val="auto"/>
                <w:kern w:val="0"/>
              </w:rPr>
              <w:t>05</w:t>
            </w:r>
            <w:r>
              <w:rPr>
                <w:rFonts w:hint="eastAsia" w:ascii="宋体" w:hAnsi="宋体"/>
                <w:color w:val="auto"/>
                <w:kern w:val="0"/>
              </w:rPr>
              <w:t>甲类仓库三</w:t>
            </w:r>
          </w:p>
        </w:tc>
        <w:tc>
          <w:tcPr>
            <w:tcW w:w="1817"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r>
              <w:rPr>
                <w:rFonts w:hint="eastAsia" w:ascii="宋体" w:hAnsi="宋体"/>
                <w:color w:val="auto"/>
              </w:rPr>
              <w:t>金属锂</w:t>
            </w:r>
          </w:p>
        </w:tc>
        <w:tc>
          <w:tcPr>
            <w:tcW w:w="1341" w:type="pct"/>
            <w:tcBorders>
              <w:top w:val="single" w:color="auto" w:sz="4" w:space="0"/>
              <w:left w:val="single" w:color="auto" w:sz="4" w:space="0"/>
              <w:bottom w:val="single" w:color="auto" w:sz="4" w:space="0"/>
              <w:right w:val="single" w:color="auto" w:sz="4" w:space="0"/>
            </w:tcBorders>
          </w:tcPr>
          <w:p>
            <w:pPr>
              <w:rPr>
                <w:rFonts w:ascii="Calibri" w:hAnsi="Calibri"/>
                <w:color w:val="auto"/>
              </w:rPr>
            </w:pPr>
          </w:p>
        </w:tc>
        <w:tc>
          <w:tcPr>
            <w:tcW w:w="518" w:type="pct"/>
            <w:tcBorders>
              <w:top w:val="single" w:color="auto" w:sz="4" w:space="0"/>
              <w:left w:val="single" w:color="auto" w:sz="4" w:space="0"/>
              <w:bottom w:val="single" w:color="auto" w:sz="4" w:space="0"/>
              <w:right w:val="single" w:color="auto" w:sz="4" w:space="0"/>
            </w:tcBorders>
          </w:tcPr>
          <w:p>
            <w:pPr>
              <w:jc w:val="left"/>
              <w:rPr>
                <w:rFonts w:ascii="宋体" w:hAnsi="宋体"/>
                <w:color w:val="auto"/>
              </w:rPr>
            </w:pPr>
          </w:p>
        </w:tc>
      </w:tr>
    </w:tbl>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2）辨识范围内的物质临界量</w:t>
      </w:r>
    </w:p>
    <w:p>
      <w:pPr>
        <w:spacing w:line="360" w:lineRule="auto"/>
        <w:ind w:firstLine="560" w:firstLineChars="200"/>
        <w:jc w:val="left"/>
        <w:rPr>
          <w:rFonts w:ascii="宋体" w:hAnsi="宋体"/>
          <w:color w:val="auto"/>
          <w:kern w:val="0"/>
          <w:sz w:val="28"/>
          <w:szCs w:val="28"/>
        </w:rPr>
      </w:pPr>
      <w:r>
        <w:rPr>
          <w:rFonts w:hint="eastAsia" w:ascii="宋体" w:hAnsi="宋体"/>
          <w:color w:val="auto"/>
          <w:kern w:val="0"/>
          <w:sz w:val="28"/>
          <w:szCs w:val="28"/>
        </w:rPr>
        <w:t>依据企业提供的工艺及设备情况，该公司涉及重大危险源辨识的物质临界量如下表。</w:t>
      </w:r>
    </w:p>
    <w:p>
      <w:pPr>
        <w:jc w:val="center"/>
        <w:rPr>
          <w:rFonts w:ascii="宋体" w:hAnsi="宋体"/>
          <w:color w:val="auto"/>
          <w:sz w:val="28"/>
          <w:szCs w:val="28"/>
        </w:rPr>
      </w:pPr>
      <w:r>
        <w:rPr>
          <w:rFonts w:hint="eastAsia" w:ascii="宋体" w:hAnsi="宋体"/>
          <w:color w:val="auto"/>
        </w:rPr>
        <w:t>表3.</w:t>
      </w:r>
      <w:r>
        <w:rPr>
          <w:rFonts w:ascii="宋体" w:hAnsi="宋体"/>
          <w:color w:val="auto"/>
        </w:rPr>
        <w:t>3-5</w:t>
      </w:r>
      <w:r>
        <w:rPr>
          <w:rFonts w:hint="eastAsia" w:ascii="宋体" w:hAnsi="宋体"/>
          <w:color w:val="auto"/>
        </w:rPr>
        <w:t xml:space="preserve"> GB18218-2018表1列出的物质</w:t>
      </w:r>
    </w:p>
    <w:tbl>
      <w:tblPr>
        <w:tblStyle w:val="31"/>
        <w:tblW w:w="47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127"/>
        <w:gridCol w:w="3246"/>
        <w:gridCol w:w="1986"/>
        <w:gridCol w:w="20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8" w:space="0"/>
              <w:left w:val="single" w:color="auto" w:sz="8"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序号</w:t>
            </w:r>
          </w:p>
        </w:tc>
        <w:tc>
          <w:tcPr>
            <w:tcW w:w="1098" w:type="dxa"/>
            <w:tcBorders>
              <w:top w:val="single" w:color="auto" w:sz="8"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顺序号</w:t>
            </w:r>
          </w:p>
        </w:tc>
        <w:tc>
          <w:tcPr>
            <w:tcW w:w="3163" w:type="dxa"/>
            <w:tcBorders>
              <w:top w:val="single" w:color="auto" w:sz="8"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介质名称</w:t>
            </w:r>
          </w:p>
        </w:tc>
        <w:tc>
          <w:tcPr>
            <w:tcW w:w="1935" w:type="dxa"/>
            <w:tcBorders>
              <w:top w:val="single" w:color="auto" w:sz="8"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CAS号</w:t>
            </w:r>
          </w:p>
        </w:tc>
        <w:tc>
          <w:tcPr>
            <w:tcW w:w="1993" w:type="dxa"/>
            <w:tcBorders>
              <w:top w:val="single" w:color="auto" w:sz="8" w:space="0"/>
              <w:left w:val="single" w:color="auto" w:sz="4" w:space="0"/>
              <w:bottom w:val="single" w:color="auto" w:sz="4" w:space="0"/>
              <w:right w:val="single" w:color="auto" w:sz="8" w:space="0"/>
            </w:tcBorders>
            <w:vAlign w:val="center"/>
          </w:tcPr>
          <w:p>
            <w:pPr>
              <w:jc w:val="center"/>
              <w:rPr>
                <w:rFonts w:ascii="宋体" w:hAnsi="宋体"/>
                <w:color w:val="auto"/>
              </w:rPr>
            </w:pPr>
            <w:r>
              <w:rPr>
                <w:rFonts w:hint="eastAsia" w:ascii="宋体" w:hAnsi="宋体"/>
                <w:color w:val="auto"/>
              </w:rPr>
              <w:t>临界量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1</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液氨（氨气）</w:t>
            </w:r>
          </w:p>
        </w:tc>
        <w:tc>
          <w:tcPr>
            <w:tcW w:w="193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7664-41-7</w:t>
            </w:r>
          </w:p>
        </w:tc>
        <w:tc>
          <w:tcPr>
            <w:tcW w:w="1993" w:type="dxa"/>
            <w:tcBorders>
              <w:top w:val="single" w:color="auto" w:sz="4" w:space="0"/>
              <w:left w:val="single" w:color="auto" w:sz="4" w:space="0"/>
              <w:bottom w:val="single" w:color="auto" w:sz="4" w:space="0"/>
              <w:right w:val="single" w:color="auto" w:sz="8" w:space="0"/>
            </w:tcBorders>
            <w:vAlign w:val="center"/>
          </w:tcPr>
          <w:p>
            <w:pPr>
              <w:jc w:val="center"/>
              <w:rPr>
                <w:rFonts w:ascii="宋体" w:hAnsi="宋体"/>
                <w:color w:val="auto"/>
              </w:rPr>
            </w:pPr>
            <w:r>
              <w:rPr>
                <w:rFonts w:hint="eastAsia" w:ascii="宋体" w:hAnsi="宋体"/>
                <w:color w:val="auto"/>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65</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甲醇</w:t>
            </w:r>
          </w:p>
        </w:tc>
        <w:tc>
          <w:tcPr>
            <w:tcW w:w="193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67-56-1</w:t>
            </w:r>
          </w:p>
        </w:tc>
        <w:tc>
          <w:tcPr>
            <w:tcW w:w="1993" w:type="dxa"/>
            <w:tcBorders>
              <w:top w:val="single" w:color="auto" w:sz="4" w:space="0"/>
              <w:left w:val="single" w:color="auto" w:sz="4" w:space="0"/>
              <w:bottom w:val="single" w:color="auto" w:sz="4" w:space="0"/>
              <w:right w:val="single" w:color="auto" w:sz="8" w:space="0"/>
            </w:tcBorders>
            <w:vAlign w:val="center"/>
          </w:tcPr>
          <w:p>
            <w:pPr>
              <w:jc w:val="center"/>
              <w:rPr>
                <w:rFonts w:ascii="宋体" w:hAnsi="宋体"/>
                <w:color w:val="auto"/>
              </w:rPr>
            </w:pPr>
            <w:r>
              <w:rPr>
                <w:rFonts w:hint="eastAsia" w:ascii="宋体" w:hAnsi="宋体"/>
                <w:color w:val="auto"/>
              </w:rPr>
              <w:t>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37</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kern w:val="0"/>
              </w:rPr>
            </w:pPr>
            <w:r>
              <w:rPr>
                <w:rFonts w:hint="eastAsia" w:ascii="宋体" w:hAnsi="宋体"/>
                <w:color w:val="auto"/>
                <w:kern w:val="0"/>
              </w:rPr>
              <w:t>丙酮</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6</w:t>
            </w:r>
            <w:r>
              <w:rPr>
                <w:rFonts w:ascii="宋体" w:hAnsi="宋体"/>
                <w:color w:val="auto"/>
                <w:kern w:val="0"/>
              </w:rPr>
              <w:t>7-64-1</w:t>
            </w:r>
          </w:p>
        </w:tc>
        <w:tc>
          <w:tcPr>
            <w:tcW w:w="1993" w:type="dxa"/>
            <w:tcBorders>
              <w:top w:val="single" w:color="auto" w:sz="4" w:space="0"/>
              <w:left w:val="single" w:color="auto" w:sz="4" w:space="0"/>
              <w:bottom w:val="single" w:color="auto" w:sz="4" w:space="0"/>
              <w:right w:val="single" w:color="auto" w:sz="8" w:space="0"/>
            </w:tcBorders>
            <w:vAlign w:val="center"/>
          </w:tcPr>
          <w:p>
            <w:pPr>
              <w:widowControl/>
              <w:jc w:val="center"/>
              <w:rPr>
                <w:rFonts w:ascii="宋体" w:hAnsi="宋体"/>
                <w:color w:val="auto"/>
                <w:kern w:val="0"/>
              </w:rPr>
            </w:pPr>
            <w:r>
              <w:rPr>
                <w:rFonts w:hint="eastAsia" w:ascii="宋体" w:hAnsi="宋体"/>
                <w:color w:val="auto"/>
                <w:kern w:val="0"/>
              </w:rPr>
              <w:t>5</w:t>
            </w:r>
            <w:r>
              <w:rPr>
                <w:rFonts w:ascii="宋体" w:hAnsi="宋体"/>
                <w:color w:val="auto"/>
                <w:kern w:val="0"/>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014</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kern w:val="0"/>
              </w:rPr>
            </w:pPr>
            <w:r>
              <w:rPr>
                <w:rFonts w:hint="eastAsia" w:ascii="宋体" w:hAnsi="宋体"/>
                <w:color w:val="auto"/>
                <w:kern w:val="0"/>
              </w:rPr>
              <w:t>甲苯</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08-88-3</w:t>
            </w:r>
          </w:p>
        </w:tc>
        <w:tc>
          <w:tcPr>
            <w:tcW w:w="1993" w:type="dxa"/>
            <w:tcBorders>
              <w:top w:val="single" w:color="auto" w:sz="4" w:space="0"/>
              <w:left w:val="single" w:color="auto" w:sz="4" w:space="0"/>
              <w:bottom w:val="single" w:color="auto" w:sz="4" w:space="0"/>
              <w:right w:val="single" w:color="auto" w:sz="8" w:space="0"/>
            </w:tcBorders>
            <w:vAlign w:val="center"/>
          </w:tcPr>
          <w:p>
            <w:pPr>
              <w:widowControl/>
              <w:jc w:val="center"/>
              <w:rPr>
                <w:rFonts w:ascii="宋体" w:hAnsi="宋体"/>
                <w:color w:val="auto"/>
                <w:kern w:val="0"/>
              </w:rPr>
            </w:pPr>
            <w:r>
              <w:rPr>
                <w:rFonts w:hint="eastAsia" w:ascii="宋体" w:hAnsi="宋体"/>
                <w:color w:val="auto"/>
                <w:kern w:val="0"/>
              </w:rPr>
              <w:t>5</w:t>
            </w:r>
            <w:r>
              <w:rPr>
                <w:rFonts w:ascii="宋体" w:hAnsi="宋体"/>
                <w:color w:val="auto"/>
                <w:kern w:val="0"/>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2</w:t>
            </w:r>
            <w:r>
              <w:rPr>
                <w:rFonts w:ascii="宋体" w:hAnsi="宋体"/>
                <w:color w:val="auto"/>
              </w:rPr>
              <w:t>651</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kern w:val="0"/>
              </w:rPr>
            </w:pPr>
            <w:r>
              <w:rPr>
                <w:rFonts w:hint="eastAsia" w:ascii="宋体" w:hAnsi="宋体"/>
                <w:color w:val="auto"/>
                <w:kern w:val="0"/>
              </w:rPr>
              <w:t>乙酸乙酯</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41-78-6</w:t>
            </w:r>
          </w:p>
        </w:tc>
        <w:tc>
          <w:tcPr>
            <w:tcW w:w="1993" w:type="dxa"/>
            <w:tcBorders>
              <w:top w:val="single" w:color="auto" w:sz="4" w:space="0"/>
              <w:left w:val="single" w:color="auto" w:sz="4" w:space="0"/>
              <w:bottom w:val="single" w:color="auto" w:sz="4" w:space="0"/>
              <w:right w:val="single" w:color="auto" w:sz="8" w:space="0"/>
            </w:tcBorders>
            <w:vAlign w:val="center"/>
          </w:tcPr>
          <w:p>
            <w:pPr>
              <w:widowControl/>
              <w:jc w:val="center"/>
              <w:rPr>
                <w:rFonts w:ascii="宋体" w:hAnsi="宋体"/>
                <w:color w:val="auto"/>
                <w:kern w:val="0"/>
              </w:rPr>
            </w:pPr>
            <w:r>
              <w:rPr>
                <w:rFonts w:hint="eastAsia" w:ascii="宋体" w:hAnsi="宋体"/>
                <w:color w:val="auto"/>
                <w:kern w:val="0"/>
              </w:rPr>
              <w:t>5</w:t>
            </w:r>
            <w:r>
              <w:rPr>
                <w:rFonts w:ascii="宋体" w:hAnsi="宋体"/>
                <w:color w:val="auto"/>
                <w:kern w:val="0"/>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2</w:t>
            </w:r>
            <w:r>
              <w:rPr>
                <w:rFonts w:ascii="宋体" w:hAnsi="宋体"/>
                <w:color w:val="auto"/>
              </w:rPr>
              <w:t>568</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kern w:val="0"/>
              </w:rPr>
            </w:pPr>
            <w:r>
              <w:rPr>
                <w:rFonts w:hint="eastAsia" w:ascii="宋体" w:hAnsi="宋体"/>
                <w:color w:val="auto"/>
                <w:kern w:val="0"/>
              </w:rPr>
              <w:t>乙醇</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6</w:t>
            </w:r>
            <w:r>
              <w:rPr>
                <w:rFonts w:ascii="宋体" w:hAnsi="宋体"/>
                <w:color w:val="auto"/>
                <w:kern w:val="0"/>
              </w:rPr>
              <w:t>4-17-5</w:t>
            </w:r>
          </w:p>
        </w:tc>
        <w:tc>
          <w:tcPr>
            <w:tcW w:w="1993" w:type="dxa"/>
            <w:tcBorders>
              <w:top w:val="single" w:color="auto" w:sz="4" w:space="0"/>
              <w:left w:val="single" w:color="auto" w:sz="4" w:space="0"/>
              <w:bottom w:val="single" w:color="auto" w:sz="4" w:space="0"/>
              <w:right w:val="single" w:color="auto" w:sz="8" w:space="0"/>
            </w:tcBorders>
            <w:vAlign w:val="center"/>
          </w:tcPr>
          <w:p>
            <w:pPr>
              <w:widowControl/>
              <w:jc w:val="center"/>
              <w:rPr>
                <w:rFonts w:ascii="宋体" w:hAnsi="宋体"/>
                <w:color w:val="auto"/>
                <w:kern w:val="0"/>
              </w:rPr>
            </w:pPr>
            <w:r>
              <w:rPr>
                <w:rFonts w:hint="eastAsia" w:ascii="宋体" w:hAnsi="宋体"/>
                <w:color w:val="auto"/>
                <w:kern w:val="0"/>
              </w:rPr>
              <w:t>5</w:t>
            </w:r>
            <w:r>
              <w:rPr>
                <w:rFonts w:ascii="宋体" w:hAnsi="宋体"/>
                <w:color w:val="auto"/>
                <w:kern w:val="0"/>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6" w:type="dxa"/>
            <w:tcBorders>
              <w:top w:val="single" w:color="auto" w:sz="4" w:space="0"/>
              <w:left w:val="single" w:color="auto" w:sz="8" w:space="0"/>
              <w:bottom w:val="single" w:color="auto" w:sz="4" w:space="0"/>
              <w:right w:val="single" w:color="auto" w:sz="4" w:space="0"/>
            </w:tcBorders>
            <w:vAlign w:val="center"/>
          </w:tcPr>
          <w:p>
            <w:pPr>
              <w:numPr>
                <w:ilvl w:val="0"/>
                <w:numId w:val="32"/>
              </w:numPr>
              <w:jc w:val="center"/>
              <w:rPr>
                <w:rFonts w:ascii="宋体" w:hAnsi="宋体"/>
                <w:color w:val="auto"/>
              </w:rPr>
            </w:pPr>
          </w:p>
        </w:tc>
        <w:tc>
          <w:tcPr>
            <w:tcW w:w="10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rPr>
            </w:pPr>
            <w:r>
              <w:rPr>
                <w:rFonts w:hint="eastAsia" w:ascii="宋体" w:hAnsi="宋体"/>
                <w:color w:val="auto"/>
              </w:rPr>
              <w:t>1</w:t>
            </w:r>
            <w:r>
              <w:rPr>
                <w:rFonts w:ascii="宋体" w:hAnsi="宋体"/>
                <w:color w:val="auto"/>
              </w:rPr>
              <w:t>648</w:t>
            </w:r>
          </w:p>
        </w:tc>
        <w:tc>
          <w:tcPr>
            <w:tcW w:w="316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kern w:val="0"/>
              </w:rPr>
            </w:pPr>
            <w:r>
              <w:rPr>
                <w:rFonts w:hint="eastAsia" w:ascii="宋体" w:hAnsi="宋体"/>
                <w:color w:val="auto"/>
                <w:kern w:val="0"/>
              </w:rPr>
              <w:t>氢气</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olor w:val="auto"/>
                <w:kern w:val="0"/>
              </w:rPr>
            </w:pPr>
            <w:r>
              <w:rPr>
                <w:rFonts w:hint="eastAsia" w:ascii="宋体" w:hAnsi="宋体"/>
                <w:color w:val="auto"/>
                <w:kern w:val="0"/>
              </w:rPr>
              <w:t>1</w:t>
            </w:r>
            <w:r>
              <w:rPr>
                <w:rFonts w:ascii="宋体" w:hAnsi="宋体"/>
                <w:color w:val="auto"/>
                <w:kern w:val="0"/>
              </w:rPr>
              <w:t>333-74-0</w:t>
            </w:r>
          </w:p>
        </w:tc>
        <w:tc>
          <w:tcPr>
            <w:tcW w:w="1993" w:type="dxa"/>
            <w:tcBorders>
              <w:top w:val="single" w:color="auto" w:sz="4" w:space="0"/>
              <w:left w:val="single" w:color="auto" w:sz="4" w:space="0"/>
              <w:bottom w:val="single" w:color="auto" w:sz="4" w:space="0"/>
              <w:right w:val="single" w:color="auto" w:sz="8" w:space="0"/>
            </w:tcBorders>
            <w:vAlign w:val="center"/>
          </w:tcPr>
          <w:p>
            <w:pPr>
              <w:widowControl/>
              <w:jc w:val="center"/>
              <w:rPr>
                <w:rFonts w:ascii="宋体" w:hAnsi="宋体"/>
                <w:color w:val="auto"/>
                <w:kern w:val="0"/>
              </w:rPr>
            </w:pPr>
            <w:r>
              <w:rPr>
                <w:rFonts w:hint="eastAsia" w:ascii="宋体" w:hAnsi="宋体"/>
                <w:color w:val="auto"/>
                <w:kern w:val="0"/>
              </w:rPr>
              <w:t>5</w:t>
            </w:r>
          </w:p>
        </w:tc>
      </w:tr>
    </w:tbl>
    <w:p>
      <w:pPr>
        <w:jc w:val="center"/>
        <w:rPr>
          <w:rFonts w:ascii="宋体" w:hAnsi="宋体"/>
          <w:color w:val="auto"/>
        </w:rPr>
      </w:pPr>
      <w:r>
        <w:rPr>
          <w:rFonts w:hint="eastAsia" w:ascii="宋体" w:hAnsi="宋体"/>
          <w:color w:val="auto"/>
        </w:rPr>
        <w:t>表3.</w:t>
      </w:r>
      <w:r>
        <w:rPr>
          <w:rFonts w:ascii="宋体" w:hAnsi="宋体"/>
          <w:color w:val="auto"/>
        </w:rPr>
        <w:t>3-6</w:t>
      </w:r>
      <w:r>
        <w:rPr>
          <w:rFonts w:hint="eastAsia" w:ascii="宋体" w:hAnsi="宋体"/>
          <w:color w:val="auto"/>
        </w:rPr>
        <w:t xml:space="preserve"> GB18218-2018表2列出的物质临界量</w:t>
      </w:r>
    </w:p>
    <w:tbl>
      <w:tblPr>
        <w:tblStyle w:val="3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1652"/>
        <w:gridCol w:w="1276"/>
        <w:gridCol w:w="2268"/>
        <w:gridCol w:w="709"/>
        <w:gridCol w:w="708"/>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序号</w:t>
            </w:r>
          </w:p>
        </w:tc>
        <w:tc>
          <w:tcPr>
            <w:tcW w:w="1652"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名称</w:t>
            </w:r>
          </w:p>
        </w:tc>
        <w:tc>
          <w:tcPr>
            <w:tcW w:w="1276"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CAS</w:t>
            </w:r>
          </w:p>
        </w:tc>
        <w:tc>
          <w:tcPr>
            <w:tcW w:w="226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危险性分类及说明</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类别符号</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临界量t</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restart"/>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restart"/>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四氢呋喃</w:t>
            </w:r>
          </w:p>
        </w:tc>
        <w:tc>
          <w:tcPr>
            <w:tcW w:w="1276" w:type="dxa"/>
            <w:vMerge w:val="restart"/>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09-99-9</w:t>
            </w:r>
          </w:p>
        </w:tc>
        <w:tc>
          <w:tcPr>
            <w:tcW w:w="2268" w:type="dxa"/>
            <w:vMerge w:val="restart"/>
            <w:vAlign w:val="center"/>
          </w:tcPr>
          <w:p>
            <w:pPr>
              <w:spacing w:line="280" w:lineRule="exact"/>
              <w:jc w:val="center"/>
              <w:rPr>
                <w:rFonts w:ascii="宋体" w:hAnsi="宋体"/>
                <w:color w:val="auto"/>
                <w:kern w:val="0"/>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高于沸点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continue"/>
            <w:vAlign w:val="center"/>
          </w:tcPr>
          <w:p>
            <w:pPr>
              <w:pStyle w:val="74"/>
              <w:snapToGrid w:val="0"/>
              <w:spacing w:line="280" w:lineRule="exact"/>
              <w:rPr>
                <w:rFonts w:ascii="宋体" w:hAnsi="宋体"/>
                <w:color w:val="auto"/>
                <w:sz w:val="18"/>
                <w:szCs w:val="18"/>
              </w:rPr>
            </w:pPr>
          </w:p>
        </w:tc>
        <w:tc>
          <w:tcPr>
            <w:tcW w:w="1276" w:type="dxa"/>
            <w:vMerge w:val="continue"/>
            <w:vAlign w:val="center"/>
          </w:tcPr>
          <w:p>
            <w:pPr>
              <w:pStyle w:val="74"/>
              <w:snapToGrid w:val="0"/>
              <w:spacing w:line="280" w:lineRule="exact"/>
              <w:rPr>
                <w:rFonts w:ascii="宋体" w:hAnsi="宋体"/>
                <w:color w:val="auto"/>
                <w:sz w:val="18"/>
                <w:szCs w:val="18"/>
              </w:rPr>
            </w:pPr>
          </w:p>
        </w:tc>
        <w:tc>
          <w:tcPr>
            <w:tcW w:w="2268" w:type="dxa"/>
            <w:vMerge w:val="continue"/>
            <w:vAlign w:val="center"/>
          </w:tcPr>
          <w:p>
            <w:pPr>
              <w:spacing w:line="280" w:lineRule="exact"/>
              <w:jc w:val="center"/>
              <w:rPr>
                <w:color w:val="auto"/>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W5.2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磺酰化工艺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continue"/>
            <w:vAlign w:val="center"/>
          </w:tcPr>
          <w:p>
            <w:pPr>
              <w:pStyle w:val="74"/>
              <w:snapToGrid w:val="0"/>
              <w:spacing w:line="280" w:lineRule="exact"/>
              <w:rPr>
                <w:rFonts w:ascii="宋体" w:hAnsi="宋体"/>
                <w:color w:val="auto"/>
                <w:sz w:val="18"/>
                <w:szCs w:val="18"/>
              </w:rPr>
            </w:pPr>
          </w:p>
        </w:tc>
        <w:tc>
          <w:tcPr>
            <w:tcW w:w="1276" w:type="dxa"/>
            <w:vMerge w:val="continue"/>
            <w:vAlign w:val="center"/>
          </w:tcPr>
          <w:p>
            <w:pPr>
              <w:pStyle w:val="74"/>
              <w:snapToGrid w:val="0"/>
              <w:spacing w:line="280" w:lineRule="exact"/>
              <w:rPr>
                <w:rFonts w:ascii="宋体" w:hAnsi="宋体"/>
                <w:color w:val="auto"/>
                <w:sz w:val="18"/>
                <w:szCs w:val="18"/>
              </w:rPr>
            </w:pPr>
          </w:p>
        </w:tc>
        <w:tc>
          <w:tcPr>
            <w:tcW w:w="2268" w:type="dxa"/>
            <w:vMerge w:val="continue"/>
            <w:vAlign w:val="center"/>
          </w:tcPr>
          <w:p>
            <w:pPr>
              <w:spacing w:line="280" w:lineRule="exact"/>
              <w:jc w:val="center"/>
              <w:rPr>
                <w:rFonts w:ascii="宋体" w:hAnsi="宋体"/>
                <w:color w:val="auto"/>
                <w:kern w:val="0"/>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restart"/>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restart"/>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三乙胺</w:t>
            </w:r>
          </w:p>
        </w:tc>
        <w:tc>
          <w:tcPr>
            <w:tcW w:w="1276" w:type="dxa"/>
            <w:vMerge w:val="restart"/>
            <w:vAlign w:val="center"/>
          </w:tcPr>
          <w:p>
            <w:pPr>
              <w:pStyle w:val="74"/>
              <w:snapToGrid w:val="0"/>
              <w:spacing w:line="280" w:lineRule="exact"/>
              <w:rPr>
                <w:rFonts w:ascii="宋体" w:hAnsi="宋体"/>
                <w:color w:val="auto"/>
                <w:kern w:val="0"/>
                <w:sz w:val="18"/>
                <w:szCs w:val="18"/>
              </w:rPr>
            </w:pPr>
            <w:r>
              <w:rPr>
                <w:rFonts w:hint="eastAsia" w:ascii="宋体" w:hAnsi="宋体"/>
                <w:color w:val="auto"/>
                <w:sz w:val="18"/>
                <w:szCs w:val="18"/>
              </w:rPr>
              <w:t>1</w:t>
            </w:r>
            <w:r>
              <w:rPr>
                <w:rFonts w:ascii="宋体" w:hAnsi="宋体"/>
                <w:color w:val="auto"/>
                <w:sz w:val="18"/>
                <w:szCs w:val="18"/>
              </w:rPr>
              <w:t>21-44-8</w:t>
            </w:r>
          </w:p>
        </w:tc>
        <w:tc>
          <w:tcPr>
            <w:tcW w:w="2268" w:type="dxa"/>
            <w:vMerge w:val="restart"/>
            <w:vAlign w:val="center"/>
          </w:tcPr>
          <w:p>
            <w:pPr>
              <w:spacing w:line="280" w:lineRule="exact"/>
              <w:jc w:val="center"/>
              <w:rPr>
                <w:color w:val="auto"/>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W5.2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磺酰化工艺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widowControl/>
              <w:spacing w:line="280" w:lineRule="exact"/>
              <w:jc w:val="center"/>
              <w:rPr>
                <w:rFonts w:ascii="宋体" w:hAnsi="宋体" w:cs="Calibri"/>
                <w:color w:val="auto"/>
                <w:sz w:val="18"/>
                <w:szCs w:val="18"/>
              </w:rPr>
            </w:pPr>
          </w:p>
        </w:tc>
        <w:tc>
          <w:tcPr>
            <w:tcW w:w="1652" w:type="dxa"/>
            <w:vMerge w:val="continue"/>
            <w:vAlign w:val="center"/>
          </w:tcPr>
          <w:p>
            <w:pPr>
              <w:widowControl/>
              <w:spacing w:line="280" w:lineRule="exact"/>
              <w:jc w:val="center"/>
              <w:rPr>
                <w:rFonts w:ascii="宋体" w:hAnsi="宋体"/>
                <w:color w:val="auto"/>
                <w:sz w:val="18"/>
                <w:szCs w:val="18"/>
              </w:rPr>
            </w:pPr>
          </w:p>
        </w:tc>
        <w:tc>
          <w:tcPr>
            <w:tcW w:w="1276" w:type="dxa"/>
            <w:vMerge w:val="continue"/>
            <w:vAlign w:val="center"/>
          </w:tcPr>
          <w:p>
            <w:pPr>
              <w:widowControl/>
              <w:spacing w:line="280" w:lineRule="exact"/>
              <w:jc w:val="center"/>
              <w:rPr>
                <w:rFonts w:ascii="宋体" w:hAnsi="宋体"/>
                <w:color w:val="auto"/>
                <w:kern w:val="0"/>
                <w:sz w:val="18"/>
                <w:szCs w:val="18"/>
              </w:rPr>
            </w:pPr>
          </w:p>
        </w:tc>
        <w:tc>
          <w:tcPr>
            <w:tcW w:w="2268" w:type="dxa"/>
            <w:vMerge w:val="continue"/>
            <w:vAlign w:val="center"/>
          </w:tcPr>
          <w:p>
            <w:pPr>
              <w:widowControl/>
              <w:spacing w:line="280" w:lineRule="exact"/>
              <w:jc w:val="center"/>
              <w:rPr>
                <w:rFonts w:ascii="宋体" w:hAnsi="宋体" w:cs="Calibri"/>
                <w:color w:val="auto"/>
                <w:kern w:val="0"/>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叔丁醇</w:t>
            </w:r>
          </w:p>
        </w:tc>
        <w:tc>
          <w:tcPr>
            <w:tcW w:w="1276" w:type="dxa"/>
            <w:vAlign w:val="center"/>
          </w:tcPr>
          <w:p>
            <w:pPr>
              <w:pStyle w:val="74"/>
              <w:snapToGrid w:val="0"/>
              <w:spacing w:line="280" w:lineRule="exact"/>
              <w:rPr>
                <w:rFonts w:ascii="宋体" w:hAnsi="宋体"/>
                <w:color w:val="auto"/>
                <w:sz w:val="18"/>
                <w:szCs w:val="18"/>
              </w:rPr>
            </w:pPr>
            <w:r>
              <w:rPr>
                <w:rFonts w:hint="eastAsia" w:ascii="宋体" w:hAnsi="宋体"/>
                <w:color w:val="auto"/>
                <w:kern w:val="0"/>
                <w:sz w:val="18"/>
                <w:szCs w:val="18"/>
              </w:rPr>
              <w:t>7</w:t>
            </w:r>
            <w:r>
              <w:rPr>
                <w:rFonts w:ascii="宋体" w:hAnsi="宋体"/>
                <w:color w:val="auto"/>
                <w:kern w:val="0"/>
                <w:sz w:val="18"/>
                <w:szCs w:val="18"/>
              </w:rPr>
              <w:t>5-65-0</w:t>
            </w:r>
          </w:p>
        </w:tc>
        <w:tc>
          <w:tcPr>
            <w:tcW w:w="2268" w:type="dxa"/>
            <w:vAlign w:val="center"/>
          </w:tcPr>
          <w:p>
            <w:pPr>
              <w:spacing w:line="280" w:lineRule="exact"/>
              <w:jc w:val="center"/>
              <w:rPr>
                <w:color w:val="auto"/>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restart"/>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restart"/>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石油醚</w:t>
            </w:r>
          </w:p>
        </w:tc>
        <w:tc>
          <w:tcPr>
            <w:tcW w:w="1276" w:type="dxa"/>
            <w:vMerge w:val="restart"/>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8</w:t>
            </w:r>
            <w:r>
              <w:rPr>
                <w:rFonts w:ascii="宋体" w:hAnsi="宋体"/>
                <w:color w:val="auto"/>
                <w:kern w:val="0"/>
                <w:sz w:val="18"/>
                <w:szCs w:val="18"/>
              </w:rPr>
              <w:t>032-32-4</w:t>
            </w:r>
          </w:p>
        </w:tc>
        <w:tc>
          <w:tcPr>
            <w:tcW w:w="2268" w:type="dxa"/>
            <w:vMerge w:val="restart"/>
            <w:vAlign w:val="center"/>
          </w:tcPr>
          <w:p>
            <w:pPr>
              <w:spacing w:line="280" w:lineRule="exact"/>
              <w:jc w:val="center"/>
              <w:rPr>
                <w:rFonts w:ascii="宋体" w:hAnsi="宋体"/>
                <w:color w:val="auto"/>
                <w:kern w:val="0"/>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高于沸点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continue"/>
            <w:vAlign w:val="center"/>
          </w:tcPr>
          <w:p>
            <w:pPr>
              <w:pStyle w:val="74"/>
              <w:snapToGrid w:val="0"/>
              <w:spacing w:line="280" w:lineRule="exact"/>
              <w:rPr>
                <w:rFonts w:ascii="宋体" w:hAnsi="宋体"/>
                <w:color w:val="auto"/>
                <w:sz w:val="18"/>
                <w:szCs w:val="18"/>
              </w:rPr>
            </w:pPr>
          </w:p>
        </w:tc>
        <w:tc>
          <w:tcPr>
            <w:tcW w:w="1276" w:type="dxa"/>
            <w:vMerge w:val="continue"/>
            <w:vAlign w:val="center"/>
          </w:tcPr>
          <w:p>
            <w:pPr>
              <w:pStyle w:val="74"/>
              <w:snapToGrid w:val="0"/>
              <w:spacing w:line="280" w:lineRule="exact"/>
              <w:rPr>
                <w:rFonts w:ascii="宋体" w:hAnsi="宋体"/>
                <w:color w:val="auto"/>
                <w:sz w:val="18"/>
                <w:szCs w:val="18"/>
              </w:rPr>
            </w:pPr>
          </w:p>
        </w:tc>
        <w:tc>
          <w:tcPr>
            <w:tcW w:w="2268" w:type="dxa"/>
            <w:vMerge w:val="continue"/>
            <w:vAlign w:val="center"/>
          </w:tcPr>
          <w:p>
            <w:pPr>
              <w:spacing w:line="280" w:lineRule="exact"/>
              <w:jc w:val="center"/>
              <w:rPr>
                <w:color w:val="auto"/>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双氧水</w:t>
            </w:r>
          </w:p>
        </w:tc>
        <w:tc>
          <w:tcPr>
            <w:tcW w:w="1276" w:type="dxa"/>
            <w:vAlign w:val="center"/>
          </w:tcPr>
          <w:p>
            <w:pPr>
              <w:pStyle w:val="74"/>
              <w:snapToGrid w:val="0"/>
              <w:spacing w:line="280" w:lineRule="exact"/>
              <w:rPr>
                <w:rFonts w:ascii="宋体" w:hAnsi="宋体"/>
                <w:color w:val="auto"/>
                <w:sz w:val="18"/>
                <w:szCs w:val="18"/>
              </w:rPr>
            </w:pPr>
            <w:r>
              <w:rPr>
                <w:rFonts w:hint="eastAsia" w:ascii="宋体" w:hAnsi="宋体"/>
                <w:color w:val="auto"/>
                <w:kern w:val="0"/>
                <w:sz w:val="18"/>
                <w:szCs w:val="18"/>
              </w:rPr>
              <w:t>7</w:t>
            </w:r>
            <w:r>
              <w:rPr>
                <w:rFonts w:ascii="宋体" w:hAnsi="宋体"/>
                <w:color w:val="auto"/>
                <w:kern w:val="0"/>
                <w:sz w:val="18"/>
                <w:szCs w:val="18"/>
              </w:rPr>
              <w:t>722-84-1</w:t>
            </w:r>
          </w:p>
        </w:tc>
        <w:tc>
          <w:tcPr>
            <w:tcW w:w="2268" w:type="dxa"/>
            <w:vAlign w:val="center"/>
          </w:tcPr>
          <w:p>
            <w:pPr>
              <w:spacing w:line="280" w:lineRule="exact"/>
              <w:jc w:val="center"/>
              <w:rPr>
                <w:color w:val="auto"/>
                <w:sz w:val="18"/>
                <w:szCs w:val="18"/>
              </w:rPr>
            </w:pPr>
            <w:r>
              <w:rPr>
                <w:rFonts w:hint="eastAsia" w:ascii="宋体" w:hAnsi="宋体"/>
                <w:color w:val="auto"/>
                <w:kern w:val="0"/>
                <w:sz w:val="18"/>
                <w:szCs w:val="18"/>
              </w:rPr>
              <w:t>氧化性液体,类别2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9.2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甲基磺酰氯</w:t>
            </w:r>
          </w:p>
        </w:tc>
        <w:tc>
          <w:tcPr>
            <w:tcW w:w="1276" w:type="dxa"/>
            <w:vAlign w:val="center"/>
          </w:tcPr>
          <w:p>
            <w:pPr>
              <w:pStyle w:val="74"/>
              <w:snapToGrid w:val="0"/>
              <w:spacing w:line="280" w:lineRule="exact"/>
              <w:rPr>
                <w:rFonts w:ascii="宋体" w:hAnsi="宋体"/>
                <w:color w:val="auto"/>
                <w:sz w:val="18"/>
                <w:szCs w:val="18"/>
              </w:rPr>
            </w:pPr>
            <w:r>
              <w:rPr>
                <w:rFonts w:hint="eastAsia" w:ascii="宋体" w:hAnsi="宋体"/>
                <w:color w:val="auto"/>
                <w:kern w:val="0"/>
                <w:sz w:val="18"/>
                <w:szCs w:val="18"/>
              </w:rPr>
              <w:t>1</w:t>
            </w:r>
            <w:r>
              <w:rPr>
                <w:rFonts w:ascii="宋体" w:hAnsi="宋体"/>
                <w:color w:val="auto"/>
                <w:kern w:val="0"/>
                <w:sz w:val="18"/>
                <w:szCs w:val="18"/>
              </w:rPr>
              <w:t>24-63-0</w:t>
            </w:r>
          </w:p>
        </w:tc>
        <w:tc>
          <w:tcPr>
            <w:tcW w:w="2268" w:type="dxa"/>
            <w:vAlign w:val="center"/>
          </w:tcPr>
          <w:p>
            <w:pPr>
              <w:spacing w:line="280" w:lineRule="exact"/>
              <w:jc w:val="center"/>
              <w:rPr>
                <w:color w:val="auto"/>
                <w:sz w:val="18"/>
                <w:szCs w:val="18"/>
              </w:rPr>
            </w:pPr>
            <w:r>
              <w:rPr>
                <w:rFonts w:hint="eastAsia" w:ascii="宋体" w:hAnsi="宋体"/>
                <w:color w:val="auto"/>
                <w:kern w:val="0"/>
                <w:sz w:val="18"/>
                <w:szCs w:val="18"/>
              </w:rPr>
              <w:t>急性毒性-吸入,类别1</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J</w:t>
            </w:r>
            <w:r>
              <w:rPr>
                <w:rFonts w:ascii="宋体" w:hAnsi="宋体"/>
                <w:color w:val="auto"/>
                <w:sz w:val="18"/>
                <w:szCs w:val="18"/>
              </w:rPr>
              <w:t>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restart"/>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restart"/>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丁酮</w:t>
            </w:r>
          </w:p>
        </w:tc>
        <w:tc>
          <w:tcPr>
            <w:tcW w:w="1276" w:type="dxa"/>
            <w:vMerge w:val="restart"/>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7</w:t>
            </w:r>
            <w:r>
              <w:rPr>
                <w:rFonts w:ascii="宋体" w:hAnsi="宋体"/>
                <w:color w:val="auto"/>
                <w:kern w:val="0"/>
                <w:sz w:val="18"/>
                <w:szCs w:val="18"/>
              </w:rPr>
              <w:t>8-93-3</w:t>
            </w:r>
          </w:p>
        </w:tc>
        <w:tc>
          <w:tcPr>
            <w:tcW w:w="2268" w:type="dxa"/>
            <w:vMerge w:val="restart"/>
            <w:vAlign w:val="center"/>
          </w:tcPr>
          <w:p>
            <w:pPr>
              <w:spacing w:line="280" w:lineRule="exact"/>
              <w:jc w:val="center"/>
              <w:rPr>
                <w:rFonts w:ascii="宋体" w:hAnsi="宋体"/>
                <w:color w:val="auto"/>
                <w:kern w:val="0"/>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高于沸点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continue"/>
            <w:vAlign w:val="center"/>
          </w:tcPr>
          <w:p>
            <w:pPr>
              <w:pStyle w:val="74"/>
              <w:snapToGrid w:val="0"/>
              <w:spacing w:line="280" w:lineRule="exact"/>
              <w:rPr>
                <w:rFonts w:ascii="宋体" w:hAnsi="宋体"/>
                <w:color w:val="auto"/>
                <w:sz w:val="18"/>
                <w:szCs w:val="18"/>
              </w:rPr>
            </w:pPr>
          </w:p>
        </w:tc>
        <w:tc>
          <w:tcPr>
            <w:tcW w:w="1276" w:type="dxa"/>
            <w:vMerge w:val="continue"/>
            <w:vAlign w:val="center"/>
          </w:tcPr>
          <w:p>
            <w:pPr>
              <w:pStyle w:val="74"/>
              <w:snapToGrid w:val="0"/>
              <w:spacing w:line="280" w:lineRule="exact"/>
              <w:rPr>
                <w:rFonts w:ascii="宋体" w:hAnsi="宋体"/>
                <w:color w:val="auto"/>
                <w:sz w:val="18"/>
                <w:szCs w:val="18"/>
              </w:rPr>
            </w:pPr>
          </w:p>
        </w:tc>
        <w:tc>
          <w:tcPr>
            <w:tcW w:w="2268" w:type="dxa"/>
            <w:vMerge w:val="continue"/>
            <w:vAlign w:val="center"/>
          </w:tcPr>
          <w:p>
            <w:pPr>
              <w:spacing w:line="280" w:lineRule="exact"/>
              <w:jc w:val="center"/>
              <w:rPr>
                <w:color w:val="auto"/>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W5.2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50</w:t>
            </w:r>
          </w:p>
        </w:tc>
        <w:tc>
          <w:tcPr>
            <w:tcW w:w="1513"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磺酰化工艺、氧化工艺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4" w:type="dxa"/>
            <w:vMerge w:val="continue"/>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Merge w:val="continue"/>
            <w:vAlign w:val="center"/>
          </w:tcPr>
          <w:p>
            <w:pPr>
              <w:pStyle w:val="74"/>
              <w:snapToGrid w:val="0"/>
              <w:spacing w:line="280" w:lineRule="exact"/>
              <w:rPr>
                <w:rFonts w:ascii="宋体" w:hAnsi="宋体"/>
                <w:color w:val="auto"/>
                <w:sz w:val="18"/>
                <w:szCs w:val="18"/>
              </w:rPr>
            </w:pPr>
          </w:p>
        </w:tc>
        <w:tc>
          <w:tcPr>
            <w:tcW w:w="1276" w:type="dxa"/>
            <w:vMerge w:val="continue"/>
            <w:vAlign w:val="center"/>
          </w:tcPr>
          <w:p>
            <w:pPr>
              <w:pStyle w:val="74"/>
              <w:snapToGrid w:val="0"/>
              <w:spacing w:line="280" w:lineRule="exact"/>
              <w:rPr>
                <w:rFonts w:ascii="宋体" w:hAnsi="宋体"/>
                <w:color w:val="auto"/>
                <w:kern w:val="0"/>
                <w:sz w:val="18"/>
                <w:szCs w:val="18"/>
              </w:rPr>
            </w:pPr>
          </w:p>
        </w:tc>
        <w:tc>
          <w:tcPr>
            <w:tcW w:w="2268" w:type="dxa"/>
            <w:vMerge w:val="continue"/>
            <w:vAlign w:val="center"/>
          </w:tcPr>
          <w:p>
            <w:pPr>
              <w:spacing w:line="280" w:lineRule="exact"/>
              <w:jc w:val="center"/>
              <w:rPr>
                <w:rFonts w:ascii="宋体" w:hAnsi="宋体"/>
                <w:color w:val="auto"/>
                <w:kern w:val="0"/>
                <w:sz w:val="18"/>
                <w:szCs w:val="18"/>
              </w:rPr>
            </w:pP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DMF</w:t>
            </w:r>
          </w:p>
        </w:tc>
        <w:tc>
          <w:tcPr>
            <w:tcW w:w="1276" w:type="dxa"/>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6</w:t>
            </w:r>
            <w:r>
              <w:rPr>
                <w:rFonts w:ascii="宋体" w:hAnsi="宋体"/>
                <w:color w:val="auto"/>
                <w:kern w:val="0"/>
                <w:sz w:val="18"/>
                <w:szCs w:val="18"/>
              </w:rPr>
              <w:t>8-12-2</w:t>
            </w:r>
          </w:p>
        </w:tc>
        <w:tc>
          <w:tcPr>
            <w:tcW w:w="2268" w:type="dxa"/>
            <w:vAlign w:val="center"/>
          </w:tcPr>
          <w:p>
            <w:pPr>
              <w:spacing w:line="280" w:lineRule="exact"/>
              <w:jc w:val="center"/>
              <w:rPr>
                <w:rFonts w:ascii="宋体" w:hAnsi="宋体"/>
                <w:color w:val="auto"/>
                <w:kern w:val="0"/>
                <w:sz w:val="18"/>
                <w:szCs w:val="18"/>
              </w:rPr>
            </w:pPr>
            <w:r>
              <w:rPr>
                <w:rFonts w:hint="eastAsia" w:ascii="宋体" w:hAnsi="宋体"/>
                <w:color w:val="auto"/>
                <w:kern w:val="0"/>
                <w:sz w:val="18"/>
                <w:szCs w:val="18"/>
              </w:rPr>
              <w:t>易燃液体,类别3</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W5.4</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间氯过氧苯甲酸</w:t>
            </w:r>
          </w:p>
        </w:tc>
        <w:tc>
          <w:tcPr>
            <w:tcW w:w="1276" w:type="dxa"/>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9</w:t>
            </w:r>
            <w:r>
              <w:rPr>
                <w:rFonts w:ascii="宋体" w:hAnsi="宋体"/>
                <w:color w:val="auto"/>
                <w:kern w:val="0"/>
                <w:sz w:val="18"/>
                <w:szCs w:val="18"/>
              </w:rPr>
              <w:t>37-14-4</w:t>
            </w:r>
          </w:p>
        </w:tc>
        <w:tc>
          <w:tcPr>
            <w:tcW w:w="2268" w:type="dxa"/>
            <w:vAlign w:val="center"/>
          </w:tcPr>
          <w:p>
            <w:pPr>
              <w:spacing w:line="280" w:lineRule="exact"/>
              <w:jc w:val="center"/>
              <w:rPr>
                <w:color w:val="auto"/>
                <w:sz w:val="18"/>
                <w:szCs w:val="18"/>
              </w:rPr>
            </w:pPr>
            <w:r>
              <w:rPr>
                <w:rFonts w:hint="eastAsia" w:ascii="宋体" w:hAnsi="宋体"/>
                <w:color w:val="auto"/>
                <w:kern w:val="0"/>
                <w:sz w:val="18"/>
                <w:szCs w:val="18"/>
              </w:rPr>
              <w:t>有机过氧化物,D型</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7.2</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异丙醇</w:t>
            </w:r>
          </w:p>
        </w:tc>
        <w:tc>
          <w:tcPr>
            <w:tcW w:w="1276" w:type="dxa"/>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6</w:t>
            </w:r>
            <w:r>
              <w:rPr>
                <w:rFonts w:ascii="宋体" w:hAnsi="宋体"/>
                <w:color w:val="auto"/>
                <w:kern w:val="0"/>
                <w:sz w:val="18"/>
                <w:szCs w:val="18"/>
              </w:rPr>
              <w:t>7-63-0</w:t>
            </w:r>
          </w:p>
        </w:tc>
        <w:tc>
          <w:tcPr>
            <w:tcW w:w="2268" w:type="dxa"/>
            <w:vAlign w:val="center"/>
          </w:tcPr>
          <w:p>
            <w:pPr>
              <w:spacing w:line="280" w:lineRule="exact"/>
              <w:jc w:val="center"/>
              <w:rPr>
                <w:color w:val="auto"/>
                <w:sz w:val="18"/>
                <w:szCs w:val="18"/>
              </w:rPr>
            </w:pPr>
            <w:r>
              <w:rPr>
                <w:rFonts w:hint="eastAsia" w:ascii="宋体" w:hAnsi="宋体"/>
                <w:color w:val="auto"/>
                <w:kern w:val="0"/>
                <w:sz w:val="18"/>
                <w:szCs w:val="18"/>
              </w:rPr>
              <w:t>易燃液体,类别2</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环己酮</w:t>
            </w:r>
          </w:p>
        </w:tc>
        <w:tc>
          <w:tcPr>
            <w:tcW w:w="1276" w:type="dxa"/>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1</w:t>
            </w:r>
            <w:r>
              <w:rPr>
                <w:rFonts w:ascii="宋体" w:hAnsi="宋体"/>
                <w:color w:val="auto"/>
                <w:kern w:val="0"/>
                <w:sz w:val="18"/>
                <w:szCs w:val="18"/>
              </w:rPr>
              <w:t>08-94-1</w:t>
            </w:r>
          </w:p>
        </w:tc>
        <w:tc>
          <w:tcPr>
            <w:tcW w:w="2268" w:type="dxa"/>
            <w:vAlign w:val="center"/>
          </w:tcPr>
          <w:p>
            <w:pPr>
              <w:spacing w:line="280" w:lineRule="exact"/>
              <w:jc w:val="center"/>
              <w:rPr>
                <w:color w:val="auto"/>
              </w:rPr>
            </w:pPr>
            <w:r>
              <w:rPr>
                <w:rFonts w:hint="eastAsia" w:ascii="宋体" w:hAnsi="宋体"/>
                <w:color w:val="auto"/>
                <w:kern w:val="0"/>
                <w:sz w:val="18"/>
                <w:szCs w:val="18"/>
              </w:rPr>
              <w:t>易燃液体,类别3</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W5.4</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5000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474" w:type="dxa"/>
            <w:vAlign w:val="center"/>
          </w:tcPr>
          <w:p>
            <w:pPr>
              <w:numPr>
                <w:ilvl w:val="0"/>
                <w:numId w:val="33"/>
              </w:numPr>
              <w:autoSpaceDE w:val="0"/>
              <w:autoSpaceDN w:val="0"/>
              <w:adjustRightInd w:val="0"/>
              <w:spacing w:line="280" w:lineRule="exact"/>
              <w:jc w:val="center"/>
              <w:rPr>
                <w:rFonts w:ascii="宋体" w:hAnsi="宋体"/>
                <w:color w:val="auto"/>
                <w:sz w:val="18"/>
                <w:szCs w:val="18"/>
              </w:rPr>
            </w:pPr>
          </w:p>
        </w:tc>
        <w:tc>
          <w:tcPr>
            <w:tcW w:w="1652" w:type="dxa"/>
            <w:vAlign w:val="center"/>
          </w:tcPr>
          <w:p>
            <w:pPr>
              <w:pStyle w:val="74"/>
              <w:snapToGrid w:val="0"/>
              <w:spacing w:line="280" w:lineRule="exact"/>
              <w:rPr>
                <w:rFonts w:ascii="宋体" w:hAnsi="宋体"/>
                <w:color w:val="auto"/>
                <w:sz w:val="18"/>
                <w:szCs w:val="18"/>
              </w:rPr>
            </w:pPr>
            <w:r>
              <w:rPr>
                <w:rFonts w:hint="eastAsia" w:ascii="宋体" w:hAnsi="宋体"/>
                <w:color w:val="auto"/>
                <w:sz w:val="18"/>
                <w:szCs w:val="18"/>
              </w:rPr>
              <w:t>金属锂</w:t>
            </w:r>
          </w:p>
        </w:tc>
        <w:tc>
          <w:tcPr>
            <w:tcW w:w="1276" w:type="dxa"/>
            <w:vAlign w:val="center"/>
          </w:tcPr>
          <w:p>
            <w:pPr>
              <w:pStyle w:val="74"/>
              <w:snapToGrid w:val="0"/>
              <w:spacing w:line="280" w:lineRule="exact"/>
              <w:rPr>
                <w:rFonts w:ascii="宋体" w:hAnsi="宋体"/>
                <w:color w:val="auto"/>
                <w:kern w:val="0"/>
                <w:sz w:val="18"/>
                <w:szCs w:val="18"/>
              </w:rPr>
            </w:pPr>
            <w:r>
              <w:rPr>
                <w:rFonts w:hint="eastAsia" w:ascii="宋体" w:hAnsi="宋体"/>
                <w:color w:val="auto"/>
                <w:kern w:val="0"/>
                <w:sz w:val="18"/>
                <w:szCs w:val="18"/>
              </w:rPr>
              <w:t>7</w:t>
            </w:r>
            <w:r>
              <w:rPr>
                <w:rFonts w:ascii="宋体" w:hAnsi="宋体"/>
                <w:color w:val="auto"/>
                <w:kern w:val="0"/>
                <w:sz w:val="18"/>
                <w:szCs w:val="18"/>
              </w:rPr>
              <w:t>439-93-2</w:t>
            </w:r>
          </w:p>
        </w:tc>
        <w:tc>
          <w:tcPr>
            <w:tcW w:w="2268" w:type="dxa"/>
            <w:vAlign w:val="center"/>
          </w:tcPr>
          <w:p>
            <w:pPr>
              <w:widowControl/>
              <w:spacing w:line="280" w:lineRule="exact"/>
              <w:jc w:val="center"/>
              <w:rPr>
                <w:rFonts w:ascii="宋体" w:hAnsi="宋体"/>
                <w:color w:val="auto"/>
                <w:kern w:val="0"/>
                <w:sz w:val="18"/>
                <w:szCs w:val="18"/>
              </w:rPr>
            </w:pPr>
            <w:r>
              <w:rPr>
                <w:rFonts w:hint="eastAsia" w:ascii="宋体" w:hAnsi="宋体"/>
                <w:color w:val="auto"/>
                <w:kern w:val="0"/>
                <w:sz w:val="18"/>
                <w:szCs w:val="18"/>
              </w:rPr>
              <w:t>遇水放出易燃气体的物质和混合物,类别1</w:t>
            </w:r>
          </w:p>
        </w:tc>
        <w:tc>
          <w:tcPr>
            <w:tcW w:w="709"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11</w:t>
            </w:r>
          </w:p>
        </w:tc>
        <w:tc>
          <w:tcPr>
            <w:tcW w:w="708" w:type="dxa"/>
            <w:vAlign w:val="center"/>
          </w:tcPr>
          <w:p>
            <w:pPr>
              <w:autoSpaceDE w:val="0"/>
              <w:autoSpaceDN w:val="0"/>
              <w:adjustRightInd w:val="0"/>
              <w:spacing w:line="280" w:lineRule="exact"/>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1513" w:type="dxa"/>
            <w:vAlign w:val="center"/>
          </w:tcPr>
          <w:p>
            <w:pPr>
              <w:autoSpaceDE w:val="0"/>
              <w:autoSpaceDN w:val="0"/>
              <w:adjustRightInd w:val="0"/>
              <w:spacing w:line="280" w:lineRule="exact"/>
              <w:jc w:val="center"/>
              <w:rPr>
                <w:rFonts w:ascii="宋体" w:hAnsi="宋体"/>
                <w:color w:val="auto"/>
                <w:sz w:val="18"/>
                <w:szCs w:val="18"/>
              </w:rPr>
            </w:pPr>
          </w:p>
        </w:tc>
      </w:tr>
    </w:tbl>
    <w:p>
      <w:pPr>
        <w:jc w:val="left"/>
        <w:rPr>
          <w:rFonts w:ascii="宋体" w:hAnsi="宋体" w:cs="Calibri"/>
          <w:b/>
          <w:color w:val="auto"/>
        </w:rPr>
      </w:pPr>
    </w:p>
    <w:p>
      <w:pPr>
        <w:spacing w:line="360" w:lineRule="auto"/>
        <w:ind w:firstLine="562" w:firstLineChars="200"/>
        <w:jc w:val="left"/>
        <w:rPr>
          <w:rFonts w:ascii="宋体" w:hAnsi="宋体"/>
          <w:b/>
          <w:color w:val="auto"/>
          <w:sz w:val="28"/>
          <w:szCs w:val="28"/>
        </w:rPr>
      </w:pPr>
      <w:r>
        <w:rPr>
          <w:rFonts w:hint="eastAsia"/>
          <w:b/>
          <w:color w:val="auto"/>
          <w:sz w:val="28"/>
          <w:szCs w:val="28"/>
        </w:rPr>
        <w:t>4、</w:t>
      </w:r>
      <w:r>
        <w:rPr>
          <w:rFonts w:hint="eastAsia" w:ascii="宋体" w:hAnsi="宋体"/>
          <w:b/>
          <w:color w:val="auto"/>
          <w:sz w:val="28"/>
          <w:szCs w:val="28"/>
        </w:rPr>
        <w:t>辨识过程</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1）生产单元</w:t>
      </w:r>
    </w:p>
    <w:p>
      <w:pPr>
        <w:autoSpaceDE w:val="0"/>
        <w:autoSpaceDN w:val="0"/>
        <w:adjustRightInd w:val="0"/>
        <w:jc w:val="center"/>
        <w:rPr>
          <w:rFonts w:ascii="宋体" w:hAnsi="宋体"/>
          <w:color w:val="auto"/>
        </w:rPr>
      </w:pPr>
      <w:r>
        <w:rPr>
          <w:rFonts w:hint="eastAsia" w:ascii="宋体" w:hAnsi="宋体"/>
          <w:color w:val="auto"/>
        </w:rPr>
        <w:t>表</w:t>
      </w:r>
      <w:r>
        <w:rPr>
          <w:rFonts w:hint="eastAsia"/>
          <w:color w:val="auto"/>
        </w:rPr>
        <w:t xml:space="preserve">3.3-9 </w:t>
      </w:r>
      <w:r>
        <w:rPr>
          <w:rFonts w:hint="eastAsia" w:ascii="宋体" w:hAnsi="宋体"/>
          <w:color w:val="auto"/>
        </w:rPr>
        <w:t>生产单元危险化学品重大危险源辨识表</w:t>
      </w:r>
    </w:p>
    <w:tbl>
      <w:tblPr>
        <w:tblStyle w:val="31"/>
        <w:tblW w:w="50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1063"/>
        <w:gridCol w:w="1728"/>
        <w:gridCol w:w="1091"/>
        <w:gridCol w:w="1050"/>
        <w:gridCol w:w="900"/>
        <w:gridCol w:w="1882"/>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Align w:val="center"/>
          </w:tcPr>
          <w:p>
            <w:pPr>
              <w:jc w:val="center"/>
              <w:rPr>
                <w:rFonts w:ascii="宋体" w:hAnsi="宋体"/>
                <w:color w:val="auto"/>
                <w:sz w:val="18"/>
                <w:szCs w:val="18"/>
              </w:rPr>
            </w:pPr>
            <w:r>
              <w:rPr>
                <w:rFonts w:hint="eastAsia" w:ascii="宋体" w:hAnsi="宋体"/>
                <w:color w:val="auto"/>
                <w:sz w:val="18"/>
                <w:szCs w:val="18"/>
              </w:rPr>
              <w:t>序号</w:t>
            </w:r>
          </w:p>
        </w:tc>
        <w:tc>
          <w:tcPr>
            <w:tcW w:w="566" w:type="pct"/>
            <w:vAlign w:val="center"/>
          </w:tcPr>
          <w:p>
            <w:pPr>
              <w:jc w:val="center"/>
              <w:rPr>
                <w:rFonts w:ascii="宋体" w:hAnsi="宋体"/>
                <w:color w:val="auto"/>
                <w:sz w:val="18"/>
                <w:szCs w:val="18"/>
              </w:rPr>
            </w:pPr>
            <w:r>
              <w:rPr>
                <w:rFonts w:hint="eastAsia" w:ascii="宋体" w:hAnsi="宋体"/>
                <w:color w:val="auto"/>
                <w:sz w:val="18"/>
                <w:szCs w:val="18"/>
              </w:rPr>
              <w:t>单元名称</w:t>
            </w:r>
          </w:p>
        </w:tc>
        <w:tc>
          <w:tcPr>
            <w:tcW w:w="920" w:type="pct"/>
            <w:vAlign w:val="center"/>
          </w:tcPr>
          <w:p>
            <w:pPr>
              <w:jc w:val="center"/>
              <w:rPr>
                <w:rFonts w:ascii="宋体" w:hAnsi="宋体"/>
                <w:color w:val="auto"/>
                <w:sz w:val="18"/>
                <w:szCs w:val="18"/>
              </w:rPr>
            </w:pPr>
            <w:r>
              <w:rPr>
                <w:rFonts w:hint="eastAsia" w:ascii="宋体" w:hAnsi="宋体"/>
                <w:color w:val="auto"/>
                <w:sz w:val="18"/>
                <w:szCs w:val="18"/>
              </w:rPr>
              <w:t>辨识物质名称</w:t>
            </w:r>
          </w:p>
        </w:tc>
        <w:tc>
          <w:tcPr>
            <w:tcW w:w="581" w:type="pct"/>
            <w:vAlign w:val="center"/>
          </w:tcPr>
          <w:p>
            <w:pPr>
              <w:jc w:val="center"/>
              <w:rPr>
                <w:rFonts w:ascii="宋体" w:hAnsi="宋体"/>
                <w:color w:val="auto"/>
                <w:sz w:val="18"/>
                <w:szCs w:val="18"/>
              </w:rPr>
            </w:pPr>
            <w:r>
              <w:rPr>
                <w:rFonts w:ascii="宋体" w:hAnsi="宋体"/>
                <w:color w:val="auto"/>
                <w:sz w:val="18"/>
                <w:szCs w:val="18"/>
              </w:rPr>
              <w:t>分类</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实际存在量</w:t>
            </w:r>
            <w:r>
              <w:rPr>
                <w:rFonts w:hint="eastAsia"/>
                <w:color w:val="auto"/>
                <w:sz w:val="18"/>
                <w:szCs w:val="18"/>
              </w:rPr>
              <w:t>t</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临界量t</w:t>
            </w:r>
          </w:p>
        </w:tc>
        <w:tc>
          <w:tcPr>
            <w:tcW w:w="1002" w:type="pct"/>
            <w:vAlign w:val="center"/>
          </w:tcPr>
          <w:p>
            <w:pPr>
              <w:jc w:val="center"/>
              <w:rPr>
                <w:rFonts w:ascii="宋体" w:hAnsi="宋体"/>
                <w:color w:val="auto"/>
                <w:sz w:val="18"/>
                <w:szCs w:val="18"/>
              </w:rPr>
            </w:pPr>
            <w:r>
              <w:rPr>
                <w:rFonts w:hint="eastAsia" w:ascii="宋体" w:hAnsi="宋体"/>
                <w:color w:val="auto"/>
                <w:sz w:val="18"/>
                <w:szCs w:val="18"/>
              </w:rPr>
              <w:t>是否构成重大危险源</w:t>
            </w:r>
          </w:p>
        </w:tc>
        <w:tc>
          <w:tcPr>
            <w:tcW w:w="650" w:type="pct"/>
            <w:vAlign w:val="center"/>
          </w:tcPr>
          <w:p>
            <w:pPr>
              <w:jc w:val="center"/>
              <w:rPr>
                <w:rFonts w:ascii="宋体" w:hAnsi="宋体"/>
                <w:color w:val="auto"/>
                <w:sz w:val="18"/>
                <w:szCs w:val="18"/>
              </w:rPr>
            </w:pPr>
            <w:r>
              <w:rPr>
                <w:rFonts w:hint="eastAsia" w:ascii="宋体" w:hAnsi="宋体"/>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restart"/>
            <w:vAlign w:val="center"/>
          </w:tcPr>
          <w:p>
            <w:pPr>
              <w:jc w:val="center"/>
              <w:rPr>
                <w:rFonts w:ascii="宋体" w:hAnsi="宋体"/>
                <w:color w:val="auto"/>
                <w:sz w:val="18"/>
                <w:szCs w:val="18"/>
              </w:rPr>
            </w:pPr>
            <w:r>
              <w:rPr>
                <w:rFonts w:hint="eastAsia" w:ascii="宋体" w:hAnsi="宋体"/>
                <w:color w:val="auto"/>
                <w:sz w:val="18"/>
                <w:szCs w:val="18"/>
              </w:rPr>
              <w:t>1</w:t>
            </w:r>
          </w:p>
        </w:tc>
        <w:tc>
          <w:tcPr>
            <w:tcW w:w="566" w:type="pct"/>
            <w:vMerge w:val="restart"/>
            <w:vAlign w:val="center"/>
          </w:tcPr>
          <w:p>
            <w:pPr>
              <w:jc w:val="center"/>
              <w:rPr>
                <w:rFonts w:ascii="宋体" w:hAnsi="宋体"/>
                <w:color w:val="auto"/>
                <w:kern w:val="0"/>
                <w:sz w:val="18"/>
                <w:szCs w:val="18"/>
              </w:rPr>
            </w:pPr>
            <w:r>
              <w:rPr>
                <w:rFonts w:hint="eastAsia" w:ascii="宋体" w:hAnsi="宋体"/>
                <w:color w:val="auto"/>
                <w:kern w:val="0"/>
                <w:sz w:val="18"/>
                <w:szCs w:val="18"/>
              </w:rPr>
              <w:t>1</w:t>
            </w:r>
            <w:r>
              <w:rPr>
                <w:rFonts w:ascii="宋体" w:hAnsi="宋体"/>
                <w:color w:val="auto"/>
                <w:kern w:val="0"/>
                <w:sz w:val="18"/>
                <w:szCs w:val="18"/>
              </w:rPr>
              <w:t>01</w:t>
            </w:r>
            <w:r>
              <w:rPr>
                <w:rFonts w:hint="eastAsia" w:ascii="宋体" w:hAnsi="宋体"/>
                <w:color w:val="auto"/>
                <w:kern w:val="0"/>
                <w:sz w:val="18"/>
                <w:szCs w:val="18"/>
              </w:rPr>
              <w:t>甲类车间一</w:t>
            </w:r>
          </w:p>
        </w:tc>
        <w:tc>
          <w:tcPr>
            <w:tcW w:w="920" w:type="pct"/>
            <w:vMerge w:val="restart"/>
            <w:vAlign w:val="center"/>
          </w:tcPr>
          <w:p>
            <w:pPr>
              <w:jc w:val="center"/>
              <w:rPr>
                <w:rFonts w:ascii="宋体" w:hAnsi="宋体"/>
                <w:color w:val="auto"/>
                <w:sz w:val="18"/>
                <w:szCs w:val="18"/>
              </w:rPr>
            </w:pPr>
            <w:r>
              <w:rPr>
                <w:rFonts w:hint="eastAsia" w:ascii="宋体" w:hAnsi="宋体"/>
                <w:color w:val="auto"/>
                <w:sz w:val="18"/>
                <w:szCs w:val="18"/>
              </w:rPr>
              <w:t>四氢呋喃</w:t>
            </w:r>
          </w:p>
        </w:tc>
        <w:tc>
          <w:tcPr>
            <w:tcW w:w="581" w:type="pct"/>
            <w:vAlign w:val="center"/>
          </w:tcPr>
          <w:p>
            <w:pPr>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559" w:type="pct"/>
            <w:vAlign w:val="center"/>
          </w:tcPr>
          <w:p>
            <w:pPr>
              <w:jc w:val="center"/>
              <w:rPr>
                <w:rFonts w:ascii="宋体" w:hAnsi="宋体"/>
                <w:color w:val="auto"/>
                <w:sz w:val="18"/>
                <w:szCs w:val="18"/>
              </w:rPr>
            </w:pPr>
            <w:r>
              <w:rPr>
                <w:rFonts w:ascii="宋体" w:hAnsi="宋体"/>
                <w:color w:val="auto"/>
                <w:sz w:val="18"/>
                <w:szCs w:val="18"/>
              </w:rPr>
              <w:t>1.18857</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1002" w:type="pct"/>
            <w:vMerge w:val="restart"/>
            <w:vAlign w:val="center"/>
          </w:tcPr>
          <w:p>
            <w:pPr>
              <w:jc w:val="center"/>
              <w:rPr>
                <w:rFonts w:ascii="宋体" w:hAnsi="宋体"/>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ascii="宋体" w:hAnsi="宋体"/>
                <w:color w:val="auto"/>
                <w:sz w:val="18"/>
                <w:szCs w:val="18"/>
              </w:rPr>
              <w:t>0.3918</w:t>
            </w:r>
            <w:r>
              <w:rPr>
                <w:rFonts w:hint="eastAsia" w:ascii="宋体" w:hAnsi="宋体"/>
                <w:color w:val="auto"/>
                <w:sz w:val="18"/>
                <w:szCs w:val="18"/>
              </w:rPr>
              <w:t>＜1</w:t>
            </w:r>
          </w:p>
          <w:p>
            <w:pPr>
              <w:jc w:val="center"/>
              <w:rPr>
                <w:rFonts w:ascii="宋体" w:hAnsi="宋体"/>
                <w:color w:val="auto"/>
                <w:sz w:val="18"/>
                <w:szCs w:val="18"/>
              </w:rPr>
            </w:pPr>
            <w:r>
              <w:rPr>
                <w:rFonts w:hint="eastAsia" w:ascii="宋体" w:hAnsi="宋体"/>
                <w:color w:val="auto"/>
                <w:sz w:val="18"/>
                <w:szCs w:val="18"/>
              </w:rPr>
              <w:t>不构成</w:t>
            </w: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vAlign w:val="center"/>
          </w:tcPr>
          <w:p>
            <w:pPr>
              <w:jc w:val="center"/>
              <w:rPr>
                <w:rFonts w:ascii="宋体" w:hAnsi="宋体"/>
                <w:color w:val="auto"/>
                <w:sz w:val="18"/>
                <w:szCs w:val="18"/>
              </w:rPr>
            </w:pPr>
          </w:p>
        </w:tc>
        <w:tc>
          <w:tcPr>
            <w:tcW w:w="566" w:type="pct"/>
            <w:vMerge w:val="continue"/>
            <w:vAlign w:val="center"/>
          </w:tcPr>
          <w:p>
            <w:pPr>
              <w:widowControl/>
              <w:jc w:val="center"/>
              <w:rPr>
                <w:rFonts w:ascii="宋体" w:hAnsi="宋体"/>
                <w:color w:val="auto"/>
                <w:kern w:val="0"/>
                <w:sz w:val="18"/>
                <w:szCs w:val="18"/>
              </w:rPr>
            </w:pPr>
          </w:p>
        </w:tc>
        <w:tc>
          <w:tcPr>
            <w:tcW w:w="920" w:type="pct"/>
            <w:vMerge w:val="continue"/>
            <w:vAlign w:val="center"/>
          </w:tcPr>
          <w:p>
            <w:pPr>
              <w:jc w:val="center"/>
              <w:rPr>
                <w:rFonts w:ascii="宋体" w:hAnsi="宋体"/>
                <w:color w:val="auto"/>
                <w:sz w:val="18"/>
                <w:szCs w:val="18"/>
              </w:rPr>
            </w:pPr>
          </w:p>
        </w:tc>
        <w:tc>
          <w:tcPr>
            <w:tcW w:w="581" w:type="pct"/>
            <w:vAlign w:val="center"/>
          </w:tcPr>
          <w:p>
            <w:pPr>
              <w:jc w:val="center"/>
              <w:rPr>
                <w:rFonts w:ascii="Calibri" w:hAnsi="Calibri"/>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1.57</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002" w:type="pct"/>
            <w:vMerge w:val="continue"/>
            <w:vAlign w:val="center"/>
          </w:tcPr>
          <w:p>
            <w:pPr>
              <w:jc w:val="center"/>
              <w:rPr>
                <w:rFonts w:ascii="宋体" w:hAnsi="宋体"/>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restart"/>
            <w:vAlign w:val="center"/>
          </w:tcPr>
          <w:p>
            <w:pPr>
              <w:jc w:val="center"/>
              <w:rPr>
                <w:rFonts w:ascii="宋体" w:hAnsi="宋体"/>
                <w:color w:val="auto"/>
                <w:sz w:val="18"/>
                <w:szCs w:val="18"/>
              </w:rPr>
            </w:pPr>
            <w:r>
              <w:rPr>
                <w:rFonts w:hint="eastAsia" w:ascii="宋体" w:hAnsi="宋体"/>
                <w:color w:val="auto"/>
                <w:sz w:val="18"/>
                <w:szCs w:val="18"/>
              </w:rPr>
              <w:t>三乙胺</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5.2</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.10873</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continue"/>
            <w:vAlign w:val="center"/>
          </w:tcPr>
          <w:p>
            <w:pPr>
              <w:jc w:val="center"/>
              <w:rPr>
                <w:rFonts w:ascii="宋体" w:hAnsi="宋体"/>
                <w:color w:val="auto"/>
                <w:sz w:val="18"/>
                <w:szCs w:val="18"/>
              </w:rPr>
            </w:pP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.12</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丙酮</w:t>
            </w:r>
          </w:p>
        </w:tc>
        <w:tc>
          <w:tcPr>
            <w:tcW w:w="581" w:type="pct"/>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3</w:t>
            </w:r>
            <w:r>
              <w:rPr>
                <w:rFonts w:ascii="宋体" w:hAnsi="宋体"/>
                <w:color w:val="auto"/>
                <w:sz w:val="18"/>
                <w:szCs w:val="18"/>
              </w:rPr>
              <w:t>.36</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甲苯</w:t>
            </w:r>
          </w:p>
        </w:tc>
        <w:tc>
          <w:tcPr>
            <w:tcW w:w="581" w:type="pct"/>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4</w:t>
            </w:r>
            <w:r>
              <w:rPr>
                <w:rFonts w:ascii="宋体" w:hAnsi="宋体"/>
                <w:color w:val="auto"/>
                <w:sz w:val="18"/>
                <w:szCs w:val="18"/>
              </w:rPr>
              <w:t>.07712</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乙酸乙酯</w:t>
            </w:r>
          </w:p>
        </w:tc>
        <w:tc>
          <w:tcPr>
            <w:tcW w:w="581" w:type="pct"/>
            <w:vAlign w:val="center"/>
          </w:tcPr>
          <w:p>
            <w:pPr>
              <w:jc w:val="center"/>
              <w:rPr>
                <w:rFonts w:ascii="Calibri" w:hAnsi="Calibri"/>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1.25</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液氨</w:t>
            </w:r>
          </w:p>
        </w:tc>
        <w:tc>
          <w:tcPr>
            <w:tcW w:w="581" w:type="pct"/>
            <w:vAlign w:val="center"/>
          </w:tcPr>
          <w:p>
            <w:pPr>
              <w:jc w:val="center"/>
              <w:rPr>
                <w:rFonts w:ascii="Calibri" w:hAnsi="Calibri"/>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.2</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叔丁醇</w:t>
            </w:r>
          </w:p>
        </w:tc>
        <w:tc>
          <w:tcPr>
            <w:tcW w:w="581" w:type="pct"/>
            <w:vAlign w:val="center"/>
          </w:tcPr>
          <w:p>
            <w:pPr>
              <w:jc w:val="center"/>
              <w:rPr>
                <w:rFonts w:ascii="Calibri" w:hAnsi="Calibri"/>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6</w:t>
            </w:r>
            <w:r>
              <w:rPr>
                <w:rFonts w:ascii="宋体" w:hAnsi="宋体"/>
                <w:color w:val="auto"/>
                <w:sz w:val="18"/>
                <w:szCs w:val="18"/>
              </w:rPr>
              <w:t>.23283</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restart"/>
            <w:vAlign w:val="center"/>
          </w:tcPr>
          <w:p>
            <w:pPr>
              <w:jc w:val="center"/>
              <w:rPr>
                <w:rFonts w:ascii="宋体" w:hAnsi="宋体"/>
                <w:color w:val="auto"/>
                <w:sz w:val="18"/>
                <w:szCs w:val="18"/>
              </w:rPr>
            </w:pPr>
            <w:r>
              <w:rPr>
                <w:rFonts w:hint="eastAsia" w:ascii="宋体" w:hAnsi="宋体"/>
                <w:color w:val="auto"/>
                <w:sz w:val="18"/>
                <w:szCs w:val="18"/>
              </w:rPr>
              <w:t>石油醚</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.39</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continue"/>
            <w:vAlign w:val="center"/>
          </w:tcPr>
          <w:p>
            <w:pPr>
              <w:jc w:val="center"/>
              <w:rPr>
                <w:rFonts w:ascii="宋体" w:hAnsi="宋体"/>
                <w:color w:val="auto"/>
                <w:sz w:val="18"/>
                <w:szCs w:val="18"/>
              </w:rPr>
            </w:pP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.6</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widowControl/>
              <w:jc w:val="center"/>
              <w:rPr>
                <w:rFonts w:ascii="宋体" w:hAnsi="宋体" w:cs="Calibri"/>
                <w:color w:val="auto"/>
                <w:sz w:val="18"/>
                <w:szCs w:val="18"/>
              </w:rPr>
            </w:pPr>
            <w:r>
              <w:rPr>
                <w:rFonts w:hint="eastAsia" w:ascii="宋体" w:hAnsi="宋体"/>
                <w:color w:val="auto"/>
                <w:sz w:val="18"/>
                <w:szCs w:val="18"/>
              </w:rPr>
              <w:t>双氧水</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9.2</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.442</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widowControl/>
              <w:jc w:val="center"/>
              <w:rPr>
                <w:rFonts w:ascii="宋体" w:hAnsi="宋体" w:cs="Calibri"/>
                <w:color w:val="auto"/>
                <w:sz w:val="18"/>
                <w:szCs w:val="18"/>
              </w:rPr>
            </w:pPr>
            <w:r>
              <w:rPr>
                <w:rFonts w:hint="eastAsia" w:ascii="宋体" w:hAnsi="宋体" w:cs="Calibri"/>
                <w:color w:val="auto"/>
                <w:sz w:val="18"/>
                <w:szCs w:val="18"/>
              </w:rPr>
              <w:t>甲基磺酰氯</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J</w:t>
            </w:r>
            <w:r>
              <w:rPr>
                <w:rFonts w:ascii="宋体" w:hAnsi="宋体"/>
                <w:color w:val="auto"/>
                <w:sz w:val="18"/>
                <w:szCs w:val="18"/>
              </w:rPr>
              <w:t>2</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.2275</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restart"/>
            <w:vAlign w:val="center"/>
          </w:tcPr>
          <w:p>
            <w:pPr>
              <w:jc w:val="center"/>
              <w:rPr>
                <w:rFonts w:ascii="宋体" w:hAnsi="宋体" w:cs="Calibri"/>
                <w:color w:val="auto"/>
                <w:sz w:val="18"/>
                <w:szCs w:val="18"/>
              </w:rPr>
            </w:pPr>
            <w:r>
              <w:rPr>
                <w:rFonts w:hint="eastAsia" w:ascii="宋体" w:hAnsi="宋体" w:cs="Calibri"/>
                <w:color w:val="auto"/>
                <w:sz w:val="18"/>
                <w:szCs w:val="18"/>
              </w:rPr>
              <w:t>丁酮</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5.1</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.972</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continue"/>
            <w:vAlign w:val="center"/>
          </w:tcPr>
          <w:p>
            <w:pPr>
              <w:widowControl/>
              <w:jc w:val="center"/>
              <w:rPr>
                <w:rFonts w:ascii="宋体" w:hAnsi="宋体" w:cs="Calibri"/>
                <w:color w:val="auto"/>
                <w:sz w:val="18"/>
                <w:szCs w:val="18"/>
              </w:rPr>
            </w:pP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5.2</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.55918</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Merge w:val="continue"/>
            <w:vAlign w:val="center"/>
          </w:tcPr>
          <w:p>
            <w:pPr>
              <w:widowControl/>
              <w:jc w:val="center"/>
              <w:rPr>
                <w:rFonts w:ascii="宋体" w:hAnsi="宋体" w:cs="Calibri"/>
                <w:color w:val="auto"/>
                <w:sz w:val="18"/>
                <w:szCs w:val="18"/>
              </w:rPr>
            </w:pP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3</w:t>
            </w:r>
            <w:r>
              <w:rPr>
                <w:rFonts w:ascii="宋体" w:hAnsi="宋体"/>
                <w:color w:val="auto"/>
                <w:sz w:val="18"/>
                <w:szCs w:val="18"/>
              </w:rPr>
              <w:t>.24</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widowControl/>
              <w:jc w:val="center"/>
              <w:rPr>
                <w:rFonts w:ascii="宋体" w:hAnsi="宋体" w:cs="Calibri"/>
                <w:color w:val="auto"/>
                <w:sz w:val="18"/>
                <w:szCs w:val="18"/>
              </w:rPr>
            </w:pPr>
            <w:r>
              <w:rPr>
                <w:rFonts w:hint="eastAsia" w:ascii="宋体" w:hAnsi="宋体" w:cs="Calibri"/>
                <w:color w:val="auto"/>
                <w:sz w:val="18"/>
                <w:szCs w:val="18"/>
              </w:rPr>
              <w:t>DMF</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5.4</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4</w:t>
            </w:r>
            <w:r>
              <w:rPr>
                <w:rFonts w:ascii="宋体" w:hAnsi="宋体"/>
                <w:color w:val="auto"/>
                <w:sz w:val="18"/>
                <w:szCs w:val="18"/>
              </w:rPr>
              <w:t>.35943</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widowControl/>
              <w:jc w:val="center"/>
              <w:rPr>
                <w:rFonts w:ascii="宋体" w:hAnsi="宋体" w:cs="Calibri"/>
                <w:color w:val="auto"/>
                <w:sz w:val="18"/>
                <w:szCs w:val="18"/>
              </w:rPr>
            </w:pPr>
            <w:r>
              <w:rPr>
                <w:rFonts w:hint="eastAsia" w:ascii="宋体" w:hAnsi="宋体" w:cs="Calibri"/>
                <w:color w:val="auto"/>
                <w:sz w:val="18"/>
                <w:szCs w:val="18"/>
              </w:rPr>
              <w:t>甲醇</w:t>
            </w:r>
          </w:p>
        </w:tc>
        <w:tc>
          <w:tcPr>
            <w:tcW w:w="581" w:type="pct"/>
            <w:vAlign w:val="center"/>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.87961</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widowControl/>
              <w:jc w:val="center"/>
              <w:rPr>
                <w:rFonts w:ascii="宋体" w:hAnsi="宋体" w:cs="Calibri"/>
                <w:color w:val="auto"/>
                <w:sz w:val="18"/>
                <w:szCs w:val="18"/>
              </w:rPr>
            </w:pPr>
            <w:r>
              <w:rPr>
                <w:rFonts w:hint="eastAsia" w:ascii="宋体" w:hAnsi="宋体" w:cs="Calibri"/>
                <w:color w:val="auto"/>
                <w:sz w:val="18"/>
                <w:szCs w:val="18"/>
              </w:rPr>
              <w:t>间氯过氧苯甲酸</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7.2</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.52695</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金属锂</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11</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.004</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氨气</w:t>
            </w:r>
            <w:r>
              <w:rPr>
                <w:rFonts w:hint="eastAsia" w:ascii="宋体" w:hAnsi="宋体"/>
                <w:color w:val="auto"/>
                <w:sz w:val="18"/>
                <w:szCs w:val="18"/>
                <w:lang w:eastAsia="zh-CN"/>
              </w:rPr>
              <w:t>（</w:t>
            </w:r>
            <w:r>
              <w:rPr>
                <w:rFonts w:hint="eastAsia" w:ascii="宋体" w:hAnsi="宋体"/>
                <w:color w:val="auto"/>
                <w:sz w:val="18"/>
                <w:szCs w:val="18"/>
                <w:lang w:val="en-US" w:eastAsia="zh-CN"/>
              </w:rPr>
              <w:t>中间产物</w:t>
            </w:r>
            <w:r>
              <w:rPr>
                <w:rFonts w:hint="eastAsia" w:ascii="宋体" w:hAnsi="宋体"/>
                <w:color w:val="auto"/>
                <w:sz w:val="18"/>
                <w:szCs w:val="18"/>
                <w:lang w:eastAsia="zh-CN"/>
              </w:rPr>
              <w:t>）</w:t>
            </w:r>
          </w:p>
        </w:tc>
        <w:tc>
          <w:tcPr>
            <w:tcW w:w="581" w:type="pct"/>
            <w:vAlign w:val="center"/>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.21</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宋体" w:hAnsi="宋体" w:cs="Calibri"/>
                <w:color w:val="auto"/>
                <w:kern w:val="0"/>
                <w:sz w:val="18"/>
                <w:szCs w:val="18"/>
              </w:rPr>
            </w:pPr>
          </w:p>
        </w:tc>
        <w:tc>
          <w:tcPr>
            <w:tcW w:w="920" w:type="pct"/>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氢气</w:t>
            </w:r>
            <w:r>
              <w:rPr>
                <w:rFonts w:hint="eastAsia" w:ascii="宋体" w:hAnsi="宋体"/>
                <w:color w:val="auto"/>
                <w:sz w:val="18"/>
                <w:szCs w:val="18"/>
                <w:lang w:eastAsia="zh-CN"/>
              </w:rPr>
              <w:t>（</w:t>
            </w:r>
            <w:r>
              <w:rPr>
                <w:rFonts w:hint="eastAsia" w:ascii="宋体" w:hAnsi="宋体"/>
                <w:color w:val="auto"/>
                <w:sz w:val="18"/>
                <w:szCs w:val="18"/>
                <w:lang w:val="en-US" w:eastAsia="zh-CN"/>
              </w:rPr>
              <w:t>中间产物</w:t>
            </w:r>
            <w:r>
              <w:rPr>
                <w:rFonts w:hint="eastAsia" w:ascii="宋体" w:hAnsi="宋体"/>
                <w:color w:val="auto"/>
                <w:sz w:val="18"/>
                <w:szCs w:val="18"/>
                <w:lang w:eastAsia="zh-CN"/>
              </w:rPr>
              <w:t>）</w:t>
            </w:r>
          </w:p>
        </w:tc>
        <w:tc>
          <w:tcPr>
            <w:tcW w:w="581" w:type="pct"/>
            <w:vAlign w:val="center"/>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.0013</w:t>
            </w:r>
          </w:p>
        </w:tc>
        <w:tc>
          <w:tcPr>
            <w:tcW w:w="479" w:type="pct"/>
            <w:vAlign w:val="center"/>
          </w:tcPr>
          <w:p>
            <w:pPr>
              <w:autoSpaceDE w:val="0"/>
              <w:autoSpaceDN w:val="0"/>
              <w:adjustRightInd w:val="0"/>
              <w:jc w:val="center"/>
              <w:rPr>
                <w:rFonts w:ascii="宋体" w:hAnsi="宋体"/>
                <w:color w:val="auto"/>
                <w:sz w:val="18"/>
                <w:szCs w:val="18"/>
              </w:rPr>
            </w:pPr>
            <w:r>
              <w:rPr>
                <w:rFonts w:ascii="宋体" w:hAnsi="宋体"/>
                <w:color w:val="auto"/>
                <w:sz w:val="18"/>
                <w:szCs w:val="18"/>
              </w:rPr>
              <w:t>5</w:t>
            </w:r>
          </w:p>
        </w:tc>
        <w:tc>
          <w:tcPr>
            <w:tcW w:w="0" w:type="auto"/>
            <w:vMerge w:val="continue"/>
            <w:vAlign w:val="center"/>
          </w:tcPr>
          <w:p>
            <w:pPr>
              <w:widowControl/>
              <w:jc w:val="center"/>
              <w:rPr>
                <w:rFonts w:ascii="宋体" w:hAnsi="宋体" w:cs="Calibri"/>
                <w:color w:val="auto"/>
                <w:sz w:val="18"/>
                <w:szCs w:val="18"/>
              </w:rPr>
            </w:pPr>
          </w:p>
        </w:tc>
        <w:tc>
          <w:tcPr>
            <w:tcW w:w="650" w:type="pct"/>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restart"/>
            <w:vAlign w:val="center"/>
          </w:tcPr>
          <w:p>
            <w:pPr>
              <w:jc w:val="center"/>
              <w:rPr>
                <w:rFonts w:ascii="宋体" w:hAnsi="宋体"/>
                <w:color w:val="auto"/>
                <w:sz w:val="18"/>
                <w:szCs w:val="18"/>
              </w:rPr>
            </w:pPr>
            <w:r>
              <w:rPr>
                <w:rFonts w:ascii="宋体" w:hAnsi="宋体"/>
                <w:color w:val="auto"/>
                <w:sz w:val="18"/>
                <w:szCs w:val="18"/>
              </w:rPr>
              <w:t>2</w:t>
            </w:r>
          </w:p>
        </w:tc>
        <w:tc>
          <w:tcPr>
            <w:tcW w:w="566" w:type="pct"/>
            <w:vMerge w:val="restart"/>
            <w:vAlign w:val="center"/>
          </w:tcPr>
          <w:p>
            <w:pPr>
              <w:jc w:val="center"/>
              <w:rPr>
                <w:rFonts w:ascii="Calibri" w:hAnsi="Calibri"/>
                <w:color w:val="auto"/>
                <w:sz w:val="18"/>
                <w:szCs w:val="18"/>
              </w:rPr>
            </w:pPr>
            <w:r>
              <w:rPr>
                <w:rFonts w:hint="eastAsia" w:ascii="Calibri" w:hAnsi="Calibri"/>
                <w:color w:val="auto"/>
                <w:sz w:val="18"/>
                <w:szCs w:val="18"/>
              </w:rPr>
              <w:t>1</w:t>
            </w:r>
            <w:r>
              <w:rPr>
                <w:rFonts w:ascii="Calibri" w:hAnsi="Calibri"/>
                <w:color w:val="auto"/>
                <w:sz w:val="18"/>
                <w:szCs w:val="18"/>
              </w:rPr>
              <w:t>03</w:t>
            </w:r>
            <w:r>
              <w:rPr>
                <w:rFonts w:hint="eastAsia" w:ascii="Calibri" w:hAnsi="Calibri"/>
                <w:color w:val="auto"/>
                <w:sz w:val="18"/>
                <w:szCs w:val="18"/>
              </w:rPr>
              <w:t>液体制剂车间</w:t>
            </w:r>
          </w:p>
        </w:tc>
        <w:tc>
          <w:tcPr>
            <w:tcW w:w="920" w:type="pct"/>
            <w:vAlign w:val="center"/>
          </w:tcPr>
          <w:p>
            <w:pPr>
              <w:jc w:val="center"/>
              <w:rPr>
                <w:rFonts w:ascii="宋体" w:hAnsi="宋体"/>
                <w:color w:val="auto"/>
                <w:sz w:val="18"/>
                <w:szCs w:val="18"/>
              </w:rPr>
            </w:pPr>
            <w:r>
              <w:rPr>
                <w:rFonts w:hint="eastAsia" w:ascii="宋体" w:hAnsi="宋体"/>
                <w:color w:val="auto"/>
                <w:sz w:val="18"/>
                <w:szCs w:val="18"/>
              </w:rPr>
              <w:t>乙醇</w:t>
            </w:r>
          </w:p>
        </w:tc>
        <w:tc>
          <w:tcPr>
            <w:tcW w:w="581" w:type="pct"/>
            <w:vAlign w:val="center"/>
          </w:tcPr>
          <w:p>
            <w:pPr>
              <w:autoSpaceDE w:val="0"/>
              <w:autoSpaceDN w:val="0"/>
              <w:adjustRightInd w:val="0"/>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3.101345</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002" w:type="pct"/>
            <w:vMerge w:val="restart"/>
            <w:vAlign w:val="center"/>
          </w:tcPr>
          <w:p>
            <w:pPr>
              <w:jc w:val="center"/>
              <w:rPr>
                <w:rFonts w:ascii="宋体" w:hAnsi="宋体"/>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ascii="宋体" w:hAnsi="宋体"/>
                <w:color w:val="auto"/>
                <w:sz w:val="18"/>
                <w:szCs w:val="18"/>
              </w:rPr>
              <w:t>0.0262</w:t>
            </w:r>
            <w:r>
              <w:rPr>
                <w:rFonts w:hint="eastAsia" w:ascii="宋体" w:hAnsi="宋体"/>
                <w:color w:val="auto"/>
                <w:sz w:val="18"/>
                <w:szCs w:val="18"/>
              </w:rPr>
              <w:t>＜1</w:t>
            </w:r>
          </w:p>
          <w:p>
            <w:pPr>
              <w:jc w:val="center"/>
              <w:rPr>
                <w:rFonts w:ascii="Calibri" w:hAnsi="Calibri"/>
                <w:color w:val="auto"/>
                <w:sz w:val="18"/>
                <w:szCs w:val="18"/>
              </w:rPr>
            </w:pPr>
            <w:r>
              <w:rPr>
                <w:rFonts w:hint="eastAsia" w:ascii="宋体" w:hAnsi="宋体"/>
                <w:color w:val="auto"/>
                <w:sz w:val="18"/>
                <w:szCs w:val="18"/>
              </w:rPr>
              <w:t>不构成</w:t>
            </w:r>
          </w:p>
        </w:tc>
        <w:tc>
          <w:tcPr>
            <w:tcW w:w="650" w:type="pct"/>
            <w:vMerge w:val="restart"/>
            <w:vAlign w:val="center"/>
          </w:tcPr>
          <w:p>
            <w:pPr>
              <w:jc w:val="center"/>
              <w:rPr>
                <w:rFonts w:ascii="宋体" w:hAnsi="宋体"/>
                <w:color w:val="auto"/>
                <w:sz w:val="18"/>
                <w:szCs w:val="18"/>
              </w:rPr>
            </w:pPr>
            <w:r>
              <w:rPr>
                <w:rFonts w:hint="eastAsia" w:ascii="宋体" w:hAnsi="宋体"/>
                <w:color w:val="auto"/>
                <w:sz w:val="18"/>
                <w:szCs w:val="18"/>
              </w:rPr>
              <w:t>各液体剂生产设备共用，均取乙醇作为主要介质计算最大在线量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Calibri" w:hAnsi="Calibri" w:cs="Calibri"/>
                <w:color w:val="auto"/>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异丙醇</w:t>
            </w:r>
          </w:p>
        </w:tc>
        <w:tc>
          <w:tcPr>
            <w:tcW w:w="581"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5.3</w:t>
            </w:r>
          </w:p>
        </w:tc>
        <w:tc>
          <w:tcPr>
            <w:tcW w:w="55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w:t>
            </w:r>
          </w:p>
        </w:tc>
        <w:tc>
          <w:tcPr>
            <w:tcW w:w="479" w:type="pct"/>
            <w:vAlign w:val="center"/>
          </w:tcPr>
          <w:p>
            <w:pPr>
              <w:autoSpaceDE w:val="0"/>
              <w:autoSpaceDN w:val="0"/>
              <w:adjustRightInd w:val="0"/>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Merge w:val="continue"/>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Calibri" w:hAnsi="Calibri" w:cs="Calibri"/>
                <w:color w:val="auto"/>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DMF</w:t>
            </w:r>
          </w:p>
        </w:tc>
        <w:tc>
          <w:tcPr>
            <w:tcW w:w="581" w:type="pct"/>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5.4</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Merge w:val="continue"/>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widowControl/>
              <w:jc w:val="center"/>
              <w:rPr>
                <w:rFonts w:ascii="宋体" w:hAnsi="宋体" w:cs="Calibri"/>
                <w:color w:val="auto"/>
                <w:sz w:val="18"/>
                <w:szCs w:val="18"/>
              </w:rPr>
            </w:pPr>
          </w:p>
        </w:tc>
        <w:tc>
          <w:tcPr>
            <w:tcW w:w="566" w:type="pct"/>
            <w:vMerge w:val="continue"/>
            <w:vAlign w:val="center"/>
          </w:tcPr>
          <w:p>
            <w:pPr>
              <w:widowControl/>
              <w:jc w:val="center"/>
              <w:rPr>
                <w:rFonts w:ascii="Calibri" w:hAnsi="Calibri" w:cs="Calibri"/>
                <w:color w:val="auto"/>
                <w:sz w:val="18"/>
                <w:szCs w:val="18"/>
              </w:rPr>
            </w:pPr>
          </w:p>
        </w:tc>
        <w:tc>
          <w:tcPr>
            <w:tcW w:w="920" w:type="pct"/>
            <w:vAlign w:val="center"/>
          </w:tcPr>
          <w:p>
            <w:pPr>
              <w:jc w:val="center"/>
              <w:rPr>
                <w:rFonts w:ascii="宋体" w:hAnsi="宋体"/>
                <w:color w:val="auto"/>
                <w:sz w:val="18"/>
                <w:szCs w:val="18"/>
              </w:rPr>
            </w:pPr>
            <w:r>
              <w:rPr>
                <w:rFonts w:hint="eastAsia" w:ascii="宋体" w:hAnsi="宋体"/>
                <w:color w:val="auto"/>
                <w:sz w:val="18"/>
                <w:szCs w:val="18"/>
              </w:rPr>
              <w:t>环己酮</w:t>
            </w:r>
          </w:p>
        </w:tc>
        <w:tc>
          <w:tcPr>
            <w:tcW w:w="581" w:type="pct"/>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5.4</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000</w:t>
            </w:r>
          </w:p>
        </w:tc>
        <w:tc>
          <w:tcPr>
            <w:tcW w:w="0" w:type="auto"/>
            <w:vMerge w:val="continue"/>
            <w:vAlign w:val="center"/>
          </w:tcPr>
          <w:p>
            <w:pPr>
              <w:widowControl/>
              <w:jc w:val="center"/>
              <w:rPr>
                <w:rFonts w:ascii="宋体" w:hAnsi="宋体" w:cs="Calibri"/>
                <w:color w:val="auto"/>
                <w:sz w:val="18"/>
                <w:szCs w:val="18"/>
              </w:rPr>
            </w:pPr>
          </w:p>
        </w:tc>
        <w:tc>
          <w:tcPr>
            <w:tcW w:w="650" w:type="pct"/>
            <w:vMerge w:val="continue"/>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Align w:val="center"/>
          </w:tcPr>
          <w:p>
            <w:pPr>
              <w:jc w:val="center"/>
              <w:rPr>
                <w:rFonts w:ascii="宋体" w:hAnsi="宋体"/>
                <w:color w:val="auto"/>
                <w:sz w:val="18"/>
                <w:szCs w:val="18"/>
              </w:rPr>
            </w:pPr>
            <w:r>
              <w:rPr>
                <w:rFonts w:ascii="宋体" w:hAnsi="宋体"/>
                <w:color w:val="auto"/>
                <w:sz w:val="18"/>
                <w:szCs w:val="18"/>
              </w:rPr>
              <w:t>3</w:t>
            </w:r>
          </w:p>
        </w:tc>
        <w:tc>
          <w:tcPr>
            <w:tcW w:w="566" w:type="pct"/>
            <w:vAlign w:val="center"/>
          </w:tcPr>
          <w:p>
            <w:pPr>
              <w:jc w:val="center"/>
              <w:rPr>
                <w:rFonts w:ascii="Calibri" w:hAnsi="Calibri"/>
                <w:color w:val="auto"/>
                <w:sz w:val="18"/>
                <w:szCs w:val="18"/>
              </w:rPr>
            </w:pPr>
            <w:r>
              <w:rPr>
                <w:rFonts w:hint="eastAsia" w:ascii="Calibri" w:hAnsi="Calibri"/>
                <w:color w:val="auto"/>
                <w:sz w:val="18"/>
                <w:szCs w:val="18"/>
              </w:rPr>
              <w:t>1</w:t>
            </w:r>
            <w:r>
              <w:rPr>
                <w:rFonts w:ascii="Calibri" w:hAnsi="Calibri"/>
                <w:color w:val="auto"/>
                <w:sz w:val="18"/>
                <w:szCs w:val="18"/>
              </w:rPr>
              <w:t>04</w:t>
            </w:r>
            <w:r>
              <w:rPr>
                <w:rFonts w:hint="eastAsia" w:ascii="Calibri" w:hAnsi="Calibri"/>
                <w:color w:val="auto"/>
                <w:sz w:val="18"/>
                <w:szCs w:val="18"/>
              </w:rPr>
              <w:t>颗粒剂车间</w:t>
            </w:r>
          </w:p>
        </w:tc>
        <w:tc>
          <w:tcPr>
            <w:tcW w:w="920" w:type="pct"/>
            <w:vAlign w:val="center"/>
          </w:tcPr>
          <w:p>
            <w:pPr>
              <w:jc w:val="center"/>
              <w:rPr>
                <w:rFonts w:ascii="宋体" w:hAnsi="宋体"/>
                <w:color w:val="auto"/>
                <w:sz w:val="18"/>
                <w:szCs w:val="18"/>
              </w:rPr>
            </w:pPr>
            <w:r>
              <w:rPr>
                <w:rFonts w:hint="eastAsia" w:ascii="宋体" w:hAnsi="宋体"/>
                <w:color w:val="auto"/>
                <w:sz w:val="18"/>
                <w:szCs w:val="18"/>
              </w:rPr>
              <w:t>乙醇</w:t>
            </w:r>
          </w:p>
        </w:tc>
        <w:tc>
          <w:tcPr>
            <w:tcW w:w="581" w:type="pct"/>
            <w:vAlign w:val="center"/>
          </w:tcPr>
          <w:p>
            <w:pPr>
              <w:jc w:val="center"/>
              <w:rPr>
                <w:rFonts w:ascii="Calibri" w:hAnsi="Calibri"/>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559" w:type="pct"/>
            <w:vAlign w:val="center"/>
          </w:tcPr>
          <w:p>
            <w:pPr>
              <w:jc w:val="center"/>
              <w:rPr>
                <w:rFonts w:ascii="宋体" w:hAnsi="宋体"/>
                <w:color w:val="auto"/>
                <w:sz w:val="18"/>
                <w:szCs w:val="18"/>
              </w:rPr>
            </w:pPr>
            <w:r>
              <w:rPr>
                <w:rFonts w:hint="eastAsia" w:ascii="宋体" w:hAnsi="宋体"/>
                <w:color w:val="auto"/>
                <w:sz w:val="18"/>
                <w:szCs w:val="18"/>
              </w:rPr>
              <w:t>0</w:t>
            </w:r>
            <w:r>
              <w:rPr>
                <w:rFonts w:ascii="宋体" w:hAnsi="宋体"/>
                <w:color w:val="auto"/>
                <w:sz w:val="18"/>
                <w:szCs w:val="18"/>
              </w:rPr>
              <w:t>.4734</w:t>
            </w:r>
          </w:p>
        </w:tc>
        <w:tc>
          <w:tcPr>
            <w:tcW w:w="479" w:type="pct"/>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002" w:type="pct"/>
            <w:vAlign w:val="center"/>
          </w:tcPr>
          <w:p>
            <w:pPr>
              <w:jc w:val="center"/>
              <w:rPr>
                <w:rFonts w:ascii="Calibri" w:hAnsi="Calibri"/>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ascii="宋体" w:hAnsi="宋体"/>
                <w:color w:val="auto"/>
                <w:sz w:val="18"/>
                <w:szCs w:val="18"/>
              </w:rPr>
              <w:t>0.0009468</w:t>
            </w:r>
            <w:r>
              <w:rPr>
                <w:rFonts w:hint="eastAsia" w:ascii="宋体" w:hAnsi="宋体"/>
                <w:color w:val="auto"/>
                <w:sz w:val="18"/>
                <w:szCs w:val="18"/>
              </w:rPr>
              <w:t>＜1不构成</w:t>
            </w:r>
          </w:p>
        </w:tc>
        <w:tc>
          <w:tcPr>
            <w:tcW w:w="650" w:type="pct"/>
            <w:vAlign w:val="center"/>
          </w:tcPr>
          <w:p>
            <w:pPr>
              <w:jc w:val="center"/>
              <w:rPr>
                <w:rFonts w:ascii="宋体" w:hAnsi="宋体"/>
                <w:color w:val="auto"/>
                <w:sz w:val="18"/>
                <w:szCs w:val="18"/>
              </w:rPr>
            </w:pPr>
          </w:p>
        </w:tc>
      </w:tr>
    </w:tbl>
    <w:p>
      <w:pPr>
        <w:rPr>
          <w:color w:val="auto"/>
        </w:rPr>
      </w:pPr>
    </w:p>
    <w:p>
      <w:pPr>
        <w:spacing w:line="360" w:lineRule="auto"/>
        <w:ind w:firstLine="560" w:firstLineChars="200"/>
        <w:rPr>
          <w:rFonts w:ascii="宋体" w:hAnsi="宋体"/>
          <w:color w:val="auto"/>
          <w:sz w:val="28"/>
          <w:szCs w:val="28"/>
        </w:rPr>
      </w:pPr>
      <w:r>
        <w:rPr>
          <w:rFonts w:hint="eastAsia" w:ascii="宋体" w:hAnsi="宋体"/>
          <w:color w:val="auto"/>
          <w:sz w:val="28"/>
          <w:szCs w:val="28"/>
        </w:rPr>
        <w:t>从上述重大危险源辨识过程得知</w:t>
      </w:r>
      <w:r>
        <w:rPr>
          <w:rFonts w:hint="eastAsia" w:ascii="宋体" w:hAnsi="宋体"/>
          <w:bCs/>
          <w:color w:val="auto"/>
          <w:kern w:val="24"/>
          <w:sz w:val="28"/>
          <w:szCs w:val="28"/>
        </w:rPr>
        <w:t>：</w:t>
      </w:r>
      <w:r>
        <w:rPr>
          <w:rFonts w:hint="eastAsia" w:ascii="宋体" w:hAnsi="宋体"/>
          <w:color w:val="auto"/>
          <w:sz w:val="28"/>
          <w:szCs w:val="28"/>
        </w:rPr>
        <w:t>该项目生产单元中1</w:t>
      </w:r>
      <w:r>
        <w:rPr>
          <w:rFonts w:ascii="宋体" w:hAnsi="宋体"/>
          <w:color w:val="auto"/>
          <w:sz w:val="28"/>
          <w:szCs w:val="28"/>
        </w:rPr>
        <w:t>01</w:t>
      </w:r>
      <w:r>
        <w:rPr>
          <w:rFonts w:hint="eastAsia" w:ascii="宋体" w:hAnsi="宋体"/>
          <w:color w:val="auto"/>
          <w:sz w:val="28"/>
          <w:szCs w:val="28"/>
        </w:rPr>
        <w:t>甲类车间一单元、</w:t>
      </w:r>
      <w:r>
        <w:rPr>
          <w:rFonts w:ascii="宋体" w:hAnsi="宋体"/>
          <w:color w:val="auto"/>
          <w:sz w:val="28"/>
          <w:szCs w:val="28"/>
        </w:rPr>
        <w:t>103</w:t>
      </w:r>
      <w:r>
        <w:rPr>
          <w:rFonts w:hint="eastAsia" w:ascii="宋体" w:hAnsi="宋体"/>
          <w:color w:val="auto"/>
          <w:sz w:val="28"/>
          <w:szCs w:val="28"/>
        </w:rPr>
        <w:t>液体制剂车间单元、</w:t>
      </w:r>
      <w:r>
        <w:rPr>
          <w:rFonts w:hint="eastAsia" w:ascii="宋体" w:hAnsi="宋体"/>
          <w:color w:val="auto"/>
          <w:kern w:val="0"/>
          <w:sz w:val="28"/>
          <w:szCs w:val="28"/>
        </w:rPr>
        <w:t>1</w:t>
      </w:r>
      <w:r>
        <w:rPr>
          <w:rFonts w:ascii="宋体" w:hAnsi="宋体"/>
          <w:color w:val="auto"/>
          <w:kern w:val="0"/>
          <w:sz w:val="28"/>
          <w:szCs w:val="28"/>
        </w:rPr>
        <w:t>04</w:t>
      </w:r>
      <w:r>
        <w:rPr>
          <w:rFonts w:hint="eastAsia" w:ascii="宋体" w:hAnsi="宋体"/>
          <w:color w:val="auto"/>
          <w:kern w:val="0"/>
          <w:sz w:val="28"/>
          <w:szCs w:val="28"/>
        </w:rPr>
        <w:t>颗粒剂车间单元均不构成重大危险源</w:t>
      </w:r>
      <w:r>
        <w:rPr>
          <w:rFonts w:hint="eastAsia" w:ascii="宋体" w:hAnsi="宋体"/>
          <w:color w:val="auto"/>
          <w:sz w:val="28"/>
          <w:szCs w:val="28"/>
        </w:rPr>
        <w:t>。</w:t>
      </w:r>
    </w:p>
    <w:p>
      <w:pPr>
        <w:spacing w:line="360" w:lineRule="auto"/>
        <w:ind w:firstLine="560" w:firstLineChars="200"/>
        <w:jc w:val="left"/>
        <w:rPr>
          <w:rFonts w:ascii="宋体" w:hAnsi="宋体"/>
          <w:color w:val="auto"/>
          <w:sz w:val="28"/>
          <w:szCs w:val="28"/>
        </w:rPr>
      </w:pPr>
      <w:r>
        <w:rPr>
          <w:rFonts w:hint="eastAsia" w:ascii="宋体" w:hAnsi="宋体"/>
          <w:color w:val="auto"/>
          <w:sz w:val="28"/>
          <w:szCs w:val="28"/>
        </w:rPr>
        <w:t>2）存储单元</w:t>
      </w:r>
    </w:p>
    <w:p>
      <w:pPr>
        <w:ind w:firstLine="420" w:firstLineChars="200"/>
        <w:jc w:val="center"/>
        <w:rPr>
          <w:rFonts w:ascii="黑体" w:hAnsi="黑体" w:eastAsia="黑体"/>
          <w:color w:val="auto"/>
          <w:sz w:val="28"/>
          <w:szCs w:val="28"/>
        </w:rPr>
      </w:pPr>
      <w:r>
        <w:rPr>
          <w:rFonts w:hint="eastAsia" w:ascii="宋体" w:hAnsi="宋体"/>
          <w:color w:val="auto"/>
        </w:rPr>
        <w:t>表</w:t>
      </w:r>
      <w:r>
        <w:rPr>
          <w:rFonts w:hint="eastAsia"/>
          <w:color w:val="auto"/>
        </w:rPr>
        <w:t xml:space="preserve">3.3-9 </w:t>
      </w:r>
      <w:r>
        <w:rPr>
          <w:rFonts w:hint="eastAsia" w:ascii="宋体" w:hAnsi="宋体"/>
          <w:color w:val="auto"/>
        </w:rPr>
        <w:t>存储单元危险化学品重大危险源辨识表</w:t>
      </w:r>
    </w:p>
    <w:tbl>
      <w:tblPr>
        <w:tblStyle w:val="31"/>
        <w:tblpPr w:leftFromText="180" w:rightFromText="180" w:vertAnchor="text" w:horzAnchor="margin" w:tblpY="141"/>
        <w:tblW w:w="91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1134"/>
        <w:gridCol w:w="1559"/>
        <w:gridCol w:w="1134"/>
        <w:gridCol w:w="963"/>
        <w:gridCol w:w="892"/>
        <w:gridCol w:w="1848"/>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Align w:val="center"/>
          </w:tcPr>
          <w:p>
            <w:pPr>
              <w:jc w:val="center"/>
              <w:rPr>
                <w:rFonts w:ascii="宋体" w:hAnsi="宋体"/>
                <w:color w:val="auto"/>
                <w:sz w:val="18"/>
                <w:szCs w:val="18"/>
              </w:rPr>
            </w:pPr>
            <w:r>
              <w:rPr>
                <w:rFonts w:hint="eastAsia" w:ascii="宋体" w:hAnsi="宋体"/>
                <w:color w:val="auto"/>
              </w:rPr>
              <w:t>序号</w:t>
            </w:r>
          </w:p>
        </w:tc>
        <w:tc>
          <w:tcPr>
            <w:tcW w:w="1134" w:type="dxa"/>
            <w:vAlign w:val="center"/>
          </w:tcPr>
          <w:p>
            <w:pPr>
              <w:jc w:val="center"/>
              <w:rPr>
                <w:rFonts w:ascii="宋体" w:hAnsi="宋体"/>
                <w:color w:val="auto"/>
                <w:kern w:val="0"/>
                <w:sz w:val="18"/>
                <w:szCs w:val="18"/>
              </w:rPr>
            </w:pPr>
            <w:r>
              <w:rPr>
                <w:rFonts w:hint="eastAsia" w:ascii="宋体" w:hAnsi="宋体"/>
                <w:color w:val="auto"/>
              </w:rPr>
              <w:t>单元名称</w:t>
            </w:r>
          </w:p>
        </w:tc>
        <w:tc>
          <w:tcPr>
            <w:tcW w:w="1559" w:type="dxa"/>
          </w:tcPr>
          <w:p>
            <w:pPr>
              <w:jc w:val="center"/>
              <w:rPr>
                <w:rFonts w:ascii="宋体" w:hAnsi="宋体"/>
                <w:color w:val="auto"/>
                <w:sz w:val="18"/>
                <w:szCs w:val="18"/>
              </w:rPr>
            </w:pPr>
            <w:r>
              <w:rPr>
                <w:rFonts w:hint="eastAsia" w:ascii="宋体" w:hAnsi="宋体"/>
                <w:color w:val="auto"/>
              </w:rPr>
              <w:t>辨识物质名称</w:t>
            </w:r>
          </w:p>
        </w:tc>
        <w:tc>
          <w:tcPr>
            <w:tcW w:w="1134" w:type="dxa"/>
          </w:tcPr>
          <w:p>
            <w:pPr>
              <w:jc w:val="center"/>
              <w:rPr>
                <w:rFonts w:ascii="Calibri" w:hAnsi="Calibri"/>
                <w:color w:val="auto"/>
                <w:sz w:val="18"/>
                <w:szCs w:val="18"/>
              </w:rPr>
            </w:pPr>
            <w:r>
              <w:rPr>
                <w:rFonts w:hint="eastAsia" w:ascii="宋体" w:hAnsi="宋体"/>
                <w:color w:val="auto"/>
              </w:rPr>
              <w:t>分类</w:t>
            </w:r>
          </w:p>
        </w:tc>
        <w:tc>
          <w:tcPr>
            <w:tcW w:w="963" w:type="dxa"/>
          </w:tcPr>
          <w:p>
            <w:pPr>
              <w:jc w:val="center"/>
              <w:rPr>
                <w:rFonts w:ascii="宋体" w:hAnsi="宋体"/>
                <w:color w:val="auto"/>
                <w:sz w:val="18"/>
                <w:szCs w:val="18"/>
              </w:rPr>
            </w:pPr>
            <w:r>
              <w:rPr>
                <w:rFonts w:hint="eastAsia" w:ascii="宋体" w:hAnsi="宋体"/>
                <w:color w:val="auto"/>
              </w:rPr>
              <w:t>实际存在量t</w:t>
            </w:r>
          </w:p>
        </w:tc>
        <w:tc>
          <w:tcPr>
            <w:tcW w:w="892" w:type="dxa"/>
          </w:tcPr>
          <w:p>
            <w:pPr>
              <w:jc w:val="center"/>
              <w:rPr>
                <w:rFonts w:ascii="宋体" w:hAnsi="宋体"/>
                <w:color w:val="auto"/>
                <w:sz w:val="18"/>
                <w:szCs w:val="18"/>
              </w:rPr>
            </w:pPr>
            <w:r>
              <w:rPr>
                <w:rFonts w:hint="eastAsia" w:ascii="宋体" w:hAnsi="宋体"/>
                <w:color w:val="auto"/>
              </w:rPr>
              <w:t>临界量t</w:t>
            </w:r>
          </w:p>
        </w:tc>
        <w:tc>
          <w:tcPr>
            <w:tcW w:w="1848" w:type="dxa"/>
          </w:tcPr>
          <w:p>
            <w:pPr>
              <w:jc w:val="center"/>
              <w:rPr>
                <w:rFonts w:ascii="宋体" w:hAnsi="宋体"/>
                <w:color w:val="auto"/>
                <w:sz w:val="18"/>
                <w:szCs w:val="18"/>
              </w:rPr>
            </w:pPr>
            <w:r>
              <w:rPr>
                <w:rFonts w:hint="eastAsia" w:ascii="宋体" w:hAnsi="宋体"/>
                <w:color w:val="auto"/>
              </w:rPr>
              <w:t>是否构成重大危险源</w:t>
            </w:r>
          </w:p>
        </w:tc>
        <w:tc>
          <w:tcPr>
            <w:tcW w:w="1205" w:type="dxa"/>
          </w:tcPr>
          <w:p>
            <w:pPr>
              <w:jc w:val="center"/>
              <w:rPr>
                <w:rFonts w:ascii="宋体" w:hAnsi="宋体"/>
                <w:color w:val="auto"/>
                <w:sz w:val="18"/>
                <w:szCs w:val="18"/>
              </w:rPr>
            </w:pPr>
            <w:r>
              <w:rPr>
                <w:rFonts w:hint="eastAsia" w:ascii="宋体" w:hAnsi="宋体"/>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restart"/>
            <w:vAlign w:val="center"/>
          </w:tcPr>
          <w:p>
            <w:pPr>
              <w:jc w:val="center"/>
              <w:rPr>
                <w:rFonts w:ascii="宋体" w:hAnsi="宋体"/>
                <w:color w:val="auto"/>
                <w:sz w:val="18"/>
                <w:szCs w:val="18"/>
              </w:rPr>
            </w:pPr>
            <w:r>
              <w:rPr>
                <w:rFonts w:hint="eastAsia" w:ascii="宋体" w:hAnsi="宋体"/>
                <w:color w:val="auto"/>
                <w:sz w:val="18"/>
                <w:szCs w:val="18"/>
              </w:rPr>
              <w:t>1</w:t>
            </w:r>
          </w:p>
        </w:tc>
        <w:tc>
          <w:tcPr>
            <w:tcW w:w="1134" w:type="dxa"/>
            <w:vMerge w:val="restart"/>
            <w:vAlign w:val="center"/>
          </w:tcPr>
          <w:p>
            <w:pPr>
              <w:jc w:val="center"/>
              <w:rPr>
                <w:rFonts w:ascii="宋体" w:hAnsi="宋体"/>
                <w:color w:val="auto"/>
                <w:kern w:val="0"/>
                <w:sz w:val="18"/>
                <w:szCs w:val="18"/>
              </w:rPr>
            </w:pPr>
            <w:r>
              <w:rPr>
                <w:rFonts w:hint="eastAsia" w:ascii="宋体" w:hAnsi="宋体"/>
                <w:color w:val="auto"/>
                <w:kern w:val="0"/>
                <w:sz w:val="18"/>
                <w:szCs w:val="18"/>
              </w:rPr>
              <w:t>2</w:t>
            </w:r>
            <w:r>
              <w:rPr>
                <w:rFonts w:ascii="宋体" w:hAnsi="宋体"/>
                <w:color w:val="auto"/>
                <w:kern w:val="0"/>
                <w:sz w:val="18"/>
                <w:szCs w:val="18"/>
              </w:rPr>
              <w:t>01</w:t>
            </w:r>
            <w:r>
              <w:rPr>
                <w:rFonts w:hint="eastAsia" w:ascii="宋体" w:hAnsi="宋体"/>
                <w:color w:val="auto"/>
                <w:kern w:val="0"/>
                <w:sz w:val="18"/>
                <w:szCs w:val="18"/>
              </w:rPr>
              <w:t>甲类仓库一</w:t>
            </w: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四氢呋喃</w:t>
            </w:r>
          </w:p>
        </w:tc>
        <w:tc>
          <w:tcPr>
            <w:tcW w:w="1134" w:type="dxa"/>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ascii="宋体" w:hAnsi="宋体"/>
                <w:color w:val="auto"/>
                <w:sz w:val="18"/>
                <w:szCs w:val="18"/>
              </w:rPr>
            </w:pPr>
            <w:r>
              <w:rPr>
                <w:rFonts w:hint="eastAsia" w:ascii="宋体" w:hAnsi="宋体"/>
                <w:color w:val="auto"/>
                <w:sz w:val="18"/>
                <w:szCs w:val="18"/>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restart"/>
            <w:vAlign w:val="center"/>
          </w:tcPr>
          <w:p>
            <w:pPr>
              <w:jc w:val="center"/>
              <w:rPr>
                <w:rFonts w:ascii="宋体" w:hAnsi="宋体"/>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hint="eastAsia" w:ascii="宋体" w:hAnsi="宋体"/>
                <w:color w:val="auto"/>
                <w:sz w:val="18"/>
                <w:szCs w:val="18"/>
              </w:rPr>
              <w:t>0.</w:t>
            </w:r>
            <w:r>
              <w:rPr>
                <w:rFonts w:hint="eastAsia" w:ascii="宋体" w:hAnsi="宋体"/>
                <w:color w:val="auto"/>
                <w:sz w:val="18"/>
                <w:szCs w:val="18"/>
                <w:lang w:val="en-US" w:eastAsia="zh-CN"/>
              </w:rPr>
              <w:t>2669</w:t>
            </w:r>
            <w:r>
              <w:rPr>
                <w:rFonts w:hint="eastAsia" w:ascii="宋体" w:hAnsi="宋体"/>
                <w:color w:val="auto"/>
                <w:sz w:val="18"/>
                <w:szCs w:val="18"/>
              </w:rPr>
              <w:t>＜1不构成</w:t>
            </w: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三乙胺</w:t>
            </w:r>
          </w:p>
        </w:tc>
        <w:tc>
          <w:tcPr>
            <w:tcW w:w="1134" w:type="dxa"/>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lang w:val="en-US" w:eastAsia="zh-CN"/>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丙酮</w:t>
            </w:r>
          </w:p>
        </w:tc>
        <w:tc>
          <w:tcPr>
            <w:tcW w:w="1134" w:type="dxa"/>
          </w:tcPr>
          <w:p>
            <w:pPr>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0</w:t>
            </w:r>
            <w:r>
              <w:rPr>
                <w:rFonts w:ascii="宋体" w:hAnsi="宋体"/>
                <w:color w:val="auto"/>
                <w:sz w:val="18"/>
                <w:szCs w:val="18"/>
              </w:rPr>
              <w:t>.</w:t>
            </w:r>
            <w:r>
              <w:rPr>
                <w:rFonts w:hint="eastAsia" w:ascii="宋体" w:hAnsi="宋体"/>
                <w:color w:val="auto"/>
                <w:sz w:val="18"/>
                <w:szCs w:val="18"/>
                <w:lang w:val="en-US" w:eastAsia="zh-CN"/>
              </w:rPr>
              <w:t>5</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甲苯</w:t>
            </w:r>
          </w:p>
        </w:tc>
        <w:tc>
          <w:tcPr>
            <w:tcW w:w="1134" w:type="dxa"/>
          </w:tcPr>
          <w:p>
            <w:pPr>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0</w:t>
            </w:r>
            <w:r>
              <w:rPr>
                <w:rFonts w:ascii="宋体" w:hAnsi="宋体"/>
                <w:color w:val="auto"/>
                <w:sz w:val="18"/>
                <w:szCs w:val="18"/>
              </w:rPr>
              <w:t>.</w:t>
            </w:r>
            <w:r>
              <w:rPr>
                <w:rFonts w:hint="eastAsia" w:ascii="宋体" w:hAnsi="宋体"/>
                <w:color w:val="auto"/>
                <w:sz w:val="18"/>
                <w:szCs w:val="18"/>
                <w:lang w:val="en-US" w:eastAsia="zh-CN"/>
              </w:rPr>
              <w:t>5</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乙酸乙酯</w:t>
            </w:r>
          </w:p>
        </w:tc>
        <w:tc>
          <w:tcPr>
            <w:tcW w:w="1134" w:type="dxa"/>
          </w:tcPr>
          <w:p>
            <w:pPr>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ascii="宋体" w:hAnsi="宋体"/>
                <w:color w:val="auto"/>
                <w:sz w:val="18"/>
                <w:szCs w:val="18"/>
              </w:rPr>
            </w:pPr>
            <w:r>
              <w:rPr>
                <w:rFonts w:hint="eastAsia" w:ascii="宋体" w:hAnsi="宋体"/>
                <w:color w:val="auto"/>
                <w:sz w:val="18"/>
                <w:szCs w:val="18"/>
              </w:rPr>
              <w:t>2</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液氨</w:t>
            </w:r>
          </w:p>
        </w:tc>
        <w:tc>
          <w:tcPr>
            <w:tcW w:w="1134" w:type="dxa"/>
          </w:tcPr>
          <w:p>
            <w:pPr>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hint="default" w:ascii="宋体" w:hAnsi="宋体" w:eastAsia="宋体"/>
                <w:color w:val="auto"/>
                <w:sz w:val="18"/>
                <w:szCs w:val="18"/>
                <w:lang w:val="en-US" w:eastAsia="zh-CN"/>
              </w:rPr>
            </w:pPr>
            <w:r>
              <w:rPr>
                <w:rFonts w:hint="eastAsia" w:ascii="宋体" w:hAnsi="宋体"/>
                <w:color w:val="auto"/>
                <w:sz w:val="18"/>
                <w:szCs w:val="18"/>
                <w:lang w:val="en-US" w:eastAsia="zh-CN"/>
              </w:rPr>
              <w:t>2.4</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叔丁醇</w:t>
            </w:r>
          </w:p>
        </w:tc>
        <w:tc>
          <w:tcPr>
            <w:tcW w:w="1134" w:type="dxa"/>
            <w:vAlign w:val="center"/>
          </w:tcPr>
          <w:p>
            <w:pPr>
              <w:jc w:val="center"/>
              <w:rPr>
                <w:rFonts w:ascii="宋体" w:hAnsi="宋体"/>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ascii="宋体" w:hAnsi="宋体"/>
                <w:color w:val="auto"/>
                <w:sz w:val="18"/>
                <w:szCs w:val="18"/>
              </w:rPr>
            </w:pPr>
            <w:r>
              <w:rPr>
                <w:rFonts w:hint="eastAsia" w:ascii="宋体" w:hAnsi="宋体"/>
                <w:color w:val="auto"/>
                <w:sz w:val="18"/>
                <w:szCs w:val="18"/>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石油醚</w:t>
            </w:r>
          </w:p>
        </w:tc>
        <w:tc>
          <w:tcPr>
            <w:tcW w:w="1134" w:type="dxa"/>
            <w:vAlign w:val="center"/>
          </w:tcPr>
          <w:p>
            <w:pPr>
              <w:jc w:val="center"/>
              <w:rPr>
                <w:rFonts w:ascii="宋体" w:hAnsi="宋体"/>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ascii="宋体" w:hAnsi="宋体"/>
                <w:color w:val="auto"/>
                <w:sz w:val="18"/>
                <w:szCs w:val="18"/>
              </w:rPr>
            </w:pPr>
            <w:r>
              <w:rPr>
                <w:rFonts w:hint="eastAsia" w:ascii="宋体" w:hAnsi="宋体"/>
                <w:color w:val="auto"/>
                <w:sz w:val="18"/>
                <w:szCs w:val="18"/>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双氧水</w:t>
            </w:r>
          </w:p>
        </w:tc>
        <w:tc>
          <w:tcPr>
            <w:tcW w:w="1134" w:type="dxa"/>
            <w:vAlign w:val="center"/>
          </w:tcPr>
          <w:p>
            <w:pPr>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9.2</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lang w:val="en-US" w:eastAsia="zh-CN"/>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丁酮</w:t>
            </w:r>
          </w:p>
        </w:tc>
        <w:tc>
          <w:tcPr>
            <w:tcW w:w="1134" w:type="dxa"/>
            <w:vAlign w:val="center"/>
          </w:tcPr>
          <w:p>
            <w:pPr>
              <w:jc w:val="center"/>
              <w:rPr>
                <w:rFonts w:ascii="宋体" w:hAnsi="宋体"/>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lang w:val="en-US" w:eastAsia="zh-CN"/>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甲醇</w:t>
            </w:r>
          </w:p>
        </w:tc>
        <w:tc>
          <w:tcPr>
            <w:tcW w:w="1134" w:type="dxa"/>
            <w:vAlign w:val="center"/>
          </w:tcPr>
          <w:p>
            <w:pPr>
              <w:jc w:val="center"/>
              <w:rPr>
                <w:rFonts w:ascii="宋体" w:hAnsi="宋体"/>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hint="eastAsia" w:ascii="宋体" w:hAnsi="宋体" w:eastAsia="宋体"/>
                <w:color w:val="auto"/>
                <w:sz w:val="18"/>
                <w:szCs w:val="18"/>
                <w:lang w:val="en-US" w:eastAsia="zh-CN"/>
              </w:rPr>
            </w:pPr>
            <w:r>
              <w:rPr>
                <w:rFonts w:hint="eastAsia" w:ascii="宋体" w:hAnsi="宋体"/>
                <w:color w:val="auto"/>
                <w:sz w:val="18"/>
                <w:szCs w:val="18"/>
              </w:rPr>
              <w:t>0</w:t>
            </w:r>
            <w:r>
              <w:rPr>
                <w:rFonts w:ascii="宋体" w:hAnsi="宋体"/>
                <w:color w:val="auto"/>
                <w:sz w:val="18"/>
                <w:szCs w:val="18"/>
              </w:rPr>
              <w:t>.2</w:t>
            </w:r>
            <w:r>
              <w:rPr>
                <w:rFonts w:hint="eastAsia" w:ascii="宋体" w:hAnsi="宋体"/>
                <w:color w:val="auto"/>
                <w:sz w:val="18"/>
                <w:szCs w:val="18"/>
                <w:lang w:val="en-US" w:eastAsia="zh-CN"/>
              </w:rPr>
              <w:t>5</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间氯过氧苯甲酸</w:t>
            </w:r>
          </w:p>
        </w:tc>
        <w:tc>
          <w:tcPr>
            <w:tcW w:w="1134" w:type="dxa"/>
            <w:vAlign w:val="center"/>
          </w:tcPr>
          <w:p>
            <w:pPr>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7.2</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0</w:t>
            </w:r>
            <w:r>
              <w:rPr>
                <w:rFonts w:ascii="宋体" w:hAnsi="宋体"/>
                <w:color w:val="auto"/>
                <w:sz w:val="18"/>
                <w:szCs w:val="18"/>
              </w:rPr>
              <w:t>.</w:t>
            </w:r>
            <w:r>
              <w:rPr>
                <w:rFonts w:hint="eastAsia" w:ascii="宋体" w:hAnsi="宋体"/>
                <w:color w:val="auto"/>
                <w:sz w:val="18"/>
                <w:szCs w:val="18"/>
                <w:lang w:val="en-US" w:eastAsia="zh-CN"/>
              </w:rPr>
              <w:t>5</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环己酮</w:t>
            </w:r>
          </w:p>
        </w:tc>
        <w:tc>
          <w:tcPr>
            <w:tcW w:w="1134" w:type="dxa"/>
            <w:vAlign w:val="center"/>
          </w:tcPr>
          <w:p>
            <w:pPr>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5.4</w:t>
            </w:r>
          </w:p>
        </w:tc>
        <w:tc>
          <w:tcPr>
            <w:tcW w:w="963" w:type="dxa"/>
            <w:vAlign w:val="center"/>
          </w:tcPr>
          <w:p>
            <w:pPr>
              <w:jc w:val="center"/>
              <w:rPr>
                <w:rFonts w:ascii="宋体" w:hAnsi="宋体"/>
                <w:color w:val="auto"/>
                <w:sz w:val="18"/>
                <w:szCs w:val="18"/>
              </w:rPr>
            </w:pPr>
            <w:r>
              <w:rPr>
                <w:rFonts w:hint="eastAsia" w:ascii="宋体" w:hAnsi="宋体"/>
                <w:color w:val="auto"/>
                <w:sz w:val="18"/>
                <w:szCs w:val="18"/>
              </w:rPr>
              <w:t>2</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restart"/>
            <w:vAlign w:val="center"/>
          </w:tcPr>
          <w:p>
            <w:pPr>
              <w:jc w:val="center"/>
              <w:rPr>
                <w:rFonts w:ascii="宋体" w:hAnsi="宋体"/>
                <w:color w:val="auto"/>
                <w:sz w:val="18"/>
                <w:szCs w:val="18"/>
              </w:rPr>
            </w:pPr>
            <w:r>
              <w:rPr>
                <w:rFonts w:hint="eastAsia" w:ascii="宋体" w:hAnsi="宋体"/>
                <w:color w:val="auto"/>
                <w:sz w:val="18"/>
                <w:szCs w:val="18"/>
              </w:rPr>
              <w:t>2</w:t>
            </w:r>
          </w:p>
        </w:tc>
        <w:tc>
          <w:tcPr>
            <w:tcW w:w="1134" w:type="dxa"/>
            <w:vMerge w:val="restart"/>
            <w:vAlign w:val="center"/>
          </w:tcPr>
          <w:p>
            <w:pPr>
              <w:jc w:val="center"/>
              <w:rPr>
                <w:rFonts w:ascii="宋体" w:hAnsi="宋体"/>
                <w:color w:val="auto"/>
                <w:kern w:val="0"/>
                <w:sz w:val="18"/>
                <w:szCs w:val="18"/>
              </w:rPr>
            </w:pPr>
            <w:r>
              <w:rPr>
                <w:rFonts w:hint="eastAsia" w:ascii="宋体" w:hAnsi="宋体"/>
                <w:color w:val="auto"/>
                <w:kern w:val="0"/>
                <w:sz w:val="18"/>
                <w:szCs w:val="18"/>
              </w:rPr>
              <w:t>2</w:t>
            </w:r>
            <w:r>
              <w:rPr>
                <w:rFonts w:ascii="宋体" w:hAnsi="宋体"/>
                <w:color w:val="auto"/>
                <w:kern w:val="0"/>
                <w:sz w:val="18"/>
                <w:szCs w:val="18"/>
              </w:rPr>
              <w:t>02</w:t>
            </w:r>
            <w:r>
              <w:rPr>
                <w:rFonts w:hint="eastAsia" w:ascii="宋体" w:hAnsi="宋体"/>
                <w:color w:val="auto"/>
                <w:kern w:val="0"/>
                <w:sz w:val="18"/>
                <w:szCs w:val="18"/>
              </w:rPr>
              <w:t>甲类仓库二</w:t>
            </w: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乙醇</w:t>
            </w:r>
          </w:p>
        </w:tc>
        <w:tc>
          <w:tcPr>
            <w:tcW w:w="1134" w:type="dxa"/>
            <w:vAlign w:val="center"/>
          </w:tcPr>
          <w:p>
            <w:pPr>
              <w:jc w:val="center"/>
              <w:rPr>
                <w:rFonts w:ascii="Calibri" w:hAnsi="Calibri"/>
                <w:color w:val="auto"/>
                <w:sz w:val="18"/>
                <w:szCs w:val="18"/>
              </w:rPr>
            </w:pPr>
            <w:r>
              <w:rPr>
                <w:rFonts w:ascii="宋体" w:hAnsi="宋体"/>
                <w:color w:val="auto"/>
                <w:sz w:val="18"/>
                <w:szCs w:val="18"/>
              </w:rPr>
              <w:t>表</w:t>
            </w:r>
            <w:r>
              <w:rPr>
                <w:rFonts w:hint="eastAsia"/>
                <w:color w:val="auto"/>
                <w:sz w:val="18"/>
                <w:szCs w:val="18"/>
              </w:rPr>
              <w:t>1</w:t>
            </w:r>
            <w:r>
              <w:rPr>
                <w:rFonts w:hint="eastAsia" w:ascii="宋体" w:hAnsi="宋体"/>
                <w:color w:val="auto"/>
                <w:sz w:val="18"/>
                <w:szCs w:val="18"/>
              </w:rPr>
              <w:t>物质</w:t>
            </w:r>
          </w:p>
        </w:tc>
        <w:tc>
          <w:tcPr>
            <w:tcW w:w="963" w:type="dxa"/>
            <w:vAlign w:val="center"/>
          </w:tcPr>
          <w:p>
            <w:pPr>
              <w:jc w:val="center"/>
              <w:rPr>
                <w:rFonts w:hint="default" w:ascii="宋体" w:hAnsi="宋体" w:eastAsia="宋体"/>
                <w:color w:val="auto"/>
                <w:sz w:val="18"/>
                <w:szCs w:val="18"/>
                <w:lang w:val="en-US" w:eastAsia="zh-CN"/>
              </w:rPr>
            </w:pPr>
            <w:r>
              <w:rPr>
                <w:rFonts w:hint="eastAsia" w:ascii="宋体" w:hAnsi="宋体"/>
                <w:color w:val="auto"/>
                <w:sz w:val="18"/>
                <w:szCs w:val="18"/>
                <w:lang w:val="en-US" w:eastAsia="zh-CN"/>
              </w:rPr>
              <w:t>10</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w:t>
            </w:r>
          </w:p>
        </w:tc>
        <w:tc>
          <w:tcPr>
            <w:tcW w:w="1848" w:type="dxa"/>
            <w:vMerge w:val="restart"/>
            <w:vAlign w:val="center"/>
          </w:tcPr>
          <w:p>
            <w:pPr>
              <w:jc w:val="center"/>
              <w:rPr>
                <w:rFonts w:ascii="宋体" w:hAnsi="宋体"/>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ascii="宋体" w:hAnsi="宋体"/>
                <w:color w:val="auto"/>
                <w:kern w:val="0"/>
                <w:sz w:val="18"/>
                <w:szCs w:val="18"/>
              </w:rPr>
              <w:t>0.</w:t>
            </w:r>
            <w:r>
              <w:rPr>
                <w:rFonts w:hint="eastAsia" w:ascii="宋体" w:hAnsi="宋体"/>
                <w:color w:val="auto"/>
                <w:kern w:val="0"/>
                <w:sz w:val="18"/>
                <w:szCs w:val="18"/>
                <w:lang w:val="en-US" w:eastAsia="zh-CN"/>
              </w:rPr>
              <w:t>051</w:t>
            </w:r>
            <w:r>
              <w:rPr>
                <w:rFonts w:hint="eastAsia" w:ascii="宋体" w:hAnsi="宋体"/>
                <w:color w:val="auto"/>
                <w:sz w:val="18"/>
                <w:szCs w:val="18"/>
              </w:rPr>
              <w:t>＜1</w:t>
            </w:r>
          </w:p>
          <w:p>
            <w:pPr>
              <w:jc w:val="center"/>
              <w:rPr>
                <w:rFonts w:ascii="宋体" w:hAnsi="宋体"/>
                <w:color w:val="auto"/>
                <w:sz w:val="18"/>
                <w:szCs w:val="18"/>
              </w:rPr>
            </w:pPr>
            <w:r>
              <w:rPr>
                <w:rFonts w:hint="eastAsia" w:ascii="宋体" w:hAnsi="宋体"/>
                <w:color w:val="auto"/>
                <w:sz w:val="18"/>
                <w:szCs w:val="18"/>
              </w:rPr>
              <w:t>不构成</w:t>
            </w: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异丙醇</w:t>
            </w:r>
          </w:p>
        </w:tc>
        <w:tc>
          <w:tcPr>
            <w:tcW w:w="1134" w:type="dxa"/>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5.3</w:t>
            </w:r>
          </w:p>
        </w:tc>
        <w:tc>
          <w:tcPr>
            <w:tcW w:w="963" w:type="dxa"/>
            <w:vAlign w:val="center"/>
          </w:tcPr>
          <w:p>
            <w:pPr>
              <w:jc w:val="center"/>
              <w:rPr>
                <w:rFonts w:hint="default" w:ascii="宋体" w:hAnsi="宋体" w:eastAsia="宋体"/>
                <w:color w:val="auto"/>
                <w:sz w:val="18"/>
                <w:szCs w:val="18"/>
                <w:lang w:val="en-US" w:eastAsia="zh-CN"/>
              </w:rPr>
            </w:pPr>
            <w:r>
              <w:rPr>
                <w:rFonts w:hint="eastAsia" w:ascii="宋体" w:hAnsi="宋体"/>
                <w:color w:val="auto"/>
                <w:sz w:val="18"/>
                <w:szCs w:val="18"/>
                <w:lang w:val="en-US" w:eastAsia="zh-CN"/>
              </w:rPr>
              <w:t>10</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1</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DMF</w:t>
            </w:r>
          </w:p>
        </w:tc>
        <w:tc>
          <w:tcPr>
            <w:tcW w:w="1134" w:type="dxa"/>
            <w:vAlign w:val="center"/>
          </w:tcPr>
          <w:p>
            <w:pPr>
              <w:jc w:val="center"/>
              <w:rPr>
                <w:rFonts w:ascii="Calibri" w:hAnsi="Calibri"/>
                <w:color w:val="auto"/>
                <w:sz w:val="18"/>
                <w:szCs w:val="18"/>
              </w:rPr>
            </w:pPr>
            <w:r>
              <w:rPr>
                <w:rFonts w:hint="eastAsia" w:ascii="Calibri" w:hAnsi="Calibri"/>
                <w:color w:val="auto"/>
                <w:sz w:val="18"/>
                <w:szCs w:val="18"/>
              </w:rPr>
              <w:t>W</w:t>
            </w:r>
            <w:r>
              <w:rPr>
                <w:rFonts w:ascii="Calibri" w:hAnsi="Calibri"/>
                <w:color w:val="auto"/>
                <w:sz w:val="18"/>
                <w:szCs w:val="18"/>
              </w:rPr>
              <w:t>5.4</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lang w:val="en-US" w:eastAsia="zh-CN"/>
              </w:rPr>
              <w:t>5</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000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Merge w:val="continue"/>
            <w:vAlign w:val="center"/>
          </w:tcPr>
          <w:p>
            <w:pPr>
              <w:widowControl/>
              <w:jc w:val="center"/>
              <w:rPr>
                <w:rFonts w:ascii="宋体" w:hAnsi="宋体" w:cs="Calibri"/>
                <w:color w:val="auto"/>
                <w:sz w:val="18"/>
                <w:szCs w:val="18"/>
              </w:rPr>
            </w:pPr>
          </w:p>
        </w:tc>
        <w:tc>
          <w:tcPr>
            <w:tcW w:w="1134" w:type="dxa"/>
            <w:vMerge w:val="continue"/>
            <w:vAlign w:val="center"/>
          </w:tcPr>
          <w:p>
            <w:pPr>
              <w:widowControl/>
              <w:jc w:val="center"/>
              <w:rPr>
                <w:rFonts w:ascii="宋体" w:hAnsi="宋体" w:cs="Calibri"/>
                <w:color w:val="auto"/>
                <w:kern w:val="0"/>
                <w:sz w:val="18"/>
                <w:szCs w:val="18"/>
              </w:rPr>
            </w:pP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甲基磺酰氯</w:t>
            </w:r>
          </w:p>
        </w:tc>
        <w:tc>
          <w:tcPr>
            <w:tcW w:w="1134" w:type="dxa"/>
            <w:vAlign w:val="center"/>
          </w:tcPr>
          <w:p>
            <w:pPr>
              <w:jc w:val="center"/>
              <w:rPr>
                <w:rFonts w:ascii="Calibri" w:hAnsi="Calibri"/>
                <w:color w:val="auto"/>
                <w:sz w:val="18"/>
                <w:szCs w:val="18"/>
              </w:rPr>
            </w:pPr>
            <w:r>
              <w:rPr>
                <w:rFonts w:hint="eastAsia" w:ascii="宋体" w:hAnsi="宋体"/>
                <w:color w:val="auto"/>
                <w:sz w:val="18"/>
                <w:szCs w:val="18"/>
              </w:rPr>
              <w:t>J2</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lang w:val="en-US" w:eastAsia="zh-CN"/>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5</w:t>
            </w:r>
            <w:r>
              <w:rPr>
                <w:rFonts w:ascii="宋体" w:hAnsi="宋体"/>
                <w:color w:val="auto"/>
                <w:sz w:val="18"/>
                <w:szCs w:val="18"/>
              </w:rPr>
              <w:t>0</w:t>
            </w:r>
          </w:p>
        </w:tc>
        <w:tc>
          <w:tcPr>
            <w:tcW w:w="1848" w:type="dxa"/>
            <w:vMerge w:val="continue"/>
            <w:vAlign w:val="center"/>
          </w:tcPr>
          <w:p>
            <w:pPr>
              <w:widowControl/>
              <w:jc w:val="center"/>
              <w:rPr>
                <w:rFonts w:ascii="宋体" w:hAnsi="宋体" w:cs="Calibri"/>
                <w:color w:val="auto"/>
                <w:sz w:val="18"/>
                <w:szCs w:val="18"/>
              </w:rPr>
            </w:pPr>
          </w:p>
        </w:tc>
        <w:tc>
          <w:tcPr>
            <w:tcW w:w="1205" w:type="dxa"/>
            <w:vAlign w:val="center"/>
          </w:tcPr>
          <w:p>
            <w:pPr>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Align w:val="center"/>
          </w:tcPr>
          <w:p>
            <w:pPr>
              <w:widowControl/>
              <w:jc w:val="center"/>
              <w:rPr>
                <w:rFonts w:ascii="宋体" w:hAnsi="宋体" w:cs="Calibri"/>
                <w:color w:val="auto"/>
                <w:sz w:val="18"/>
                <w:szCs w:val="18"/>
              </w:rPr>
            </w:pPr>
            <w:r>
              <w:rPr>
                <w:rFonts w:hint="eastAsia" w:ascii="宋体" w:hAnsi="宋体" w:cs="Calibri"/>
                <w:color w:val="auto"/>
                <w:sz w:val="18"/>
                <w:szCs w:val="18"/>
              </w:rPr>
              <w:t>3</w:t>
            </w:r>
          </w:p>
        </w:tc>
        <w:tc>
          <w:tcPr>
            <w:tcW w:w="1134" w:type="dxa"/>
            <w:vAlign w:val="center"/>
          </w:tcPr>
          <w:p>
            <w:pPr>
              <w:widowControl/>
              <w:jc w:val="center"/>
              <w:rPr>
                <w:rFonts w:ascii="宋体" w:hAnsi="宋体" w:cs="Calibri"/>
                <w:color w:val="auto"/>
                <w:kern w:val="0"/>
                <w:sz w:val="18"/>
                <w:szCs w:val="18"/>
              </w:rPr>
            </w:pPr>
            <w:r>
              <w:rPr>
                <w:rFonts w:hint="eastAsia" w:ascii="宋体" w:hAnsi="宋体" w:cs="Calibri"/>
                <w:color w:val="auto"/>
                <w:kern w:val="0"/>
                <w:sz w:val="18"/>
                <w:szCs w:val="18"/>
              </w:rPr>
              <w:t>2</w:t>
            </w:r>
            <w:r>
              <w:rPr>
                <w:rFonts w:ascii="宋体" w:hAnsi="宋体" w:cs="Calibri"/>
                <w:color w:val="auto"/>
                <w:kern w:val="0"/>
                <w:sz w:val="18"/>
                <w:szCs w:val="18"/>
              </w:rPr>
              <w:t>05</w:t>
            </w:r>
            <w:r>
              <w:rPr>
                <w:rFonts w:hint="eastAsia" w:ascii="宋体" w:hAnsi="宋体" w:cs="Calibri"/>
                <w:color w:val="auto"/>
                <w:kern w:val="0"/>
                <w:sz w:val="18"/>
                <w:szCs w:val="18"/>
              </w:rPr>
              <w:t>甲类仓库三</w:t>
            </w:r>
          </w:p>
        </w:tc>
        <w:tc>
          <w:tcPr>
            <w:tcW w:w="1559" w:type="dxa"/>
            <w:vAlign w:val="center"/>
          </w:tcPr>
          <w:p>
            <w:pPr>
              <w:jc w:val="center"/>
              <w:rPr>
                <w:rFonts w:ascii="宋体" w:hAnsi="宋体"/>
                <w:color w:val="auto"/>
                <w:sz w:val="18"/>
                <w:szCs w:val="18"/>
              </w:rPr>
            </w:pPr>
            <w:r>
              <w:rPr>
                <w:rFonts w:hint="eastAsia" w:ascii="宋体" w:hAnsi="宋体"/>
                <w:color w:val="auto"/>
                <w:sz w:val="18"/>
                <w:szCs w:val="18"/>
              </w:rPr>
              <w:t>金属锂</w:t>
            </w:r>
          </w:p>
        </w:tc>
        <w:tc>
          <w:tcPr>
            <w:tcW w:w="1134" w:type="dxa"/>
            <w:vAlign w:val="center"/>
          </w:tcPr>
          <w:p>
            <w:pPr>
              <w:jc w:val="center"/>
              <w:rPr>
                <w:rFonts w:ascii="宋体" w:hAnsi="宋体"/>
                <w:color w:val="auto"/>
                <w:sz w:val="18"/>
                <w:szCs w:val="18"/>
              </w:rPr>
            </w:pPr>
            <w:r>
              <w:rPr>
                <w:rFonts w:hint="eastAsia" w:ascii="宋体" w:hAnsi="宋体"/>
                <w:color w:val="auto"/>
                <w:sz w:val="18"/>
                <w:szCs w:val="18"/>
              </w:rPr>
              <w:t>W</w:t>
            </w:r>
            <w:r>
              <w:rPr>
                <w:rFonts w:ascii="宋体" w:hAnsi="宋体"/>
                <w:color w:val="auto"/>
                <w:sz w:val="18"/>
                <w:szCs w:val="18"/>
              </w:rPr>
              <w:t>11</w:t>
            </w:r>
          </w:p>
        </w:tc>
        <w:tc>
          <w:tcPr>
            <w:tcW w:w="963" w:type="dxa"/>
            <w:vAlign w:val="center"/>
          </w:tcPr>
          <w:p>
            <w:pPr>
              <w:jc w:val="center"/>
              <w:rPr>
                <w:rFonts w:hint="eastAsia" w:ascii="宋体" w:hAnsi="宋体" w:eastAsia="宋体"/>
                <w:color w:val="auto"/>
                <w:sz w:val="18"/>
                <w:szCs w:val="18"/>
                <w:lang w:eastAsia="zh-CN"/>
              </w:rPr>
            </w:pPr>
            <w:r>
              <w:rPr>
                <w:rFonts w:hint="eastAsia" w:ascii="宋体" w:hAnsi="宋体"/>
                <w:color w:val="auto"/>
                <w:sz w:val="18"/>
                <w:szCs w:val="18"/>
              </w:rPr>
              <w:t>0</w:t>
            </w:r>
            <w:r>
              <w:rPr>
                <w:rFonts w:ascii="宋体" w:hAnsi="宋体"/>
                <w:color w:val="auto"/>
                <w:sz w:val="18"/>
                <w:szCs w:val="18"/>
              </w:rPr>
              <w:t>.</w:t>
            </w:r>
            <w:r>
              <w:rPr>
                <w:rFonts w:hint="eastAsia" w:ascii="宋体" w:hAnsi="宋体"/>
                <w:color w:val="auto"/>
                <w:sz w:val="18"/>
                <w:szCs w:val="18"/>
                <w:lang w:val="en-US" w:eastAsia="zh-CN"/>
              </w:rPr>
              <w:t>1</w:t>
            </w:r>
          </w:p>
        </w:tc>
        <w:tc>
          <w:tcPr>
            <w:tcW w:w="892" w:type="dxa"/>
            <w:vAlign w:val="center"/>
          </w:tcPr>
          <w:p>
            <w:pPr>
              <w:jc w:val="center"/>
              <w:rPr>
                <w:rFonts w:ascii="宋体" w:hAnsi="宋体"/>
                <w:color w:val="auto"/>
                <w:sz w:val="18"/>
                <w:szCs w:val="18"/>
              </w:rPr>
            </w:pPr>
            <w:r>
              <w:rPr>
                <w:rFonts w:hint="eastAsia" w:ascii="宋体" w:hAnsi="宋体"/>
                <w:color w:val="auto"/>
                <w:sz w:val="18"/>
                <w:szCs w:val="18"/>
              </w:rPr>
              <w:t>2</w:t>
            </w:r>
            <w:r>
              <w:rPr>
                <w:rFonts w:ascii="宋体" w:hAnsi="宋体"/>
                <w:color w:val="auto"/>
                <w:sz w:val="18"/>
                <w:szCs w:val="18"/>
              </w:rPr>
              <w:t>00</w:t>
            </w:r>
          </w:p>
        </w:tc>
        <w:tc>
          <w:tcPr>
            <w:tcW w:w="1848" w:type="dxa"/>
            <w:vAlign w:val="center"/>
          </w:tcPr>
          <w:p>
            <w:pPr>
              <w:jc w:val="center"/>
              <w:rPr>
                <w:rFonts w:ascii="宋体" w:hAnsi="宋体"/>
                <w:color w:val="auto"/>
                <w:sz w:val="18"/>
                <w:szCs w:val="18"/>
              </w:rPr>
            </w:pPr>
            <w:r>
              <w:rPr>
                <w:rFonts w:hint="eastAsia" w:ascii="宋体" w:hAnsi="宋体"/>
                <w:color w:val="auto"/>
                <w:sz w:val="18"/>
                <w:szCs w:val="18"/>
              </w:rPr>
              <w:t>∑</w:t>
            </w:r>
            <w:r>
              <w:rPr>
                <w:rFonts w:hint="eastAsia" w:ascii="宋体" w:hAnsi="宋体"/>
                <w:color w:val="auto"/>
                <w:sz w:val="18"/>
                <w:szCs w:val="18"/>
                <w:vertAlign w:val="subscript"/>
              </w:rPr>
              <w:t>n</w:t>
            </w:r>
            <w:r>
              <w:rPr>
                <w:rFonts w:hint="eastAsia" w:ascii="宋体" w:hAnsi="宋体"/>
                <w:color w:val="auto"/>
                <w:sz w:val="18"/>
                <w:szCs w:val="18"/>
              </w:rPr>
              <w:t>q</w:t>
            </w:r>
            <w:r>
              <w:rPr>
                <w:rFonts w:hint="eastAsia" w:ascii="宋体" w:hAnsi="宋体"/>
                <w:color w:val="auto"/>
                <w:sz w:val="18"/>
                <w:szCs w:val="18"/>
                <w:vertAlign w:val="subscript"/>
              </w:rPr>
              <w:t>n</w:t>
            </w:r>
            <w:r>
              <w:rPr>
                <w:rFonts w:hint="eastAsia" w:ascii="宋体" w:hAnsi="宋体"/>
                <w:color w:val="auto"/>
                <w:sz w:val="18"/>
                <w:szCs w:val="18"/>
              </w:rPr>
              <w:t>/Qn=</w:t>
            </w:r>
            <w:r>
              <w:rPr>
                <w:rFonts w:hint="eastAsia" w:ascii="宋体" w:hAnsi="宋体"/>
                <w:color w:val="auto"/>
                <w:kern w:val="0"/>
                <w:sz w:val="18"/>
                <w:szCs w:val="18"/>
              </w:rPr>
              <w:t xml:space="preserve"> q1/Q1 ＋…+qn/Qn＝</w:t>
            </w:r>
            <w:r>
              <w:rPr>
                <w:rFonts w:ascii="宋体" w:hAnsi="宋体"/>
                <w:color w:val="auto"/>
                <w:kern w:val="0"/>
                <w:sz w:val="18"/>
                <w:szCs w:val="18"/>
              </w:rPr>
              <w:t>0.0005</w:t>
            </w:r>
            <w:r>
              <w:rPr>
                <w:rFonts w:hint="eastAsia" w:ascii="宋体" w:hAnsi="宋体"/>
                <w:color w:val="auto"/>
                <w:sz w:val="18"/>
                <w:szCs w:val="18"/>
              </w:rPr>
              <w:t>＜1</w:t>
            </w:r>
          </w:p>
          <w:p>
            <w:pPr>
              <w:widowControl/>
              <w:jc w:val="center"/>
              <w:rPr>
                <w:rFonts w:ascii="宋体" w:hAnsi="宋体" w:cs="Calibri"/>
                <w:color w:val="auto"/>
                <w:sz w:val="18"/>
                <w:szCs w:val="18"/>
              </w:rPr>
            </w:pPr>
            <w:r>
              <w:rPr>
                <w:rFonts w:hint="eastAsia" w:ascii="宋体" w:hAnsi="宋体"/>
                <w:color w:val="auto"/>
                <w:sz w:val="18"/>
                <w:szCs w:val="18"/>
              </w:rPr>
              <w:t>不构成</w:t>
            </w:r>
          </w:p>
        </w:tc>
        <w:tc>
          <w:tcPr>
            <w:tcW w:w="1205" w:type="dxa"/>
            <w:vAlign w:val="center"/>
          </w:tcPr>
          <w:p>
            <w:pPr>
              <w:jc w:val="center"/>
              <w:rPr>
                <w:rFonts w:ascii="宋体" w:hAnsi="宋体"/>
                <w:color w:val="auto"/>
                <w:sz w:val="18"/>
                <w:szCs w:val="18"/>
              </w:rPr>
            </w:pPr>
          </w:p>
        </w:tc>
      </w:tr>
    </w:tbl>
    <w:p>
      <w:pPr>
        <w:ind w:firstLine="560" w:firstLineChars="200"/>
        <w:rPr>
          <w:rFonts w:ascii="Calibri" w:hAnsi="Calibri"/>
          <w:color w:val="auto"/>
        </w:rPr>
      </w:pPr>
      <w:r>
        <w:rPr>
          <w:rFonts w:hint="eastAsia" w:ascii="宋体" w:hAnsi="宋体"/>
          <w:color w:val="auto"/>
          <w:sz w:val="28"/>
          <w:szCs w:val="28"/>
        </w:rPr>
        <w:t>从上述重大危险源辨识过程得知：该公司存储单元中</w:t>
      </w:r>
      <w:r>
        <w:rPr>
          <w:color w:val="auto"/>
          <w:kern w:val="0"/>
          <w:sz w:val="28"/>
          <w:szCs w:val="28"/>
        </w:rPr>
        <w:t>201</w:t>
      </w:r>
      <w:r>
        <w:rPr>
          <w:rFonts w:hint="eastAsia"/>
          <w:color w:val="auto"/>
          <w:kern w:val="0"/>
          <w:sz w:val="28"/>
          <w:szCs w:val="28"/>
        </w:rPr>
        <w:t>甲类仓库一</w:t>
      </w:r>
      <w:r>
        <w:rPr>
          <w:rFonts w:hint="eastAsia" w:ascii="宋体" w:hAnsi="宋体"/>
          <w:color w:val="auto"/>
          <w:kern w:val="0"/>
          <w:sz w:val="28"/>
          <w:szCs w:val="28"/>
        </w:rPr>
        <w:t>储存单元 、</w:t>
      </w:r>
      <w:r>
        <w:rPr>
          <w:color w:val="auto"/>
          <w:kern w:val="0"/>
          <w:sz w:val="28"/>
          <w:szCs w:val="28"/>
        </w:rPr>
        <w:t>202</w:t>
      </w:r>
      <w:r>
        <w:rPr>
          <w:rFonts w:hint="eastAsia"/>
          <w:color w:val="auto"/>
          <w:kern w:val="0"/>
          <w:sz w:val="28"/>
          <w:szCs w:val="28"/>
        </w:rPr>
        <w:t>甲类仓库二</w:t>
      </w:r>
      <w:r>
        <w:rPr>
          <w:rFonts w:hint="eastAsia" w:ascii="宋体" w:hAnsi="宋体"/>
          <w:color w:val="auto"/>
          <w:kern w:val="0"/>
          <w:sz w:val="28"/>
          <w:szCs w:val="28"/>
        </w:rPr>
        <w:t>储存单元、</w:t>
      </w:r>
      <w:r>
        <w:rPr>
          <w:color w:val="auto"/>
          <w:kern w:val="0"/>
          <w:sz w:val="28"/>
          <w:szCs w:val="28"/>
        </w:rPr>
        <w:t>205</w:t>
      </w:r>
      <w:r>
        <w:rPr>
          <w:rFonts w:hint="eastAsia"/>
          <w:color w:val="auto"/>
          <w:kern w:val="0"/>
          <w:sz w:val="28"/>
          <w:szCs w:val="28"/>
        </w:rPr>
        <w:t>甲类仓库三</w:t>
      </w:r>
      <w:r>
        <w:rPr>
          <w:rFonts w:hint="eastAsia" w:ascii="宋体" w:hAnsi="宋体"/>
          <w:color w:val="auto"/>
          <w:kern w:val="0"/>
          <w:sz w:val="28"/>
          <w:szCs w:val="28"/>
        </w:rPr>
        <w:t>储存单元</w:t>
      </w:r>
      <w:r>
        <w:rPr>
          <w:rFonts w:hint="eastAsia" w:ascii="宋体" w:hAnsi="宋体"/>
          <w:color w:val="auto"/>
          <w:sz w:val="28"/>
          <w:szCs w:val="28"/>
        </w:rPr>
        <w:t>均不构成重大危险源。</w:t>
      </w:r>
    </w:p>
    <w:p>
      <w:pPr>
        <w:keepNext/>
        <w:keepLines/>
        <w:spacing w:line="360" w:lineRule="auto"/>
        <w:jc w:val="left"/>
        <w:outlineLvl w:val="2"/>
        <w:rPr>
          <w:rFonts w:ascii="Calibri" w:hAnsi="Calibri"/>
          <w:b/>
          <w:color w:val="auto"/>
          <w:sz w:val="28"/>
          <w:szCs w:val="32"/>
        </w:rPr>
      </w:pPr>
      <w:bookmarkStart w:id="268" w:name="_Toc144109251"/>
      <w:r>
        <w:rPr>
          <w:rFonts w:hint="eastAsia" w:ascii="Calibri" w:hAnsi="Calibri"/>
          <w:b/>
          <w:color w:val="auto"/>
          <w:sz w:val="28"/>
          <w:szCs w:val="32"/>
        </w:rPr>
        <w:t>B</w:t>
      </w:r>
      <w:r>
        <w:rPr>
          <w:rFonts w:ascii="Calibri" w:hAnsi="Calibri"/>
          <w:b/>
          <w:color w:val="auto"/>
          <w:sz w:val="28"/>
          <w:szCs w:val="32"/>
        </w:rPr>
        <w:t>.3</w:t>
      </w:r>
      <w:r>
        <w:rPr>
          <w:rFonts w:hint="eastAsia" w:ascii="Calibri" w:hAnsi="Calibri"/>
          <w:b/>
          <w:color w:val="auto"/>
          <w:sz w:val="28"/>
          <w:szCs w:val="32"/>
        </w:rPr>
        <w:t>.2 危险化学品重大危险源辩识结果</w:t>
      </w:r>
      <w:bookmarkEnd w:id="268"/>
    </w:p>
    <w:p>
      <w:pPr>
        <w:ind w:firstLine="560" w:firstLineChars="200"/>
        <w:rPr>
          <w:color w:val="auto"/>
        </w:rPr>
      </w:pPr>
      <w:r>
        <w:rPr>
          <w:rFonts w:hint="eastAsia" w:ascii="宋体" w:hAnsi="宋体"/>
          <w:color w:val="auto"/>
          <w:sz w:val="28"/>
          <w:szCs w:val="28"/>
        </w:rPr>
        <w:t>通过上述重大危险源辨识及分级过程，根据《危险化学品重大危险源辨识》（GB18218-2009）的定义和《危险化学品重大危险源监督管理暂行规定》(2011)(40号令)得出结论如下：该项目生产单元中1</w:t>
      </w:r>
      <w:r>
        <w:rPr>
          <w:rFonts w:ascii="宋体" w:hAnsi="宋体"/>
          <w:color w:val="auto"/>
          <w:sz w:val="28"/>
          <w:szCs w:val="28"/>
        </w:rPr>
        <w:t>01</w:t>
      </w:r>
      <w:r>
        <w:rPr>
          <w:rFonts w:hint="eastAsia" w:ascii="宋体" w:hAnsi="宋体"/>
          <w:color w:val="auto"/>
          <w:sz w:val="28"/>
          <w:szCs w:val="28"/>
        </w:rPr>
        <w:t>甲类车间一单元、</w:t>
      </w:r>
      <w:r>
        <w:rPr>
          <w:rFonts w:ascii="宋体" w:hAnsi="宋体"/>
          <w:color w:val="auto"/>
          <w:sz w:val="28"/>
          <w:szCs w:val="28"/>
        </w:rPr>
        <w:t>103</w:t>
      </w:r>
      <w:r>
        <w:rPr>
          <w:rFonts w:hint="eastAsia" w:ascii="宋体" w:hAnsi="宋体"/>
          <w:color w:val="auto"/>
          <w:sz w:val="28"/>
          <w:szCs w:val="28"/>
        </w:rPr>
        <w:t>液体制剂车间单元、</w:t>
      </w:r>
      <w:r>
        <w:rPr>
          <w:rFonts w:hint="eastAsia" w:ascii="宋体" w:hAnsi="宋体"/>
          <w:color w:val="auto"/>
          <w:kern w:val="0"/>
          <w:sz w:val="28"/>
          <w:szCs w:val="28"/>
        </w:rPr>
        <w:t>1</w:t>
      </w:r>
      <w:r>
        <w:rPr>
          <w:rFonts w:ascii="宋体" w:hAnsi="宋体"/>
          <w:color w:val="auto"/>
          <w:kern w:val="0"/>
          <w:sz w:val="28"/>
          <w:szCs w:val="28"/>
        </w:rPr>
        <w:t>04</w:t>
      </w:r>
      <w:r>
        <w:rPr>
          <w:rFonts w:hint="eastAsia" w:ascii="宋体" w:hAnsi="宋体"/>
          <w:color w:val="auto"/>
          <w:kern w:val="0"/>
          <w:sz w:val="28"/>
          <w:szCs w:val="28"/>
        </w:rPr>
        <w:t>颗粒剂车间单元单元均不构成</w:t>
      </w:r>
      <w:r>
        <w:rPr>
          <w:rFonts w:hint="eastAsia" w:ascii="宋体" w:hAnsi="宋体"/>
          <w:color w:val="auto"/>
          <w:sz w:val="28"/>
          <w:szCs w:val="28"/>
        </w:rPr>
        <w:t>重大危险源；储存单元中</w:t>
      </w:r>
      <w:r>
        <w:rPr>
          <w:color w:val="auto"/>
          <w:kern w:val="0"/>
          <w:sz w:val="28"/>
          <w:szCs w:val="28"/>
        </w:rPr>
        <w:t>201</w:t>
      </w:r>
      <w:r>
        <w:rPr>
          <w:rFonts w:hint="eastAsia"/>
          <w:color w:val="auto"/>
          <w:kern w:val="0"/>
          <w:sz w:val="28"/>
          <w:szCs w:val="28"/>
        </w:rPr>
        <w:t>甲类仓库一</w:t>
      </w:r>
      <w:r>
        <w:rPr>
          <w:rFonts w:hint="eastAsia" w:ascii="宋体" w:hAnsi="宋体"/>
          <w:color w:val="auto"/>
          <w:kern w:val="0"/>
          <w:sz w:val="28"/>
          <w:szCs w:val="28"/>
        </w:rPr>
        <w:t>储存单元、</w:t>
      </w:r>
      <w:r>
        <w:rPr>
          <w:color w:val="auto"/>
          <w:kern w:val="0"/>
          <w:sz w:val="28"/>
          <w:szCs w:val="28"/>
        </w:rPr>
        <w:t>202</w:t>
      </w:r>
      <w:r>
        <w:rPr>
          <w:rFonts w:hint="eastAsia"/>
          <w:color w:val="auto"/>
          <w:kern w:val="0"/>
          <w:sz w:val="28"/>
          <w:szCs w:val="28"/>
        </w:rPr>
        <w:t>甲类仓库二</w:t>
      </w:r>
      <w:r>
        <w:rPr>
          <w:rFonts w:hint="eastAsia" w:ascii="宋体" w:hAnsi="宋体"/>
          <w:color w:val="auto"/>
          <w:kern w:val="0"/>
          <w:sz w:val="28"/>
          <w:szCs w:val="28"/>
        </w:rPr>
        <w:t>储存单元、</w:t>
      </w:r>
      <w:r>
        <w:rPr>
          <w:color w:val="auto"/>
          <w:kern w:val="0"/>
          <w:sz w:val="28"/>
          <w:szCs w:val="28"/>
        </w:rPr>
        <w:t>205</w:t>
      </w:r>
      <w:r>
        <w:rPr>
          <w:rFonts w:hint="eastAsia"/>
          <w:color w:val="auto"/>
          <w:kern w:val="0"/>
          <w:sz w:val="28"/>
          <w:szCs w:val="28"/>
        </w:rPr>
        <w:t>甲类仓库三</w:t>
      </w:r>
      <w:r>
        <w:rPr>
          <w:rFonts w:hint="eastAsia" w:ascii="宋体" w:hAnsi="宋体"/>
          <w:color w:val="auto"/>
          <w:kern w:val="0"/>
          <w:sz w:val="28"/>
          <w:szCs w:val="28"/>
        </w:rPr>
        <w:t>储存单元均不</w:t>
      </w:r>
      <w:r>
        <w:rPr>
          <w:rFonts w:hint="eastAsia" w:ascii="宋体" w:hAnsi="宋体"/>
          <w:color w:val="auto"/>
          <w:sz w:val="28"/>
          <w:szCs w:val="28"/>
        </w:rPr>
        <w:t>构成重大危险源。</w:t>
      </w:r>
    </w:p>
    <w:p>
      <w:pPr>
        <w:widowControl/>
        <w:spacing w:before="100" w:beforeAutospacing="1" w:after="100" w:afterAutospacing="1"/>
        <w:ind w:firstLine="480" w:firstLineChars="200"/>
        <w:jc w:val="left"/>
        <w:rPr>
          <w:color w:val="auto"/>
          <w:kern w:val="0"/>
          <w:sz w:val="24"/>
        </w:rPr>
      </w:pPr>
      <w:r>
        <w:rPr>
          <w:color w:val="auto"/>
          <w:kern w:val="0"/>
          <w:sz w:val="24"/>
        </w:rPr>
        <w:br w:type="page"/>
      </w:r>
    </w:p>
    <w:p>
      <w:pPr>
        <w:keepNext/>
        <w:pageBreakBefore/>
        <w:widowControl/>
        <w:spacing w:line="600" w:lineRule="exact"/>
        <w:jc w:val="left"/>
        <w:outlineLvl w:val="0"/>
        <w:rPr>
          <w:b/>
          <w:color w:val="auto"/>
          <w:kern w:val="44"/>
          <w:sz w:val="32"/>
          <w:szCs w:val="32"/>
        </w:rPr>
      </w:pPr>
      <w:bookmarkStart w:id="269" w:name="_Toc144109252"/>
      <w:r>
        <w:rPr>
          <w:rFonts w:hint="eastAsia"/>
          <w:b/>
          <w:color w:val="auto"/>
          <w:kern w:val="44"/>
          <w:sz w:val="32"/>
          <w:szCs w:val="32"/>
        </w:rPr>
        <w:t>附录C</w:t>
      </w:r>
      <w:r>
        <w:rPr>
          <w:b/>
          <w:color w:val="auto"/>
          <w:kern w:val="44"/>
          <w:sz w:val="32"/>
          <w:szCs w:val="32"/>
        </w:rPr>
        <w:t>.</w:t>
      </w:r>
      <w:r>
        <w:rPr>
          <w:rFonts w:hint="eastAsia" w:ascii="宋体" w:hAnsi="宋体"/>
          <w:b/>
          <w:color w:val="auto"/>
          <w:kern w:val="44"/>
          <w:sz w:val="32"/>
          <w:szCs w:val="32"/>
        </w:rPr>
        <w:t>定性、定量分析危险、有害程度的过程</w:t>
      </w:r>
      <w:bookmarkEnd w:id="269"/>
    </w:p>
    <w:p>
      <w:pPr>
        <w:keepNext/>
        <w:keepLines/>
        <w:spacing w:line="580" w:lineRule="exact"/>
        <w:jc w:val="left"/>
        <w:outlineLvl w:val="1"/>
        <w:rPr>
          <w:rFonts w:ascii="Calibri Light" w:hAnsi="Calibri Light"/>
          <w:b/>
          <w:color w:val="auto"/>
          <w:sz w:val="30"/>
          <w:szCs w:val="30"/>
        </w:rPr>
      </w:pPr>
      <w:bookmarkStart w:id="270" w:name="_Toc144109253"/>
      <w:r>
        <w:rPr>
          <w:rFonts w:hint="eastAsia" w:ascii="Calibri Light" w:hAnsi="Calibri Light"/>
          <w:b/>
          <w:color w:val="auto"/>
          <w:sz w:val="30"/>
          <w:szCs w:val="30"/>
        </w:rPr>
        <w:t>C.</w:t>
      </w:r>
      <w:r>
        <w:rPr>
          <w:rFonts w:ascii="Calibri Light" w:hAnsi="Calibri Light"/>
          <w:b/>
          <w:color w:val="auto"/>
          <w:sz w:val="30"/>
          <w:szCs w:val="30"/>
        </w:rPr>
        <w:t>1.1</w:t>
      </w:r>
      <w:r>
        <w:rPr>
          <w:rFonts w:hint="eastAsia" w:ascii="Calibri Light" w:hAnsi="Calibri Light"/>
          <w:b/>
          <w:color w:val="auto"/>
          <w:sz w:val="30"/>
          <w:szCs w:val="30"/>
        </w:rPr>
        <w:t xml:space="preserve"> 项目选址与周边环境单元评价</w:t>
      </w:r>
      <w:bookmarkEnd w:id="270"/>
    </w:p>
    <w:p>
      <w:pPr>
        <w:spacing w:line="600" w:lineRule="exact"/>
        <w:ind w:firstLine="560" w:firstLineChars="200"/>
        <w:rPr>
          <w:rFonts w:ascii="宋体" w:hAnsi="宋体"/>
          <w:color w:val="auto"/>
          <w:sz w:val="28"/>
          <w:szCs w:val="28"/>
        </w:rPr>
      </w:pPr>
      <w:r>
        <w:rPr>
          <w:rFonts w:hint="eastAsia" w:ascii="宋体" w:hAnsi="宋体"/>
          <w:color w:val="auto"/>
          <w:sz w:val="28"/>
          <w:szCs w:val="28"/>
        </w:rPr>
        <w:t>该项目场地西侧为江西双佳科技股份有限公司，两公司共围墙，该项目</w:t>
      </w:r>
      <w:r>
        <w:rPr>
          <w:rFonts w:ascii="宋体" w:hAnsi="宋体"/>
          <w:color w:val="auto"/>
          <w:sz w:val="28"/>
          <w:szCs w:val="28"/>
        </w:rPr>
        <w:t>201</w:t>
      </w:r>
      <w:r>
        <w:rPr>
          <w:rFonts w:hint="eastAsia" w:ascii="宋体" w:hAnsi="宋体"/>
          <w:color w:val="auto"/>
          <w:sz w:val="28"/>
          <w:szCs w:val="28"/>
        </w:rPr>
        <w:t>甲类仓库一、1</w:t>
      </w:r>
      <w:r>
        <w:rPr>
          <w:rFonts w:ascii="宋体" w:hAnsi="宋体"/>
          <w:color w:val="auto"/>
          <w:sz w:val="28"/>
          <w:szCs w:val="28"/>
        </w:rPr>
        <w:t>01</w:t>
      </w:r>
      <w:r>
        <w:rPr>
          <w:rFonts w:hint="eastAsia" w:ascii="宋体" w:hAnsi="宋体"/>
          <w:color w:val="auto"/>
          <w:sz w:val="28"/>
          <w:szCs w:val="28"/>
        </w:rPr>
        <w:t>甲类车间一距离江西双佳科技股份有限公司最近丁类仓库分别为</w:t>
      </w:r>
      <w:r>
        <w:rPr>
          <w:rFonts w:ascii="宋体" w:hAnsi="宋体"/>
          <w:color w:val="auto"/>
          <w:sz w:val="28"/>
          <w:szCs w:val="28"/>
        </w:rPr>
        <w:t>29.7</w:t>
      </w:r>
      <w:r>
        <w:rPr>
          <w:rFonts w:hint="eastAsia" w:ascii="宋体" w:hAnsi="宋体"/>
          <w:color w:val="auto"/>
          <w:sz w:val="28"/>
          <w:szCs w:val="28"/>
        </w:rPr>
        <w:t>m、2</w:t>
      </w:r>
      <w:r>
        <w:rPr>
          <w:rFonts w:ascii="宋体" w:hAnsi="宋体"/>
          <w:color w:val="auto"/>
          <w:sz w:val="28"/>
          <w:szCs w:val="28"/>
        </w:rPr>
        <w:t>8</w:t>
      </w:r>
      <w:r>
        <w:rPr>
          <w:rFonts w:hint="eastAsia" w:ascii="宋体" w:hAnsi="宋体"/>
          <w:color w:val="auto"/>
          <w:sz w:val="28"/>
          <w:szCs w:val="28"/>
        </w:rPr>
        <w:t>m。东侧为盐化大道，隔道路对面为江西新富凯科技有限公司和江西明亮亚克力有限公司，企业围墙距离为</w:t>
      </w:r>
      <w:r>
        <w:rPr>
          <w:rFonts w:ascii="宋体" w:hAnsi="宋体"/>
          <w:color w:val="auto"/>
          <w:sz w:val="28"/>
          <w:szCs w:val="28"/>
        </w:rPr>
        <w:t>55</w:t>
      </w:r>
      <w:r>
        <w:rPr>
          <w:rFonts w:hint="eastAsia" w:ascii="宋体" w:hAnsi="宋体"/>
          <w:color w:val="auto"/>
          <w:sz w:val="28"/>
          <w:szCs w:val="28"/>
        </w:rPr>
        <w:t>m。厂区东侧沿盐化大道存在国防光缆，距离该项目场地</w:t>
      </w:r>
      <w:r>
        <w:rPr>
          <w:rFonts w:ascii="宋体" w:hAnsi="宋体"/>
          <w:color w:val="auto"/>
          <w:sz w:val="28"/>
          <w:szCs w:val="28"/>
        </w:rPr>
        <w:t>15.4</w:t>
      </w:r>
      <w:r>
        <w:rPr>
          <w:rFonts w:hint="eastAsia" w:ascii="宋体" w:hAnsi="宋体"/>
          <w:color w:val="auto"/>
          <w:sz w:val="28"/>
          <w:szCs w:val="28"/>
        </w:rPr>
        <w:t>m；同时存在一1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m），距离厂区拟建围墙9</w:t>
      </w:r>
      <w:r>
        <w:rPr>
          <w:rFonts w:ascii="宋体" w:hAnsi="宋体"/>
          <w:color w:val="auto"/>
          <w:sz w:val="28"/>
          <w:szCs w:val="28"/>
        </w:rPr>
        <w:t>.2</w:t>
      </w:r>
      <w:r>
        <w:rPr>
          <w:rFonts w:hint="eastAsia" w:ascii="宋体" w:hAnsi="宋体"/>
          <w:color w:val="auto"/>
          <w:sz w:val="28"/>
          <w:szCs w:val="28"/>
        </w:rPr>
        <w:t>m；厂区东侧沿盐化大道还存在园区蒸汽管道，距离该项目厂区围墙约5m。该项目场地南侧为吉安创新聚氨酯科技有限公司和吉安永翔硅业新材料有限公司，预留1</w:t>
      </w:r>
      <w:r>
        <w:rPr>
          <w:rFonts w:ascii="宋体" w:hAnsi="宋体"/>
          <w:color w:val="auto"/>
          <w:sz w:val="28"/>
          <w:szCs w:val="28"/>
        </w:rPr>
        <w:t>02</w:t>
      </w:r>
      <w:r>
        <w:rPr>
          <w:rFonts w:hint="eastAsia" w:ascii="宋体" w:hAnsi="宋体"/>
          <w:color w:val="auto"/>
          <w:sz w:val="28"/>
          <w:szCs w:val="28"/>
        </w:rPr>
        <w:t>甲类车间二距离吉安创新聚氨酯科技有限公司最近原料罐区丙类储罐3</w:t>
      </w:r>
      <w:r>
        <w:rPr>
          <w:rFonts w:ascii="宋体" w:hAnsi="宋体"/>
          <w:color w:val="auto"/>
          <w:sz w:val="28"/>
          <w:szCs w:val="28"/>
        </w:rPr>
        <w:t>8.8</w:t>
      </w:r>
      <w:r>
        <w:rPr>
          <w:rFonts w:hint="eastAsia" w:ascii="宋体" w:hAnsi="宋体"/>
          <w:color w:val="auto"/>
          <w:sz w:val="28"/>
          <w:szCs w:val="28"/>
        </w:rPr>
        <w:t>m。北侧为规划用地，厂区与规划用地中间为园区道路崛起路，北侧沿道路存在1</w:t>
      </w:r>
      <w:r>
        <w:rPr>
          <w:rFonts w:ascii="宋体" w:hAnsi="宋体"/>
          <w:color w:val="auto"/>
          <w:sz w:val="28"/>
          <w:szCs w:val="28"/>
        </w:rPr>
        <w:t>0</w:t>
      </w:r>
      <w:r>
        <w:rPr>
          <w:rFonts w:hint="eastAsia" w:ascii="宋体" w:hAnsi="宋体"/>
          <w:color w:val="auto"/>
          <w:sz w:val="28"/>
          <w:szCs w:val="28"/>
        </w:rPr>
        <w:t>KV架空电力线（杆高1</w:t>
      </w:r>
      <w:r>
        <w:rPr>
          <w:rFonts w:ascii="宋体" w:hAnsi="宋体"/>
          <w:color w:val="auto"/>
          <w:sz w:val="28"/>
          <w:szCs w:val="28"/>
        </w:rPr>
        <w:t>5</w:t>
      </w:r>
      <w:r>
        <w:rPr>
          <w:rFonts w:hint="eastAsia" w:ascii="宋体" w:hAnsi="宋体"/>
          <w:color w:val="auto"/>
          <w:sz w:val="28"/>
          <w:szCs w:val="28"/>
        </w:rPr>
        <w:t>m），距离厂区拟建围墙3</w:t>
      </w:r>
      <w:r>
        <w:rPr>
          <w:rFonts w:ascii="宋体" w:hAnsi="宋体"/>
          <w:color w:val="auto"/>
          <w:sz w:val="28"/>
          <w:szCs w:val="28"/>
        </w:rPr>
        <w:t>0</w:t>
      </w:r>
      <w:r>
        <w:rPr>
          <w:rFonts w:hint="eastAsia" w:ascii="宋体" w:hAnsi="宋体"/>
          <w:color w:val="auto"/>
          <w:sz w:val="28"/>
          <w:szCs w:val="28"/>
        </w:rPr>
        <w:t>m；北侧沿道路同时存在园区蒸汽管道，距离项目厂区围墙约3m。</w:t>
      </w:r>
    </w:p>
    <w:p>
      <w:pPr>
        <w:spacing w:line="600" w:lineRule="exact"/>
        <w:jc w:val="center"/>
        <w:rPr>
          <w:rFonts w:ascii="宋体" w:hAnsi="宋体"/>
          <w:color w:val="auto"/>
          <w:sz w:val="24"/>
          <w:szCs w:val="24"/>
        </w:rPr>
      </w:pPr>
      <w:r>
        <w:rPr>
          <w:rFonts w:hint="eastAsia" w:ascii="宋体" w:hAnsi="宋体"/>
          <w:color w:val="auto"/>
          <w:sz w:val="24"/>
          <w:szCs w:val="24"/>
        </w:rPr>
        <w:t>表C</w:t>
      </w:r>
      <w:r>
        <w:rPr>
          <w:rFonts w:ascii="宋体" w:hAnsi="宋体"/>
          <w:color w:val="auto"/>
          <w:sz w:val="24"/>
          <w:szCs w:val="24"/>
        </w:rPr>
        <w:t>.1</w:t>
      </w:r>
      <w:r>
        <w:rPr>
          <w:rFonts w:hint="eastAsia" w:ascii="宋体" w:hAnsi="宋体"/>
          <w:color w:val="auto"/>
          <w:sz w:val="24"/>
          <w:szCs w:val="24"/>
        </w:rPr>
        <w:t>-1 周边环境符合性情况一览表</w:t>
      </w:r>
    </w:p>
    <w:tbl>
      <w:tblPr>
        <w:tblStyle w:val="31"/>
        <w:tblW w:w="999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0"/>
        <w:gridCol w:w="1310"/>
        <w:gridCol w:w="2126"/>
        <w:gridCol w:w="425"/>
        <w:gridCol w:w="1134"/>
        <w:gridCol w:w="851"/>
        <w:gridCol w:w="2544"/>
        <w:gridCol w:w="9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color w:val="auto"/>
              </w:rPr>
              <w:t>序号</w:t>
            </w:r>
          </w:p>
        </w:tc>
        <w:tc>
          <w:tcPr>
            <w:tcW w:w="131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color w:val="auto"/>
              </w:rPr>
              <w:t>建构筑物</w:t>
            </w:r>
          </w:p>
        </w:tc>
        <w:tc>
          <w:tcPr>
            <w:tcW w:w="2126"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ascii="宋体" w:hAnsi="宋体"/>
                <w:color w:val="auto"/>
              </w:rPr>
              <w:t>周边设施</w:t>
            </w:r>
          </w:p>
        </w:tc>
        <w:tc>
          <w:tcPr>
            <w:tcW w:w="425"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ascii="宋体" w:hAnsi="宋体"/>
                <w:color w:val="auto"/>
              </w:rPr>
              <w:t>方位</w:t>
            </w:r>
          </w:p>
        </w:tc>
        <w:tc>
          <w:tcPr>
            <w:tcW w:w="113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ascii="宋体" w:hAnsi="宋体"/>
                <w:color w:val="auto"/>
              </w:rPr>
              <w:t>与该项目间距</w:t>
            </w:r>
            <w:r>
              <w:rPr>
                <w:color w:val="auto"/>
              </w:rPr>
              <w:t>m</w:t>
            </w: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规范距离m</w:t>
            </w:r>
          </w:p>
        </w:tc>
        <w:tc>
          <w:tcPr>
            <w:tcW w:w="254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color w:val="auto"/>
              </w:rPr>
              <w:t>检查依据</w:t>
            </w:r>
          </w:p>
        </w:tc>
        <w:tc>
          <w:tcPr>
            <w:tcW w:w="939"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bCs/>
                <w:color w:val="auto"/>
              </w:rPr>
            </w:pPr>
            <w:r>
              <w:rPr>
                <w:rFonts w:hint="eastAsia" w:ascii="宋体" w:hAnsi="宋体"/>
                <w:color w:val="auto"/>
              </w:rPr>
              <w:t>检查结果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pStyle w:val="57"/>
              <w:numPr>
                <w:ilvl w:val="0"/>
                <w:numId w:val="34"/>
              </w:numPr>
              <w:spacing w:line="280" w:lineRule="exact"/>
              <w:ind w:firstLineChars="0"/>
              <w:jc w:val="center"/>
              <w:rPr>
                <w:rFonts w:ascii="宋体" w:hAnsi="宋体"/>
                <w:color w:val="auto"/>
              </w:rPr>
            </w:pPr>
          </w:p>
        </w:tc>
        <w:tc>
          <w:tcPr>
            <w:tcW w:w="131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bCs/>
                <w:color w:val="auto"/>
              </w:rPr>
              <w:t>该项目2</w:t>
            </w:r>
            <w:r>
              <w:rPr>
                <w:rFonts w:ascii="宋体" w:hAnsi="宋体"/>
                <w:bCs/>
                <w:color w:val="auto"/>
              </w:rPr>
              <w:t>01</w:t>
            </w:r>
            <w:r>
              <w:rPr>
                <w:rFonts w:hint="eastAsia" w:ascii="宋体" w:hAnsi="宋体"/>
                <w:bCs/>
                <w:color w:val="auto"/>
              </w:rPr>
              <w:t>甲类仓库一</w:t>
            </w:r>
          </w:p>
        </w:tc>
        <w:tc>
          <w:tcPr>
            <w:tcW w:w="2126"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ascii="宋体" w:hAnsi="宋体"/>
                <w:color w:val="auto"/>
              </w:rPr>
              <w:t>江西双佳科技股份有限公司</w:t>
            </w:r>
            <w:r>
              <w:rPr>
                <w:rFonts w:hint="eastAsia" w:ascii="宋体" w:hAnsi="宋体"/>
                <w:bCs/>
                <w:color w:val="auto"/>
              </w:rPr>
              <w:t>丁类仓库</w:t>
            </w:r>
          </w:p>
        </w:tc>
        <w:tc>
          <w:tcPr>
            <w:tcW w:w="425"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W</w:t>
            </w:r>
          </w:p>
        </w:tc>
        <w:tc>
          <w:tcPr>
            <w:tcW w:w="113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color w:val="auto"/>
              </w:rPr>
              <w:t>29.7</w:t>
            </w: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1</w:t>
            </w:r>
            <w:r>
              <w:rPr>
                <w:color w:val="auto"/>
              </w:rPr>
              <w:t>2</w:t>
            </w:r>
          </w:p>
        </w:tc>
        <w:tc>
          <w:tcPr>
            <w:tcW w:w="2544" w:type="dxa"/>
            <w:tcBorders>
              <w:top w:val="single" w:color="000000" w:sz="4" w:space="0"/>
              <w:left w:val="single" w:color="000000" w:sz="4" w:space="0"/>
              <w:bottom w:val="single" w:color="000000" w:sz="4" w:space="0"/>
              <w:right w:val="single" w:color="000000" w:sz="4" w:space="0"/>
            </w:tcBorders>
          </w:tcPr>
          <w:p>
            <w:pPr>
              <w:spacing w:line="280" w:lineRule="exact"/>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年版）第3</w:t>
            </w:r>
            <w:r>
              <w:rPr>
                <w:bCs/>
                <w:color w:val="auto"/>
              </w:rPr>
              <w:t>.5.1</w:t>
            </w:r>
          </w:p>
        </w:tc>
        <w:tc>
          <w:tcPr>
            <w:tcW w:w="939"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bCs/>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pStyle w:val="57"/>
              <w:numPr>
                <w:ilvl w:val="0"/>
                <w:numId w:val="34"/>
              </w:numPr>
              <w:spacing w:line="280" w:lineRule="exact"/>
              <w:ind w:firstLineChars="0"/>
              <w:jc w:val="center"/>
              <w:rPr>
                <w:rFonts w:ascii="宋体" w:hAnsi="宋体"/>
                <w:color w:val="auto"/>
              </w:rPr>
            </w:pPr>
          </w:p>
        </w:tc>
        <w:tc>
          <w:tcPr>
            <w:tcW w:w="131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bCs/>
                <w:color w:val="auto"/>
              </w:rPr>
            </w:pPr>
            <w:r>
              <w:rPr>
                <w:rFonts w:hint="eastAsia" w:ascii="宋体" w:hAnsi="宋体"/>
                <w:bCs/>
                <w:color w:val="auto"/>
              </w:rPr>
              <w:t>该项目</w:t>
            </w:r>
            <w:r>
              <w:rPr>
                <w:rFonts w:ascii="宋体" w:hAnsi="宋体"/>
                <w:bCs/>
                <w:color w:val="auto"/>
              </w:rPr>
              <w:t>101</w:t>
            </w:r>
            <w:r>
              <w:rPr>
                <w:rFonts w:hint="eastAsia" w:ascii="宋体" w:hAnsi="宋体"/>
                <w:bCs/>
                <w:color w:val="auto"/>
              </w:rPr>
              <w:t>甲类车间一</w:t>
            </w:r>
          </w:p>
        </w:tc>
        <w:tc>
          <w:tcPr>
            <w:tcW w:w="2126"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color w:val="auto"/>
              </w:rPr>
              <w:t>江西双佳科技股份有限公司</w:t>
            </w:r>
            <w:r>
              <w:rPr>
                <w:rFonts w:hint="eastAsia" w:ascii="宋体" w:hAnsi="宋体"/>
                <w:bCs/>
                <w:color w:val="auto"/>
              </w:rPr>
              <w:t>丁类仓库</w:t>
            </w:r>
          </w:p>
        </w:tc>
        <w:tc>
          <w:tcPr>
            <w:tcW w:w="425"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W</w:t>
            </w:r>
          </w:p>
        </w:tc>
        <w:tc>
          <w:tcPr>
            <w:tcW w:w="113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color w:val="auto"/>
              </w:rPr>
              <w:t>28</w:t>
            </w: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1</w:t>
            </w:r>
            <w:r>
              <w:rPr>
                <w:color w:val="auto"/>
              </w:rPr>
              <w:t>2</w:t>
            </w:r>
          </w:p>
        </w:tc>
        <w:tc>
          <w:tcPr>
            <w:tcW w:w="2544" w:type="dxa"/>
            <w:tcBorders>
              <w:top w:val="single" w:color="000000" w:sz="4" w:space="0"/>
              <w:left w:val="single" w:color="000000" w:sz="4" w:space="0"/>
              <w:bottom w:val="single" w:color="000000" w:sz="4" w:space="0"/>
              <w:right w:val="single" w:color="000000" w:sz="4" w:space="0"/>
            </w:tcBorders>
          </w:tcPr>
          <w:p>
            <w:pPr>
              <w:spacing w:line="280" w:lineRule="exact"/>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年版）第3</w:t>
            </w:r>
            <w:r>
              <w:rPr>
                <w:bCs/>
                <w:color w:val="auto"/>
              </w:rPr>
              <w:t>.4.1</w:t>
            </w:r>
          </w:p>
        </w:tc>
        <w:tc>
          <w:tcPr>
            <w:tcW w:w="939" w:type="dxa"/>
            <w:tcBorders>
              <w:top w:val="single" w:color="000000" w:sz="4" w:space="0"/>
              <w:left w:val="single" w:color="000000" w:sz="4" w:space="0"/>
              <w:bottom w:val="single" w:color="000000" w:sz="4" w:space="0"/>
              <w:right w:val="single" w:color="000000" w:sz="4" w:space="0"/>
            </w:tcBorders>
          </w:tcPr>
          <w:p>
            <w:pPr>
              <w:spacing w:line="280" w:lineRule="exact"/>
              <w:jc w:val="center"/>
              <w:rPr>
                <w:bCs/>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pStyle w:val="57"/>
              <w:numPr>
                <w:ilvl w:val="0"/>
                <w:numId w:val="34"/>
              </w:numPr>
              <w:spacing w:line="280" w:lineRule="exact"/>
              <w:ind w:firstLineChars="0"/>
              <w:jc w:val="center"/>
              <w:rPr>
                <w:rFonts w:ascii="宋体" w:hAnsi="宋体"/>
                <w:color w:val="auto"/>
              </w:rPr>
            </w:pPr>
          </w:p>
        </w:tc>
        <w:tc>
          <w:tcPr>
            <w:tcW w:w="131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ascii="宋体" w:hAnsi="宋体"/>
                <w:color w:val="auto"/>
              </w:rPr>
            </w:pPr>
            <w:r>
              <w:rPr>
                <w:rFonts w:hint="eastAsia" w:ascii="宋体" w:hAnsi="宋体"/>
                <w:bCs/>
                <w:color w:val="auto"/>
              </w:rPr>
              <w:t>该项目2</w:t>
            </w:r>
            <w:r>
              <w:rPr>
                <w:rFonts w:ascii="宋体" w:hAnsi="宋体"/>
                <w:bCs/>
                <w:color w:val="auto"/>
              </w:rPr>
              <w:t>0</w:t>
            </w:r>
            <w:r>
              <w:rPr>
                <w:rFonts w:hint="eastAsia" w:ascii="宋体" w:hAnsi="宋体"/>
                <w:bCs/>
                <w:color w:val="auto"/>
                <w:lang w:val="en-US" w:eastAsia="zh-CN"/>
              </w:rPr>
              <w:t>3</w:t>
            </w:r>
            <w:r>
              <w:rPr>
                <w:rFonts w:hint="eastAsia" w:ascii="宋体" w:hAnsi="宋体"/>
                <w:bCs/>
                <w:color w:val="auto"/>
              </w:rPr>
              <w:t>丙类仓库</w:t>
            </w:r>
            <w:r>
              <w:rPr>
                <w:rFonts w:hint="eastAsia" w:ascii="宋体" w:hAnsi="宋体"/>
                <w:bCs/>
                <w:color w:val="auto"/>
                <w:lang w:val="en-US" w:eastAsia="zh-CN"/>
              </w:rPr>
              <w:t>一</w:t>
            </w:r>
          </w:p>
        </w:tc>
        <w:tc>
          <w:tcPr>
            <w:tcW w:w="2126"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ascii="宋体" w:hAnsi="宋体"/>
                <w:color w:val="auto"/>
              </w:rPr>
              <w:t>江西新富凯科技有限公司办公楼</w:t>
            </w:r>
          </w:p>
        </w:tc>
        <w:tc>
          <w:tcPr>
            <w:tcW w:w="425"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E</w:t>
            </w:r>
          </w:p>
        </w:tc>
        <w:tc>
          <w:tcPr>
            <w:tcW w:w="113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color w:val="auto"/>
              </w:rPr>
              <w:t>67.5</w:t>
            </w: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1</w:t>
            </w:r>
            <w:r>
              <w:rPr>
                <w:color w:val="auto"/>
              </w:rPr>
              <w:t>0</w:t>
            </w:r>
          </w:p>
        </w:tc>
        <w:tc>
          <w:tcPr>
            <w:tcW w:w="2544" w:type="dxa"/>
            <w:tcBorders>
              <w:top w:val="single" w:color="000000" w:sz="4" w:space="0"/>
              <w:left w:val="single" w:color="000000" w:sz="4" w:space="0"/>
              <w:bottom w:val="single" w:color="000000" w:sz="4" w:space="0"/>
              <w:right w:val="single" w:color="000000" w:sz="4" w:space="0"/>
            </w:tcBorders>
          </w:tcPr>
          <w:p>
            <w:pPr>
              <w:spacing w:line="280" w:lineRule="exact"/>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年版）第3</w:t>
            </w:r>
            <w:r>
              <w:rPr>
                <w:bCs/>
                <w:color w:val="auto"/>
              </w:rPr>
              <w:t>.4.1</w:t>
            </w:r>
          </w:p>
        </w:tc>
        <w:tc>
          <w:tcPr>
            <w:tcW w:w="939" w:type="dxa"/>
            <w:tcBorders>
              <w:top w:val="single" w:color="000000" w:sz="4" w:space="0"/>
              <w:left w:val="single" w:color="000000" w:sz="4" w:space="0"/>
              <w:bottom w:val="single" w:color="000000" w:sz="4" w:space="0"/>
              <w:right w:val="single" w:color="000000" w:sz="4" w:space="0"/>
            </w:tcBorders>
          </w:tcPr>
          <w:p>
            <w:pPr>
              <w:spacing w:line="280" w:lineRule="exact"/>
              <w:jc w:val="center"/>
              <w:rPr>
                <w:bCs/>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pStyle w:val="57"/>
              <w:numPr>
                <w:ilvl w:val="0"/>
                <w:numId w:val="34"/>
              </w:numPr>
              <w:spacing w:line="280" w:lineRule="exact"/>
              <w:ind w:firstLineChars="0"/>
              <w:jc w:val="center"/>
              <w:rPr>
                <w:rFonts w:ascii="宋体" w:hAnsi="宋体"/>
                <w:color w:val="auto"/>
              </w:rPr>
            </w:pPr>
          </w:p>
        </w:tc>
        <w:tc>
          <w:tcPr>
            <w:tcW w:w="1310"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rFonts w:hint="eastAsia" w:ascii="宋体" w:hAnsi="宋体" w:eastAsia="宋体"/>
                <w:color w:val="auto"/>
                <w:lang w:eastAsia="zh-CN"/>
              </w:rPr>
            </w:pPr>
            <w:r>
              <w:rPr>
                <w:rFonts w:hint="eastAsia" w:ascii="宋体" w:hAnsi="宋体"/>
                <w:bCs/>
                <w:color w:val="auto"/>
              </w:rPr>
              <w:t>该项目2</w:t>
            </w:r>
            <w:r>
              <w:rPr>
                <w:rFonts w:ascii="宋体" w:hAnsi="宋体"/>
                <w:bCs/>
                <w:color w:val="auto"/>
              </w:rPr>
              <w:t>0</w:t>
            </w:r>
            <w:r>
              <w:rPr>
                <w:rFonts w:hint="eastAsia" w:ascii="宋体" w:hAnsi="宋体"/>
                <w:bCs/>
                <w:color w:val="auto"/>
                <w:lang w:val="en-US" w:eastAsia="zh-CN"/>
              </w:rPr>
              <w:t>3</w:t>
            </w:r>
            <w:r>
              <w:rPr>
                <w:rFonts w:hint="eastAsia" w:ascii="宋体" w:hAnsi="宋体"/>
                <w:bCs/>
                <w:color w:val="auto"/>
              </w:rPr>
              <w:t>丙类仓库</w:t>
            </w:r>
            <w:r>
              <w:rPr>
                <w:rFonts w:hint="eastAsia" w:ascii="宋体" w:hAnsi="宋体"/>
                <w:bCs/>
                <w:color w:val="auto"/>
                <w:lang w:val="en-US" w:eastAsia="zh-CN"/>
              </w:rPr>
              <w:t>一</w:t>
            </w:r>
          </w:p>
        </w:tc>
        <w:tc>
          <w:tcPr>
            <w:tcW w:w="2126"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ascii="宋体" w:hAnsi="宋体"/>
                <w:color w:val="auto"/>
              </w:rPr>
              <w:t>江西明亮亚克力有限公司厂房</w:t>
            </w:r>
          </w:p>
        </w:tc>
        <w:tc>
          <w:tcPr>
            <w:tcW w:w="425"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E</w:t>
            </w:r>
          </w:p>
        </w:tc>
        <w:tc>
          <w:tcPr>
            <w:tcW w:w="113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color w:val="auto"/>
              </w:rPr>
              <w:t>67.5</w:t>
            </w: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color w:val="auto"/>
              </w:rPr>
              <w:t>10</w:t>
            </w:r>
          </w:p>
        </w:tc>
        <w:tc>
          <w:tcPr>
            <w:tcW w:w="2544" w:type="dxa"/>
            <w:tcBorders>
              <w:top w:val="single" w:color="000000" w:sz="4" w:space="0"/>
              <w:left w:val="single" w:color="000000" w:sz="4" w:space="0"/>
              <w:bottom w:val="single" w:color="000000" w:sz="4" w:space="0"/>
              <w:right w:val="single" w:color="000000" w:sz="4" w:space="0"/>
            </w:tcBorders>
            <w:vAlign w:val="center"/>
          </w:tcPr>
          <w:p>
            <w:pPr>
              <w:spacing w:line="280" w:lineRule="exact"/>
              <w:jc w:val="center"/>
              <w:rPr>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年版）第3</w:t>
            </w:r>
            <w:r>
              <w:rPr>
                <w:bCs/>
                <w:color w:val="auto"/>
              </w:rPr>
              <w:t>.4.1</w:t>
            </w:r>
          </w:p>
        </w:tc>
        <w:tc>
          <w:tcPr>
            <w:tcW w:w="939" w:type="dxa"/>
            <w:tcBorders>
              <w:top w:val="single" w:color="000000" w:sz="4" w:space="0"/>
              <w:left w:val="single" w:color="000000" w:sz="4" w:space="0"/>
              <w:bottom w:val="single" w:color="000000" w:sz="4" w:space="0"/>
              <w:right w:val="single" w:color="000000" w:sz="4" w:space="0"/>
            </w:tcBorders>
          </w:tcPr>
          <w:p>
            <w:pPr>
              <w:spacing w:line="280" w:lineRule="exact"/>
              <w:jc w:val="center"/>
              <w:rPr>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bottom w:val="single" w:color="000000" w:sz="4" w:space="0"/>
              <w:right w:val="single" w:color="000000" w:sz="4" w:space="0"/>
            </w:tcBorders>
            <w:vAlign w:val="center"/>
          </w:tcPr>
          <w:p>
            <w:pPr>
              <w:pStyle w:val="57"/>
              <w:numPr>
                <w:ilvl w:val="0"/>
                <w:numId w:val="34"/>
              </w:numPr>
              <w:ind w:firstLineChars="0"/>
              <w:jc w:val="center"/>
              <w:rPr>
                <w:color w:val="auto"/>
              </w:rPr>
            </w:pPr>
          </w:p>
        </w:tc>
        <w:tc>
          <w:tcPr>
            <w:tcW w:w="1310"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ascii="宋体" w:hAnsi="宋体"/>
                <w:bCs/>
                <w:color w:val="auto"/>
              </w:rPr>
              <w:t>预留1</w:t>
            </w:r>
            <w:r>
              <w:rPr>
                <w:rFonts w:ascii="宋体" w:hAnsi="宋体"/>
                <w:bCs/>
                <w:color w:val="auto"/>
              </w:rPr>
              <w:t>02</w:t>
            </w:r>
            <w:r>
              <w:rPr>
                <w:rFonts w:hint="eastAsia" w:ascii="宋体" w:hAnsi="宋体"/>
                <w:bCs/>
                <w:color w:val="auto"/>
              </w:rPr>
              <w:t>甲类车间二</w:t>
            </w:r>
          </w:p>
        </w:tc>
        <w:tc>
          <w:tcPr>
            <w:tcW w:w="2126"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吉安创新聚氨酯科技有限公司原料罐区</w:t>
            </w:r>
            <w:r>
              <w:rPr>
                <w:rFonts w:hint="eastAsia" w:ascii="宋体" w:hAnsi="宋体"/>
                <w:bCs/>
                <w:color w:val="auto"/>
              </w:rPr>
              <w:t>丙类储罐</w:t>
            </w:r>
          </w:p>
        </w:tc>
        <w:tc>
          <w:tcPr>
            <w:tcW w:w="425"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S</w:t>
            </w:r>
          </w:p>
        </w:tc>
        <w:tc>
          <w:tcPr>
            <w:tcW w:w="113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color w:val="auto"/>
              </w:rPr>
              <w:t>38.8</w:t>
            </w:r>
          </w:p>
        </w:tc>
        <w:tc>
          <w:tcPr>
            <w:tcW w:w="851"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3</w:t>
            </w:r>
            <w:r>
              <w:rPr>
                <w:color w:val="auto"/>
              </w:rPr>
              <w:t>0</w:t>
            </w:r>
          </w:p>
        </w:tc>
        <w:tc>
          <w:tcPr>
            <w:tcW w:w="2544" w:type="dxa"/>
            <w:tcBorders>
              <w:top w:val="single" w:color="000000" w:sz="4" w:space="0"/>
              <w:left w:val="single" w:color="000000" w:sz="4" w:space="0"/>
              <w:bottom w:val="single" w:color="000000" w:sz="4" w:space="0"/>
              <w:right w:val="single" w:color="000000" w:sz="4" w:space="0"/>
            </w:tcBorders>
            <w:vAlign w:val="center"/>
          </w:tcPr>
          <w:p>
            <w:pPr>
              <w:jc w:val="center"/>
              <w:rPr>
                <w:color w:val="auto"/>
              </w:rPr>
            </w:pPr>
            <w:r>
              <w:rPr>
                <w:rFonts w:hint="eastAsia"/>
                <w:color w:val="auto"/>
              </w:rPr>
              <w:t>《精细化工企业工程设计防火标准》GB</w:t>
            </w:r>
            <w:r>
              <w:rPr>
                <w:color w:val="auto"/>
              </w:rPr>
              <w:t>51283-2020</w:t>
            </w:r>
            <w:r>
              <w:rPr>
                <w:rFonts w:hint="eastAsia"/>
                <w:color w:val="auto"/>
              </w:rPr>
              <w:t>第4</w:t>
            </w:r>
            <w:r>
              <w:rPr>
                <w:color w:val="auto"/>
              </w:rPr>
              <w:t>.1.6</w:t>
            </w:r>
          </w:p>
        </w:tc>
        <w:tc>
          <w:tcPr>
            <w:tcW w:w="939" w:type="dxa"/>
            <w:tcBorders>
              <w:top w:val="single" w:color="000000" w:sz="4" w:space="0"/>
              <w:left w:val="single" w:color="000000" w:sz="4" w:space="0"/>
              <w:bottom w:val="single" w:color="000000" w:sz="4" w:space="0"/>
              <w:right w:val="single" w:color="000000" w:sz="4" w:space="0"/>
            </w:tcBorders>
          </w:tcPr>
          <w:p>
            <w:pPr>
              <w:jc w:val="center"/>
              <w:rPr>
                <w:color w:val="auto"/>
                <w:highlight w:val="yellow"/>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right w:val="single" w:color="000000" w:sz="4" w:space="0"/>
            </w:tcBorders>
            <w:vAlign w:val="center"/>
          </w:tcPr>
          <w:p>
            <w:pPr>
              <w:pStyle w:val="57"/>
              <w:numPr>
                <w:ilvl w:val="0"/>
                <w:numId w:val="34"/>
              </w:numPr>
              <w:ind w:firstLineChars="0"/>
              <w:jc w:val="center"/>
              <w:rPr>
                <w:color w:val="auto"/>
              </w:rPr>
            </w:pPr>
          </w:p>
        </w:tc>
        <w:tc>
          <w:tcPr>
            <w:tcW w:w="1310" w:type="dxa"/>
            <w:tcBorders>
              <w:top w:val="single" w:color="000000" w:sz="4" w:space="0"/>
              <w:left w:val="single" w:color="000000" w:sz="4" w:space="0"/>
              <w:right w:val="single" w:color="000000" w:sz="4" w:space="0"/>
            </w:tcBorders>
            <w:vAlign w:val="center"/>
          </w:tcPr>
          <w:p>
            <w:pPr>
              <w:jc w:val="center"/>
              <w:rPr>
                <w:color w:val="auto"/>
              </w:rPr>
            </w:pPr>
            <w:r>
              <w:rPr>
                <w:rFonts w:hint="eastAsia"/>
                <w:bCs/>
                <w:color w:val="auto"/>
              </w:rPr>
              <w:t>该项目2</w:t>
            </w:r>
            <w:r>
              <w:rPr>
                <w:bCs/>
                <w:color w:val="auto"/>
              </w:rPr>
              <w:t>02</w:t>
            </w:r>
            <w:r>
              <w:rPr>
                <w:rFonts w:hint="eastAsia"/>
                <w:bCs/>
                <w:color w:val="auto"/>
              </w:rPr>
              <w:t>甲类仓库二</w:t>
            </w:r>
          </w:p>
        </w:tc>
        <w:tc>
          <w:tcPr>
            <w:tcW w:w="2126"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1</w:t>
            </w:r>
            <w:r>
              <w:rPr>
                <w:color w:val="auto"/>
              </w:rPr>
              <w:t>0</w:t>
            </w:r>
            <w:r>
              <w:rPr>
                <w:rFonts w:hint="eastAsia"/>
                <w:color w:val="auto"/>
              </w:rPr>
              <w:t>KV架空电力线（杆高1</w:t>
            </w:r>
            <w:r>
              <w:rPr>
                <w:color w:val="auto"/>
              </w:rPr>
              <w:t>5</w:t>
            </w:r>
            <w:r>
              <w:rPr>
                <w:rFonts w:hint="eastAsia"/>
                <w:color w:val="auto"/>
              </w:rPr>
              <w:t>m）</w:t>
            </w:r>
          </w:p>
        </w:tc>
        <w:tc>
          <w:tcPr>
            <w:tcW w:w="425"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N</w:t>
            </w:r>
          </w:p>
        </w:tc>
        <w:tc>
          <w:tcPr>
            <w:tcW w:w="1134"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1</w:t>
            </w:r>
            <w:r>
              <w:rPr>
                <w:color w:val="auto"/>
              </w:rPr>
              <w:t>14.3</w:t>
            </w:r>
          </w:p>
        </w:tc>
        <w:tc>
          <w:tcPr>
            <w:tcW w:w="851"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2</w:t>
            </w:r>
            <w:r>
              <w:rPr>
                <w:color w:val="auto"/>
              </w:rPr>
              <w:t>2.5</w:t>
            </w:r>
          </w:p>
        </w:tc>
        <w:tc>
          <w:tcPr>
            <w:tcW w:w="2544" w:type="dxa"/>
            <w:tcBorders>
              <w:top w:val="single" w:color="000000" w:sz="4" w:space="0"/>
              <w:left w:val="single" w:color="000000" w:sz="4" w:space="0"/>
              <w:right w:val="single" w:color="000000" w:sz="4" w:space="0"/>
            </w:tcBorders>
            <w:vAlign w:val="center"/>
          </w:tcPr>
          <w:p>
            <w:pPr>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w:t>
            </w:r>
            <w:r>
              <w:rPr>
                <w:bCs/>
                <w:color w:val="auto"/>
              </w:rPr>
              <w:t>10.2.1</w:t>
            </w:r>
          </w:p>
        </w:tc>
        <w:tc>
          <w:tcPr>
            <w:tcW w:w="939" w:type="dxa"/>
            <w:tcBorders>
              <w:top w:val="single" w:color="000000" w:sz="4" w:space="0"/>
              <w:left w:val="single" w:color="000000" w:sz="4" w:space="0"/>
              <w:bottom w:val="single" w:color="000000" w:sz="4" w:space="0"/>
              <w:right w:val="single" w:color="000000" w:sz="4" w:space="0"/>
            </w:tcBorders>
          </w:tcPr>
          <w:p>
            <w:pPr>
              <w:jc w:val="center"/>
              <w:rPr>
                <w:bCs/>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right w:val="single" w:color="000000" w:sz="4" w:space="0"/>
            </w:tcBorders>
            <w:vAlign w:val="center"/>
          </w:tcPr>
          <w:p>
            <w:pPr>
              <w:pStyle w:val="57"/>
              <w:numPr>
                <w:ilvl w:val="0"/>
                <w:numId w:val="34"/>
              </w:numPr>
              <w:ind w:firstLineChars="0"/>
              <w:jc w:val="center"/>
              <w:rPr>
                <w:color w:val="auto"/>
              </w:rPr>
            </w:pPr>
          </w:p>
        </w:tc>
        <w:tc>
          <w:tcPr>
            <w:tcW w:w="1310" w:type="dxa"/>
            <w:vMerge w:val="restart"/>
            <w:tcBorders>
              <w:top w:val="single" w:color="000000" w:sz="4" w:space="0"/>
              <w:left w:val="single" w:color="000000" w:sz="4" w:space="0"/>
              <w:right w:val="single" w:color="000000" w:sz="4" w:space="0"/>
            </w:tcBorders>
            <w:vAlign w:val="center"/>
          </w:tcPr>
          <w:p>
            <w:pPr>
              <w:jc w:val="center"/>
              <w:rPr>
                <w:color w:val="auto"/>
              </w:rPr>
            </w:pPr>
            <w:r>
              <w:rPr>
                <w:rFonts w:hint="eastAsia"/>
                <w:bCs/>
                <w:color w:val="auto"/>
              </w:rPr>
              <w:t>该项目2</w:t>
            </w:r>
            <w:r>
              <w:rPr>
                <w:bCs/>
                <w:color w:val="auto"/>
              </w:rPr>
              <w:t>05</w:t>
            </w:r>
            <w:r>
              <w:rPr>
                <w:rFonts w:hint="eastAsia"/>
                <w:bCs/>
                <w:color w:val="auto"/>
              </w:rPr>
              <w:t>甲类仓库三</w:t>
            </w:r>
          </w:p>
        </w:tc>
        <w:tc>
          <w:tcPr>
            <w:tcW w:w="2126"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1</w:t>
            </w:r>
            <w:r>
              <w:rPr>
                <w:color w:val="auto"/>
              </w:rPr>
              <w:t>0</w:t>
            </w:r>
            <w:r>
              <w:rPr>
                <w:rFonts w:hint="eastAsia"/>
                <w:color w:val="auto"/>
              </w:rPr>
              <w:t>KV架空电力线（杆高1</w:t>
            </w:r>
            <w:r>
              <w:rPr>
                <w:color w:val="auto"/>
              </w:rPr>
              <w:t>5</w:t>
            </w:r>
            <w:r>
              <w:rPr>
                <w:rFonts w:hint="eastAsia"/>
                <w:color w:val="auto"/>
              </w:rPr>
              <w:t>m）</w:t>
            </w:r>
          </w:p>
        </w:tc>
        <w:tc>
          <w:tcPr>
            <w:tcW w:w="425"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E</w:t>
            </w:r>
          </w:p>
        </w:tc>
        <w:tc>
          <w:tcPr>
            <w:tcW w:w="1134"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6</w:t>
            </w:r>
            <w:r>
              <w:rPr>
                <w:color w:val="auto"/>
              </w:rPr>
              <w:t>0.7</w:t>
            </w:r>
          </w:p>
        </w:tc>
        <w:tc>
          <w:tcPr>
            <w:tcW w:w="851"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2</w:t>
            </w:r>
            <w:r>
              <w:rPr>
                <w:color w:val="auto"/>
              </w:rPr>
              <w:t>2.5</w:t>
            </w:r>
          </w:p>
        </w:tc>
        <w:tc>
          <w:tcPr>
            <w:tcW w:w="2544" w:type="dxa"/>
            <w:tcBorders>
              <w:top w:val="single" w:color="000000" w:sz="4" w:space="0"/>
              <w:left w:val="single" w:color="000000" w:sz="4" w:space="0"/>
              <w:right w:val="single" w:color="000000" w:sz="4" w:space="0"/>
            </w:tcBorders>
            <w:vAlign w:val="center"/>
          </w:tcPr>
          <w:p>
            <w:pPr>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w:t>
            </w:r>
            <w:r>
              <w:rPr>
                <w:bCs/>
                <w:color w:val="auto"/>
              </w:rPr>
              <w:t>10.2.1</w:t>
            </w:r>
          </w:p>
        </w:tc>
        <w:tc>
          <w:tcPr>
            <w:tcW w:w="939" w:type="dxa"/>
            <w:tcBorders>
              <w:top w:val="single" w:color="000000" w:sz="4" w:space="0"/>
              <w:left w:val="single" w:color="000000" w:sz="4" w:space="0"/>
              <w:bottom w:val="single" w:color="000000" w:sz="4" w:space="0"/>
              <w:right w:val="single" w:color="000000" w:sz="4" w:space="0"/>
            </w:tcBorders>
          </w:tcPr>
          <w:p>
            <w:pPr>
              <w:jc w:val="center"/>
              <w:rPr>
                <w:bCs/>
                <w:color w:val="auto"/>
              </w:rPr>
            </w:pPr>
            <w:r>
              <w:rPr>
                <w:rFonts w:hint="eastAsia"/>
                <w:bCs/>
                <w:color w:val="auto"/>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0" w:type="dxa"/>
            <w:tcBorders>
              <w:top w:val="single" w:color="000000" w:sz="4" w:space="0"/>
              <w:left w:val="single" w:color="000000" w:sz="4" w:space="0"/>
              <w:right w:val="single" w:color="000000" w:sz="4" w:space="0"/>
            </w:tcBorders>
            <w:vAlign w:val="center"/>
          </w:tcPr>
          <w:p>
            <w:pPr>
              <w:pStyle w:val="57"/>
              <w:numPr>
                <w:ilvl w:val="0"/>
                <w:numId w:val="34"/>
              </w:numPr>
              <w:ind w:firstLineChars="0"/>
              <w:jc w:val="center"/>
              <w:rPr>
                <w:color w:val="auto"/>
              </w:rPr>
            </w:pPr>
          </w:p>
        </w:tc>
        <w:tc>
          <w:tcPr>
            <w:tcW w:w="1310" w:type="dxa"/>
            <w:vMerge w:val="continue"/>
            <w:tcBorders>
              <w:left w:val="single" w:color="000000" w:sz="4" w:space="0"/>
              <w:right w:val="single" w:color="000000" w:sz="4" w:space="0"/>
            </w:tcBorders>
            <w:vAlign w:val="center"/>
          </w:tcPr>
          <w:p>
            <w:pPr>
              <w:jc w:val="center"/>
              <w:rPr>
                <w:bCs/>
                <w:color w:val="auto"/>
              </w:rPr>
            </w:pPr>
          </w:p>
        </w:tc>
        <w:tc>
          <w:tcPr>
            <w:tcW w:w="2126"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盐化大道</w:t>
            </w:r>
          </w:p>
        </w:tc>
        <w:tc>
          <w:tcPr>
            <w:tcW w:w="425"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E</w:t>
            </w:r>
          </w:p>
        </w:tc>
        <w:tc>
          <w:tcPr>
            <w:tcW w:w="1134"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6</w:t>
            </w:r>
            <w:r>
              <w:rPr>
                <w:color w:val="auto"/>
              </w:rPr>
              <w:t>6.7</w:t>
            </w:r>
          </w:p>
        </w:tc>
        <w:tc>
          <w:tcPr>
            <w:tcW w:w="851" w:type="dxa"/>
            <w:tcBorders>
              <w:top w:val="single" w:color="000000" w:sz="4" w:space="0"/>
              <w:left w:val="single" w:color="000000" w:sz="4" w:space="0"/>
              <w:right w:val="single" w:color="000000" w:sz="4" w:space="0"/>
            </w:tcBorders>
            <w:vAlign w:val="center"/>
          </w:tcPr>
          <w:p>
            <w:pPr>
              <w:jc w:val="center"/>
              <w:rPr>
                <w:color w:val="auto"/>
              </w:rPr>
            </w:pPr>
            <w:r>
              <w:rPr>
                <w:rFonts w:hint="eastAsia"/>
                <w:color w:val="auto"/>
              </w:rPr>
              <w:t>2</w:t>
            </w:r>
            <w:r>
              <w:rPr>
                <w:color w:val="auto"/>
              </w:rPr>
              <w:t>0</w:t>
            </w:r>
          </w:p>
        </w:tc>
        <w:tc>
          <w:tcPr>
            <w:tcW w:w="2544" w:type="dxa"/>
            <w:tcBorders>
              <w:top w:val="single" w:color="000000" w:sz="4" w:space="0"/>
              <w:left w:val="single" w:color="000000" w:sz="4" w:space="0"/>
              <w:right w:val="single" w:color="000000" w:sz="4" w:space="0"/>
            </w:tcBorders>
            <w:vAlign w:val="center"/>
          </w:tcPr>
          <w:p>
            <w:pPr>
              <w:jc w:val="center"/>
              <w:rPr>
                <w:bCs/>
                <w:color w:val="auto"/>
              </w:rPr>
            </w:pPr>
            <w:r>
              <w:rPr>
                <w:rFonts w:hint="eastAsia"/>
                <w:bCs/>
                <w:color w:val="auto"/>
              </w:rPr>
              <w:t>《建筑设计防火规范》GB</w:t>
            </w:r>
            <w:r>
              <w:rPr>
                <w:bCs/>
                <w:color w:val="auto"/>
              </w:rPr>
              <w:t>50016-2014</w:t>
            </w:r>
            <w:r>
              <w:rPr>
                <w:rFonts w:hint="eastAsia"/>
                <w:bCs/>
                <w:color w:val="auto"/>
              </w:rPr>
              <w:t>（2</w:t>
            </w:r>
            <w:r>
              <w:rPr>
                <w:bCs/>
                <w:color w:val="auto"/>
              </w:rPr>
              <w:t>018</w:t>
            </w:r>
            <w:r>
              <w:rPr>
                <w:rFonts w:hint="eastAsia"/>
                <w:bCs/>
                <w:color w:val="auto"/>
              </w:rPr>
              <w:t>年版）第3</w:t>
            </w:r>
            <w:r>
              <w:rPr>
                <w:bCs/>
                <w:color w:val="auto"/>
              </w:rPr>
              <w:t>.5.1</w:t>
            </w:r>
          </w:p>
        </w:tc>
        <w:tc>
          <w:tcPr>
            <w:tcW w:w="939" w:type="dxa"/>
            <w:tcBorders>
              <w:top w:val="single" w:color="000000" w:sz="4" w:space="0"/>
              <w:left w:val="single" w:color="000000" w:sz="4" w:space="0"/>
              <w:bottom w:val="single" w:color="000000" w:sz="4" w:space="0"/>
              <w:right w:val="single" w:color="000000" w:sz="4" w:space="0"/>
            </w:tcBorders>
          </w:tcPr>
          <w:p>
            <w:pPr>
              <w:jc w:val="center"/>
              <w:rPr>
                <w:bCs/>
                <w:color w:val="auto"/>
              </w:rPr>
            </w:pPr>
            <w:r>
              <w:rPr>
                <w:rFonts w:hint="eastAsia"/>
                <w:bCs/>
                <w:color w:val="auto"/>
              </w:rPr>
              <w:t>符合</w:t>
            </w:r>
          </w:p>
        </w:tc>
      </w:tr>
    </w:tbl>
    <w:p>
      <w:pPr>
        <w:ind w:firstLine="360" w:firstLineChars="200"/>
        <w:rPr>
          <w:rFonts w:ascii="宋体" w:hAnsi="宋体"/>
          <w:color w:val="auto"/>
          <w:sz w:val="18"/>
          <w:szCs w:val="18"/>
        </w:rPr>
      </w:pPr>
      <w:r>
        <w:rPr>
          <w:rFonts w:hint="eastAsia" w:ascii="宋体" w:hAnsi="宋体"/>
          <w:color w:val="auto"/>
          <w:sz w:val="18"/>
          <w:szCs w:val="18"/>
        </w:rPr>
        <w:t>注：依据《精细化工企业工程设计防火标准》GB</w:t>
      </w:r>
      <w:r>
        <w:rPr>
          <w:rFonts w:ascii="宋体" w:hAnsi="宋体"/>
          <w:color w:val="auto"/>
          <w:sz w:val="18"/>
          <w:szCs w:val="18"/>
        </w:rPr>
        <w:t>51283-2020</w:t>
      </w:r>
      <w:r>
        <w:rPr>
          <w:rFonts w:hint="eastAsia" w:ascii="宋体" w:hAnsi="宋体"/>
          <w:color w:val="auto"/>
          <w:sz w:val="18"/>
          <w:szCs w:val="18"/>
        </w:rPr>
        <w:t>第4</w:t>
      </w:r>
      <w:r>
        <w:rPr>
          <w:rFonts w:ascii="宋体" w:hAnsi="宋体"/>
          <w:color w:val="auto"/>
          <w:sz w:val="18"/>
          <w:szCs w:val="18"/>
        </w:rPr>
        <w:t>.1.5</w:t>
      </w:r>
      <w:r>
        <w:rPr>
          <w:rFonts w:hint="eastAsia" w:ascii="宋体" w:hAnsi="宋体"/>
          <w:color w:val="auto"/>
          <w:sz w:val="18"/>
          <w:szCs w:val="18"/>
        </w:rPr>
        <w:t>、4</w:t>
      </w:r>
      <w:r>
        <w:rPr>
          <w:rFonts w:ascii="宋体" w:hAnsi="宋体"/>
          <w:color w:val="auto"/>
          <w:sz w:val="18"/>
          <w:szCs w:val="18"/>
        </w:rPr>
        <w:t>.1.6</w:t>
      </w:r>
      <w:r>
        <w:rPr>
          <w:rFonts w:hint="eastAsia" w:ascii="宋体" w:hAnsi="宋体"/>
          <w:color w:val="auto"/>
          <w:sz w:val="18"/>
          <w:szCs w:val="18"/>
        </w:rPr>
        <w:t>条，仓库的防火间距应符合现行国家标准《建筑设计防火规范》GB</w:t>
      </w:r>
      <w:r>
        <w:rPr>
          <w:rFonts w:ascii="宋体" w:hAnsi="宋体"/>
          <w:color w:val="auto"/>
          <w:sz w:val="18"/>
          <w:szCs w:val="18"/>
        </w:rPr>
        <w:t>50016</w:t>
      </w:r>
      <w:r>
        <w:rPr>
          <w:rFonts w:hint="eastAsia" w:ascii="宋体" w:hAnsi="宋体"/>
          <w:color w:val="auto"/>
          <w:sz w:val="18"/>
          <w:szCs w:val="18"/>
        </w:rPr>
        <w:t>的规定。</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综上所述，该项目选址与周边企业、环境敏感点等场所、设施间距符合要求</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项目合理布局，与周边环境保持了足够的安全距离，正常情况下对周边环境的影响不大。</w:t>
      </w:r>
    </w:p>
    <w:p>
      <w:pPr>
        <w:spacing w:line="600" w:lineRule="exact"/>
        <w:ind w:firstLine="560" w:firstLineChars="200"/>
        <w:rPr>
          <w:rFonts w:ascii="宋体" w:hAnsi="宋体"/>
          <w:color w:val="auto"/>
        </w:rPr>
      </w:pPr>
      <w:r>
        <w:rPr>
          <w:rFonts w:hint="eastAsia" w:ascii="宋体" w:hAnsi="宋体"/>
          <w:color w:val="auto"/>
          <w:sz w:val="28"/>
          <w:szCs w:val="28"/>
        </w:rPr>
        <w:t>根据《化工企业总图运输设计规范》、《工业企业总平面设计规范》、《化工企业安全卫生设计规定》、《工业企业设计卫生标准》、《公路安全保护条例》、《危险化学品生产企业安全生产许可证实施办法》及《危险化学品安全管理条例》等的有关规定，对项目选址进行符合性评价，见表C</w:t>
      </w:r>
      <w:r>
        <w:rPr>
          <w:rFonts w:ascii="宋体" w:hAnsi="宋体"/>
          <w:color w:val="auto"/>
          <w:sz w:val="28"/>
          <w:szCs w:val="28"/>
        </w:rPr>
        <w:t>.1</w:t>
      </w:r>
      <w:r>
        <w:rPr>
          <w:rFonts w:hint="eastAsia" w:ascii="宋体" w:hAnsi="宋体"/>
          <w:color w:val="auto"/>
          <w:sz w:val="28"/>
          <w:szCs w:val="28"/>
        </w:rPr>
        <w:t>-2。</w:t>
      </w:r>
    </w:p>
    <w:p>
      <w:pPr>
        <w:rPr>
          <w:rFonts w:ascii="宋体" w:hAnsi="宋体"/>
          <w:color w:val="auto"/>
          <w:sz w:val="24"/>
          <w:szCs w:val="24"/>
        </w:rPr>
      </w:pPr>
    </w:p>
    <w:p>
      <w:pPr>
        <w:spacing w:line="600" w:lineRule="exact"/>
        <w:ind w:firstLine="480" w:firstLineChars="200"/>
        <w:jc w:val="center"/>
        <w:rPr>
          <w:color w:val="auto"/>
          <w:sz w:val="24"/>
          <w:szCs w:val="24"/>
        </w:rPr>
      </w:pPr>
      <w:r>
        <w:rPr>
          <w:rFonts w:hint="eastAsia" w:ascii="宋体" w:hAnsi="宋体"/>
          <w:color w:val="auto"/>
          <w:sz w:val="24"/>
          <w:szCs w:val="24"/>
        </w:rPr>
        <w:t>表</w:t>
      </w:r>
      <w:r>
        <w:rPr>
          <w:color w:val="auto"/>
          <w:sz w:val="24"/>
          <w:szCs w:val="24"/>
        </w:rPr>
        <w:t xml:space="preserve">C.1-2  </w:t>
      </w:r>
      <w:r>
        <w:rPr>
          <w:rFonts w:hint="eastAsia" w:ascii="宋体" w:hAnsi="宋体"/>
          <w:color w:val="auto"/>
          <w:sz w:val="24"/>
          <w:szCs w:val="24"/>
        </w:rPr>
        <w:t>选址安全检查表</w:t>
      </w:r>
    </w:p>
    <w:tbl>
      <w:tblPr>
        <w:tblStyle w:val="31"/>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4304"/>
        <w:gridCol w:w="1780"/>
        <w:gridCol w:w="1764"/>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24" w:type="dxa"/>
            <w:tcBorders>
              <w:top w:val="single" w:color="auto" w:sz="4" w:space="0"/>
              <w:left w:val="single" w:color="auto" w:sz="4" w:space="0"/>
              <w:bottom w:val="single" w:color="auto" w:sz="4" w:space="0"/>
              <w:right w:val="single" w:color="auto" w:sz="4" w:space="0"/>
            </w:tcBorders>
            <w:vAlign w:val="center"/>
          </w:tcPr>
          <w:p>
            <w:pPr>
              <w:spacing w:line="300" w:lineRule="exact"/>
              <w:ind w:leftChars="-33" w:hanging="69" w:hangingChars="33"/>
              <w:jc w:val="center"/>
              <w:rPr>
                <w:color w:val="auto"/>
              </w:rPr>
            </w:pPr>
            <w:r>
              <w:rPr>
                <w:rFonts w:ascii="宋体" w:hAnsi="宋体"/>
                <w:color w:val="auto"/>
              </w:rPr>
              <w:t>序号</w:t>
            </w:r>
          </w:p>
        </w:tc>
        <w:tc>
          <w:tcPr>
            <w:tcW w:w="430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ascii="宋体" w:hAnsi="宋体"/>
                <w:color w:val="auto"/>
              </w:rPr>
              <w:t>检查内容</w:t>
            </w:r>
          </w:p>
        </w:tc>
        <w:tc>
          <w:tcPr>
            <w:tcW w:w="1780"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ascii="宋体" w:hAnsi="宋体"/>
                <w:color w:val="auto"/>
              </w:rPr>
              <w:t>标准条款</w:t>
            </w:r>
          </w:p>
        </w:tc>
        <w:tc>
          <w:tcPr>
            <w:tcW w:w="176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ascii="宋体" w:hAnsi="宋体"/>
                <w:color w:val="auto"/>
              </w:rPr>
              <w:t>检查情况</w:t>
            </w:r>
          </w:p>
        </w:tc>
        <w:tc>
          <w:tcPr>
            <w:tcW w:w="81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ascii="宋体" w:hAnsi="宋体"/>
                <w:color w:val="auto"/>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30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300" w:lineRule="exact"/>
              <w:rPr>
                <w:color w:val="auto"/>
                <w:kern w:val="0"/>
              </w:rPr>
            </w:pPr>
            <w:r>
              <w:rPr>
                <w:rFonts w:ascii="宋体" w:hAnsi="宋体"/>
                <w:color w:val="auto"/>
                <w:kern w:val="0"/>
              </w:rPr>
              <w:t>从</w:t>
            </w:r>
            <w:r>
              <w:rPr>
                <w:color w:val="auto"/>
                <w:kern w:val="0"/>
              </w:rPr>
              <w:t>2011</w:t>
            </w:r>
            <w:r>
              <w:rPr>
                <w:rFonts w:ascii="宋体" w:hAnsi="宋体"/>
                <w:color w:val="auto"/>
                <w:kern w:val="0"/>
              </w:rPr>
              <w:t>年</w:t>
            </w:r>
            <w:r>
              <w:rPr>
                <w:color w:val="auto"/>
                <w:kern w:val="0"/>
              </w:rPr>
              <w:t>3</w:t>
            </w:r>
            <w:r>
              <w:rPr>
                <w:rFonts w:ascii="宋体" w:hAnsi="宋体"/>
                <w:color w:val="auto"/>
                <w:kern w:val="0"/>
              </w:rPr>
              <w:t>月起，对没有划定危险化学品生产、储存专门区域的地区，城乡规划部门原则上不再受理危险化学品生产、储存建设项目</w:t>
            </w:r>
            <w:r>
              <w:rPr>
                <w:color w:val="auto"/>
                <w:kern w:val="0"/>
              </w:rPr>
              <w:t>“</w:t>
            </w:r>
            <w:r>
              <w:rPr>
                <w:rFonts w:ascii="宋体" w:hAnsi="宋体"/>
                <w:color w:val="auto"/>
                <w:kern w:val="0"/>
              </w:rPr>
              <w:t>一书两证</w:t>
            </w:r>
            <w:r>
              <w:rPr>
                <w:color w:val="auto"/>
                <w:kern w:val="0"/>
              </w:rPr>
              <w:t>”</w:t>
            </w:r>
            <w:r>
              <w:rPr>
                <w:rFonts w:ascii="宋体" w:hAnsi="宋体"/>
                <w:color w:val="auto"/>
                <w:kern w:val="0"/>
              </w:rPr>
              <w:t>（规划选址意见书、建设用地规划许可证、建设工程规划许可证）的申请许可，安全监管部门原则上不再受理危险化学品生产、储存建设项目的安全审查申请，投资主管部门原则上不再受理危险化学品生产、储存建设项目的立项申请，</w:t>
            </w:r>
            <w:r>
              <w:rPr>
                <w:rFonts w:hint="eastAsia" w:ascii="宋体" w:hAnsi="宋体"/>
                <w:color w:val="auto"/>
                <w:kern w:val="0"/>
              </w:rPr>
              <w:t>新</w:t>
            </w:r>
            <w:r>
              <w:rPr>
                <w:rFonts w:ascii="宋体" w:hAnsi="宋体"/>
                <w:color w:val="auto"/>
                <w:kern w:val="0"/>
              </w:rPr>
              <w:t>建化工项目原则上必须进入产业集中区或化工园区。</w:t>
            </w:r>
          </w:p>
        </w:tc>
        <w:tc>
          <w:tcPr>
            <w:tcW w:w="1780" w:type="dxa"/>
            <w:tcBorders>
              <w:top w:val="single" w:color="auto" w:sz="4" w:space="0"/>
              <w:left w:val="nil"/>
              <w:bottom w:val="single" w:color="auto" w:sz="4" w:space="0"/>
              <w:right w:val="single" w:color="auto" w:sz="4" w:space="0"/>
            </w:tcBorders>
            <w:vAlign w:val="center"/>
          </w:tcPr>
          <w:p>
            <w:pPr>
              <w:adjustRightInd w:val="0"/>
              <w:snapToGrid w:val="0"/>
              <w:spacing w:line="300" w:lineRule="exact"/>
              <w:rPr>
                <w:color w:val="auto"/>
              </w:rPr>
            </w:pPr>
            <w:r>
              <w:rPr>
                <w:rFonts w:hint="eastAsia" w:ascii="宋体" w:hAnsi="宋体"/>
                <w:color w:val="auto"/>
              </w:rPr>
              <w:t>《江西省人民政府办公厅切实加强危险化学品安全生产工作的意见》赣府厅发</w:t>
            </w:r>
            <w:r>
              <w:rPr>
                <w:rFonts w:hint="eastAsia"/>
                <w:color w:val="auto"/>
              </w:rPr>
              <w:t>[</w:t>
            </w:r>
            <w:r>
              <w:rPr>
                <w:color w:val="auto"/>
              </w:rPr>
              <w:t>2010]3</w:t>
            </w:r>
            <w:r>
              <w:rPr>
                <w:rFonts w:hint="eastAsia" w:ascii="宋体" w:hAnsi="宋体"/>
                <w:color w:val="auto"/>
              </w:rPr>
              <w:t>号</w:t>
            </w:r>
          </w:p>
        </w:tc>
        <w:tc>
          <w:tcPr>
            <w:tcW w:w="1764" w:type="dxa"/>
            <w:tcBorders>
              <w:top w:val="single" w:color="auto" w:sz="4" w:space="0"/>
              <w:left w:val="nil"/>
              <w:bottom w:val="single" w:color="auto" w:sz="4" w:space="0"/>
              <w:right w:val="single" w:color="auto" w:sz="4" w:space="0"/>
            </w:tcBorders>
            <w:vAlign w:val="center"/>
          </w:tcPr>
          <w:p>
            <w:pPr>
              <w:spacing w:line="300" w:lineRule="exact"/>
              <w:rPr>
                <w:color w:val="auto"/>
                <w:kern w:val="0"/>
              </w:rPr>
            </w:pPr>
            <w:r>
              <w:rPr>
                <w:rFonts w:hint="eastAsia" w:ascii="宋体" w:hAnsi="宋体"/>
                <w:color w:val="auto"/>
                <w:kern w:val="0"/>
              </w:rPr>
              <w:t>建设项目地址位于新干县盐化工业城，属于规划的化工园区</w:t>
            </w:r>
          </w:p>
        </w:tc>
        <w:tc>
          <w:tcPr>
            <w:tcW w:w="81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hint="eastAsia"/>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kern w:val="0"/>
              </w:rPr>
              <w:t>厂址选择应符合国家的工业布局、城镇（乡）总体规划及土地利用总体规划的要求。</w:t>
            </w:r>
          </w:p>
        </w:tc>
        <w:tc>
          <w:tcPr>
            <w:tcW w:w="1780"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3.0.1</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hint="eastAsia" w:ascii="宋体" w:hAnsi="宋体"/>
                <w:color w:val="auto"/>
                <w:kern w:val="0"/>
              </w:rPr>
              <w:t>该项目</w:t>
            </w:r>
            <w:r>
              <w:rPr>
                <w:rFonts w:ascii="宋体" w:hAnsi="宋体"/>
                <w:color w:val="auto"/>
                <w:kern w:val="0"/>
              </w:rPr>
              <w:t>已获</w:t>
            </w:r>
            <w:r>
              <w:rPr>
                <w:rFonts w:hint="eastAsia" w:ascii="宋体" w:hAnsi="宋体"/>
                <w:color w:val="auto"/>
                <w:kern w:val="0"/>
              </w:rPr>
              <w:t>建设用地规划许可证，见附件</w:t>
            </w:r>
            <w:r>
              <w:rPr>
                <w:rFonts w:ascii="宋体" w:hAnsi="宋体"/>
                <w:color w:val="auto"/>
                <w:kern w:val="0"/>
              </w:rPr>
              <w:t>。</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kern w:val="0"/>
              </w:rPr>
              <w:t>配套和服务工业企业的居住区、交通运输、动力公用设施、废料场及环境保护工程、施工基地等用地，应与厂区用地同时选择。</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3.0.2</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kern w:val="0"/>
              </w:rPr>
              <w:t>同时选择。</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kern w:val="0"/>
              </w:rPr>
              <w:t>厂址应有便利和经济的交通运输条件，与厂外铁路、公路的连接，应便捷、工程量小。临近江、河、湖、海的厂址，通航条件满足企业运输要求时，应尽量利用水运，且厂址宜靠近适合建设码头的地段。</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3.0.5</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kern w:val="0"/>
              </w:rPr>
              <w:t>有便利和经济的交通运输条件。</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4" w:lineRule="exact"/>
              <w:jc w:val="left"/>
              <w:rPr>
                <w:color w:val="auto"/>
                <w:kern w:val="0"/>
              </w:rPr>
            </w:pPr>
            <w:r>
              <w:rPr>
                <w:rFonts w:ascii="宋体" w:hAnsi="宋体"/>
                <w:color w:val="auto"/>
                <w:kern w:val="0"/>
              </w:rPr>
              <w:t>厂址应具有满足生产、生活及发展所必需的水源和电源。水源和电源与厂址之间的管线连接应尽量短捷，且用水、用电量（特别）大的工业企业宜靠近水源及电源地。</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3.0.6</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kern w:val="0"/>
              </w:rPr>
            </w:pPr>
            <w:r>
              <w:rPr>
                <w:rFonts w:ascii="宋体" w:hAnsi="宋体"/>
                <w:color w:val="auto"/>
              </w:rPr>
              <w:t>利用工业园区可靠的水源和电源。</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kern w:val="0"/>
              </w:rPr>
              <w:t>散发有害物质的工业企业厂址，应位于城镇、相邻工业企业和居住区全年最小频率风向的上风侧，不应位于窝风地段，并应满足有关防护距离的要求。</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3.0.7</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卫生防护距离满足要求。</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rPr>
            </w:pPr>
            <w:r>
              <w:rPr>
                <w:rFonts w:ascii="宋体" w:hAnsi="宋体"/>
                <w:color w:val="auto"/>
                <w:kern w:val="0"/>
              </w:rPr>
              <w:t>厂址应满足近期建设所必需的场地面积和适宜的建厂地形，并应根据工业企业远期发展规划的需要，留有适当的发展余地。</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adjustRightInd w:val="0"/>
              <w:snapToGrid w:val="0"/>
              <w:spacing w:line="264" w:lineRule="exact"/>
              <w:rPr>
                <w:color w:val="auto"/>
              </w:rPr>
            </w:pPr>
            <w:r>
              <w:rPr>
                <w:color w:val="auto"/>
              </w:rPr>
              <w:t>3.0.9</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kern w:val="0"/>
              </w:rPr>
              <w:t>满足建设所必需的场地面积。</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kern w:val="0"/>
              </w:rPr>
            </w:pPr>
            <w:r>
              <w:rPr>
                <w:rFonts w:ascii="宋体" w:hAnsi="宋体"/>
                <w:color w:val="auto"/>
                <w:kern w:val="0"/>
              </w:rPr>
              <w:t>厂址应位于不受洪水、潮水或内涝威胁的地带，并应符合下列规定：</w:t>
            </w:r>
          </w:p>
          <w:p>
            <w:pPr>
              <w:adjustRightInd w:val="0"/>
              <w:snapToGrid w:val="0"/>
              <w:spacing w:line="264" w:lineRule="exact"/>
              <w:rPr>
                <w:color w:val="auto"/>
                <w:kern w:val="0"/>
              </w:rPr>
            </w:pPr>
            <w:r>
              <w:rPr>
                <w:color w:val="auto"/>
                <w:kern w:val="0"/>
              </w:rPr>
              <w:t xml:space="preserve">1 </w:t>
            </w:r>
            <w:r>
              <w:rPr>
                <w:rFonts w:hint="eastAsia" w:ascii="宋体" w:hAnsi="宋体"/>
                <w:color w:val="auto"/>
                <w:kern w:val="0"/>
              </w:rPr>
              <w:t>当厂址不可避免不受洪水、潮水、或内涝威胁的地带时，必须采取防洪、排涝措施；</w:t>
            </w:r>
          </w:p>
          <w:p>
            <w:pPr>
              <w:adjustRightInd w:val="0"/>
              <w:snapToGrid w:val="0"/>
              <w:spacing w:line="264" w:lineRule="exact"/>
              <w:rPr>
                <w:color w:val="auto"/>
                <w:kern w:val="0"/>
              </w:rPr>
            </w:pPr>
            <w:r>
              <w:rPr>
                <w:color w:val="auto"/>
                <w:kern w:val="0"/>
              </w:rPr>
              <w:t xml:space="preserve">2 </w:t>
            </w:r>
            <w:r>
              <w:rPr>
                <w:rFonts w:hint="eastAsia" w:ascii="宋体" w:hAnsi="宋体"/>
                <w:color w:val="auto"/>
                <w:kern w:val="0"/>
              </w:rPr>
              <w:t>凡受江、河、潮、海洪水、潮水或山洪威胁的工业企业，防洪标准应符合现行国家标准《防洪标准》</w:t>
            </w:r>
            <w:r>
              <w:rPr>
                <w:color w:val="auto"/>
                <w:kern w:val="0"/>
              </w:rPr>
              <w:t xml:space="preserve">GB 50201 </w:t>
            </w:r>
            <w:r>
              <w:rPr>
                <w:rFonts w:hint="eastAsia" w:ascii="宋体" w:hAnsi="宋体"/>
                <w:color w:val="auto"/>
                <w:kern w:val="0"/>
              </w:rPr>
              <w:t>的有关规定。</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spacing w:line="264" w:lineRule="exact"/>
              <w:rPr>
                <w:color w:val="auto"/>
              </w:rPr>
            </w:pPr>
            <w:r>
              <w:rPr>
                <w:color w:val="auto"/>
              </w:rPr>
              <w:t>3.0.12</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kern w:val="0"/>
              </w:rPr>
            </w:pPr>
            <w:r>
              <w:rPr>
                <w:rFonts w:ascii="宋体" w:hAnsi="宋体"/>
                <w:color w:val="auto"/>
                <w:kern w:val="0"/>
              </w:rPr>
              <w:t>厂区内建有排涝设施。</w:t>
            </w:r>
            <w:r>
              <w:rPr>
                <w:rFonts w:hint="eastAsia" w:ascii="宋体" w:hAnsi="宋体"/>
                <w:color w:val="auto"/>
                <w:kern w:val="0"/>
              </w:rPr>
              <w:t>厂区距离西面赣江约</w:t>
            </w:r>
            <w:r>
              <w:rPr>
                <w:rFonts w:ascii="宋体" w:hAnsi="宋体"/>
                <w:color w:val="auto"/>
                <w:kern w:val="0"/>
              </w:rPr>
              <w:t>2290</w:t>
            </w:r>
            <w:r>
              <w:rPr>
                <w:rFonts w:hint="eastAsia"/>
                <w:color w:val="auto"/>
                <w:kern w:val="0"/>
              </w:rPr>
              <w:t>m</w:t>
            </w:r>
            <w:r>
              <w:rPr>
                <w:rFonts w:hint="eastAsia" w:ascii="宋体" w:hAnsi="宋体"/>
                <w:color w:val="auto"/>
                <w:kern w:val="0"/>
              </w:rPr>
              <w:t>，</w:t>
            </w:r>
            <w:r>
              <w:rPr>
                <w:rFonts w:ascii="宋体" w:hAnsi="宋体"/>
                <w:color w:val="auto"/>
                <w:kern w:val="0"/>
              </w:rPr>
              <w:t>不</w:t>
            </w:r>
            <w:r>
              <w:rPr>
                <w:rFonts w:hint="eastAsia" w:ascii="宋体" w:hAnsi="宋体"/>
                <w:color w:val="auto"/>
                <w:kern w:val="0"/>
              </w:rPr>
              <w:t>易</w:t>
            </w:r>
            <w:r>
              <w:rPr>
                <w:rFonts w:ascii="宋体" w:hAnsi="宋体"/>
                <w:color w:val="auto"/>
                <w:kern w:val="0"/>
              </w:rPr>
              <w:t>受洪水、潮水威胁。</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4"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64" w:lineRule="exact"/>
              <w:rPr>
                <w:color w:val="auto"/>
                <w:kern w:val="0"/>
              </w:rPr>
            </w:pPr>
            <w:r>
              <w:rPr>
                <w:rFonts w:ascii="宋体" w:hAnsi="宋体"/>
                <w:color w:val="auto"/>
                <w:kern w:val="0"/>
              </w:rPr>
              <w:t>下列地段和地区不应选为厂址：</w:t>
            </w:r>
          </w:p>
          <w:p>
            <w:pPr>
              <w:adjustRightInd w:val="0"/>
              <w:snapToGrid w:val="0"/>
              <w:spacing w:line="264" w:lineRule="exact"/>
              <w:rPr>
                <w:color w:val="auto"/>
                <w:kern w:val="0"/>
              </w:rPr>
            </w:pPr>
            <w:r>
              <w:rPr>
                <w:color w:val="auto"/>
                <w:kern w:val="0"/>
              </w:rPr>
              <w:t>1</w:t>
            </w:r>
            <w:r>
              <w:rPr>
                <w:rFonts w:hint="eastAsia" w:ascii="宋体" w:hAnsi="宋体"/>
                <w:color w:val="auto"/>
                <w:kern w:val="0"/>
              </w:rPr>
              <w:t>发震断层和抗震设防烈度为</w:t>
            </w:r>
            <w:r>
              <w:rPr>
                <w:color w:val="auto"/>
                <w:kern w:val="0"/>
              </w:rPr>
              <w:t xml:space="preserve">9 </w:t>
            </w:r>
            <w:r>
              <w:rPr>
                <w:rFonts w:hint="eastAsia" w:ascii="宋体" w:hAnsi="宋体"/>
                <w:color w:val="auto"/>
                <w:kern w:val="0"/>
              </w:rPr>
              <w:t>度及高于</w:t>
            </w:r>
            <w:r>
              <w:rPr>
                <w:color w:val="auto"/>
                <w:kern w:val="0"/>
              </w:rPr>
              <w:t xml:space="preserve">9 </w:t>
            </w:r>
            <w:r>
              <w:rPr>
                <w:rFonts w:hint="eastAsia" w:ascii="宋体" w:hAnsi="宋体"/>
                <w:color w:val="auto"/>
                <w:kern w:val="0"/>
              </w:rPr>
              <w:t>度的地震区；</w:t>
            </w:r>
          </w:p>
          <w:p>
            <w:pPr>
              <w:adjustRightInd w:val="0"/>
              <w:snapToGrid w:val="0"/>
              <w:spacing w:line="264" w:lineRule="exact"/>
              <w:rPr>
                <w:color w:val="auto"/>
                <w:kern w:val="0"/>
              </w:rPr>
            </w:pPr>
            <w:r>
              <w:rPr>
                <w:color w:val="auto"/>
                <w:kern w:val="0"/>
              </w:rPr>
              <w:t xml:space="preserve">2 </w:t>
            </w:r>
            <w:r>
              <w:rPr>
                <w:rFonts w:hint="eastAsia" w:ascii="宋体" w:hAnsi="宋体"/>
                <w:color w:val="auto"/>
                <w:kern w:val="0"/>
              </w:rPr>
              <w:t>有泥石流、滑坡、流沙、溶洞等直接危害的地段；</w:t>
            </w:r>
          </w:p>
          <w:p>
            <w:pPr>
              <w:adjustRightInd w:val="0"/>
              <w:snapToGrid w:val="0"/>
              <w:spacing w:line="264" w:lineRule="exact"/>
              <w:rPr>
                <w:color w:val="auto"/>
                <w:kern w:val="0"/>
              </w:rPr>
            </w:pPr>
            <w:r>
              <w:rPr>
                <w:color w:val="auto"/>
                <w:kern w:val="0"/>
              </w:rPr>
              <w:t xml:space="preserve">3 </w:t>
            </w:r>
            <w:r>
              <w:rPr>
                <w:rFonts w:hint="eastAsia" w:ascii="宋体" w:hAnsi="宋体"/>
                <w:color w:val="auto"/>
                <w:kern w:val="0"/>
              </w:rPr>
              <w:t>采矿陷落（错动）区地表界限内；</w:t>
            </w:r>
          </w:p>
          <w:p>
            <w:pPr>
              <w:adjustRightInd w:val="0"/>
              <w:snapToGrid w:val="0"/>
              <w:spacing w:line="264" w:lineRule="exact"/>
              <w:rPr>
                <w:color w:val="auto"/>
                <w:kern w:val="0"/>
              </w:rPr>
            </w:pPr>
            <w:r>
              <w:rPr>
                <w:color w:val="auto"/>
                <w:kern w:val="0"/>
              </w:rPr>
              <w:t xml:space="preserve">4 </w:t>
            </w:r>
            <w:r>
              <w:rPr>
                <w:rFonts w:hint="eastAsia" w:ascii="宋体" w:hAnsi="宋体"/>
                <w:color w:val="auto"/>
                <w:kern w:val="0"/>
              </w:rPr>
              <w:t>爆破危险界限内；</w:t>
            </w:r>
          </w:p>
          <w:p>
            <w:pPr>
              <w:adjustRightInd w:val="0"/>
              <w:snapToGrid w:val="0"/>
              <w:spacing w:line="264" w:lineRule="exact"/>
              <w:rPr>
                <w:color w:val="auto"/>
                <w:kern w:val="0"/>
              </w:rPr>
            </w:pPr>
            <w:r>
              <w:rPr>
                <w:color w:val="auto"/>
                <w:kern w:val="0"/>
              </w:rPr>
              <w:t xml:space="preserve">5 </w:t>
            </w:r>
            <w:r>
              <w:rPr>
                <w:rFonts w:hint="eastAsia" w:ascii="宋体" w:hAnsi="宋体"/>
                <w:color w:val="auto"/>
                <w:kern w:val="0"/>
              </w:rPr>
              <w:t>坝或堤决溃后可能淹没的地区；</w:t>
            </w:r>
          </w:p>
          <w:p>
            <w:pPr>
              <w:adjustRightInd w:val="0"/>
              <w:snapToGrid w:val="0"/>
              <w:spacing w:line="264" w:lineRule="exact"/>
              <w:rPr>
                <w:color w:val="auto"/>
                <w:kern w:val="0"/>
              </w:rPr>
            </w:pPr>
            <w:r>
              <w:rPr>
                <w:color w:val="auto"/>
                <w:kern w:val="0"/>
              </w:rPr>
              <w:t>6</w:t>
            </w:r>
            <w:r>
              <w:rPr>
                <w:rFonts w:hint="eastAsia" w:ascii="宋体" w:hAnsi="宋体"/>
                <w:color w:val="auto"/>
                <w:kern w:val="0"/>
              </w:rPr>
              <w:t>有严重放射性物质污染影响区；</w:t>
            </w:r>
          </w:p>
          <w:p>
            <w:pPr>
              <w:adjustRightInd w:val="0"/>
              <w:snapToGrid w:val="0"/>
              <w:spacing w:line="264" w:lineRule="exact"/>
              <w:rPr>
                <w:color w:val="auto"/>
                <w:kern w:val="0"/>
              </w:rPr>
            </w:pPr>
            <w:r>
              <w:rPr>
                <w:color w:val="auto"/>
                <w:kern w:val="0"/>
              </w:rPr>
              <w:t xml:space="preserve">7 </w:t>
            </w:r>
            <w:r>
              <w:rPr>
                <w:rFonts w:hint="eastAsia" w:ascii="宋体" w:hAnsi="宋体"/>
                <w:color w:val="auto"/>
                <w:kern w:val="0"/>
              </w:rPr>
              <w:t>生活居住区、文教区、水源保护区、名胜古迹、风景游览区、温泉、疗养区、自然保护区和其它需要特别保护的区域；</w:t>
            </w:r>
          </w:p>
          <w:p>
            <w:pPr>
              <w:adjustRightInd w:val="0"/>
              <w:snapToGrid w:val="0"/>
              <w:spacing w:line="264" w:lineRule="exact"/>
              <w:rPr>
                <w:color w:val="auto"/>
                <w:kern w:val="0"/>
              </w:rPr>
            </w:pPr>
            <w:r>
              <w:rPr>
                <w:color w:val="auto"/>
                <w:kern w:val="0"/>
              </w:rPr>
              <w:t xml:space="preserve">8 </w:t>
            </w:r>
            <w:r>
              <w:rPr>
                <w:rFonts w:hint="eastAsia" w:ascii="宋体" w:hAnsi="宋体"/>
                <w:color w:val="auto"/>
                <w:kern w:val="0"/>
              </w:rPr>
              <w:t>对飞机起落、电台通讯、电视转播、雷达导航和重要的天文、气象、地震观察以及军事设施等规定有影响的范围内；</w:t>
            </w:r>
          </w:p>
          <w:p>
            <w:pPr>
              <w:adjustRightInd w:val="0"/>
              <w:snapToGrid w:val="0"/>
              <w:spacing w:line="264" w:lineRule="exact"/>
              <w:rPr>
                <w:color w:val="auto"/>
                <w:kern w:val="0"/>
              </w:rPr>
            </w:pPr>
            <w:r>
              <w:rPr>
                <w:color w:val="auto"/>
                <w:kern w:val="0"/>
              </w:rPr>
              <w:t xml:space="preserve">9 </w:t>
            </w:r>
            <w:r>
              <w:rPr>
                <w:rFonts w:hint="eastAsia" w:ascii="宋体" w:hAnsi="宋体"/>
                <w:color w:val="auto"/>
                <w:kern w:val="0"/>
              </w:rPr>
              <w:t>很严重的自重湿陷性黄土地段，厚度大的新近堆积黄土地段和高压缩性的</w:t>
            </w:r>
          </w:p>
          <w:p>
            <w:pPr>
              <w:adjustRightInd w:val="0"/>
              <w:snapToGrid w:val="0"/>
              <w:spacing w:line="264" w:lineRule="exact"/>
              <w:rPr>
                <w:color w:val="auto"/>
                <w:kern w:val="0"/>
              </w:rPr>
            </w:pPr>
            <w:r>
              <w:rPr>
                <w:rFonts w:ascii="宋体" w:hAnsi="宋体"/>
                <w:color w:val="auto"/>
                <w:kern w:val="0"/>
              </w:rPr>
              <w:t>饱和黄土地段等地质条件恶劣地段；</w:t>
            </w:r>
          </w:p>
          <w:p>
            <w:pPr>
              <w:adjustRightInd w:val="0"/>
              <w:snapToGrid w:val="0"/>
              <w:spacing w:line="264" w:lineRule="exact"/>
              <w:rPr>
                <w:color w:val="auto"/>
                <w:kern w:val="0"/>
              </w:rPr>
            </w:pPr>
            <w:r>
              <w:rPr>
                <w:color w:val="auto"/>
                <w:kern w:val="0"/>
              </w:rPr>
              <w:t xml:space="preserve">10 </w:t>
            </w:r>
            <w:r>
              <w:rPr>
                <w:rFonts w:hint="eastAsia" w:ascii="宋体" w:hAnsi="宋体"/>
                <w:color w:val="auto"/>
                <w:kern w:val="0"/>
              </w:rPr>
              <w:t>具有开采价值的矿藏区；</w:t>
            </w:r>
          </w:p>
          <w:p>
            <w:pPr>
              <w:adjustRightInd w:val="0"/>
              <w:snapToGrid w:val="0"/>
              <w:spacing w:line="264" w:lineRule="exact"/>
              <w:rPr>
                <w:color w:val="auto"/>
                <w:kern w:val="0"/>
              </w:rPr>
            </w:pPr>
            <w:r>
              <w:rPr>
                <w:color w:val="auto"/>
                <w:kern w:val="0"/>
              </w:rPr>
              <w:t xml:space="preserve">11 </w:t>
            </w:r>
            <w:r>
              <w:rPr>
                <w:rFonts w:hint="eastAsia" w:ascii="宋体" w:hAnsi="宋体"/>
                <w:color w:val="auto"/>
                <w:kern w:val="0"/>
              </w:rPr>
              <w:t>受海啸或湖涌危害的地区。</w:t>
            </w:r>
          </w:p>
        </w:tc>
        <w:tc>
          <w:tcPr>
            <w:tcW w:w="1780" w:type="dxa"/>
            <w:tcBorders>
              <w:top w:val="single" w:color="auto" w:sz="4" w:space="0"/>
              <w:left w:val="nil"/>
              <w:bottom w:val="single" w:color="auto" w:sz="4" w:space="0"/>
              <w:right w:val="single" w:color="auto" w:sz="4" w:space="0"/>
            </w:tcBorders>
            <w:vAlign w:val="center"/>
          </w:tcPr>
          <w:p>
            <w:pPr>
              <w:spacing w:line="264" w:lineRule="exact"/>
              <w:rPr>
                <w:color w:val="auto"/>
              </w:rPr>
            </w:pPr>
            <w:r>
              <w:rPr>
                <w:rFonts w:ascii="宋体" w:hAnsi="宋体"/>
                <w:color w:val="auto"/>
              </w:rPr>
              <w:t>《工业企业总平面设计规范》</w:t>
            </w:r>
            <w:r>
              <w:rPr>
                <w:color w:val="auto"/>
              </w:rPr>
              <w:t>GB50187-2012</w:t>
            </w:r>
          </w:p>
          <w:p>
            <w:pPr>
              <w:spacing w:line="264" w:lineRule="exact"/>
              <w:rPr>
                <w:color w:val="auto"/>
              </w:rPr>
            </w:pPr>
            <w:r>
              <w:rPr>
                <w:color w:val="auto"/>
              </w:rPr>
              <w:t>3.0.14</w:t>
            </w:r>
          </w:p>
        </w:tc>
        <w:tc>
          <w:tcPr>
            <w:tcW w:w="1764" w:type="dxa"/>
            <w:tcBorders>
              <w:top w:val="single" w:color="auto" w:sz="4" w:space="0"/>
              <w:left w:val="nil"/>
              <w:bottom w:val="single" w:color="auto" w:sz="4" w:space="0"/>
              <w:right w:val="single" w:color="auto" w:sz="4" w:space="0"/>
            </w:tcBorders>
            <w:vAlign w:val="center"/>
          </w:tcPr>
          <w:p>
            <w:pPr>
              <w:spacing w:line="264" w:lineRule="exact"/>
              <w:rPr>
                <w:color w:val="auto"/>
                <w:kern w:val="0"/>
              </w:rPr>
            </w:pPr>
            <w:r>
              <w:rPr>
                <w:rFonts w:hint="eastAsia" w:ascii="宋体" w:hAnsi="宋体"/>
                <w:color w:val="auto"/>
                <w:kern w:val="0"/>
              </w:rPr>
              <w:t>该项目所在地地震烈度为</w:t>
            </w:r>
            <w:r>
              <w:rPr>
                <w:rFonts w:hint="eastAsia"/>
                <w:color w:val="auto"/>
                <w:kern w:val="0"/>
              </w:rPr>
              <w:t>6</w:t>
            </w:r>
            <w:r>
              <w:rPr>
                <w:rFonts w:hint="eastAsia" w:ascii="宋体" w:hAnsi="宋体"/>
                <w:color w:val="auto"/>
                <w:kern w:val="0"/>
              </w:rPr>
              <w:t>度，无不良地质地段。</w:t>
            </w:r>
          </w:p>
        </w:tc>
        <w:tc>
          <w:tcPr>
            <w:tcW w:w="814" w:type="dxa"/>
            <w:tcBorders>
              <w:top w:val="single" w:color="auto" w:sz="4" w:space="0"/>
              <w:left w:val="nil"/>
              <w:bottom w:val="single" w:color="auto" w:sz="4" w:space="0"/>
              <w:right w:val="single" w:color="auto" w:sz="4" w:space="0"/>
            </w:tcBorders>
            <w:vAlign w:val="center"/>
          </w:tcPr>
          <w:p>
            <w:pPr>
              <w:spacing w:line="264" w:lineRule="exact"/>
              <w:jc w:val="center"/>
              <w:rPr>
                <w:color w:val="auto"/>
              </w:rPr>
            </w:pPr>
            <w:r>
              <w:rPr>
                <w:rFonts w:ascii="宋体" w:hAnsi="宋体"/>
                <w:color w:val="auto"/>
              </w:rPr>
              <w:t>符合</w:t>
            </w:r>
          </w:p>
          <w:p>
            <w:pPr>
              <w:spacing w:line="264"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工业企业厂外道路的规划，应与城乡规划或当地交通运输规划相协调，并应合理利用现有的国家公路及城镇道路。厂外道路与国家公路或城镇道路连接时，路线应短捷，工程量应小。</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ascii="宋体" w:hAnsi="宋体"/>
                <w:color w:val="auto"/>
              </w:rPr>
              <w:t>《工业企业总平面设计规范》</w:t>
            </w:r>
            <w:r>
              <w:rPr>
                <w:color w:val="auto"/>
              </w:rPr>
              <w:t>GB50187-2012</w:t>
            </w:r>
          </w:p>
          <w:p>
            <w:pPr>
              <w:spacing w:line="250" w:lineRule="exact"/>
              <w:rPr>
                <w:color w:val="auto"/>
              </w:rPr>
            </w:pPr>
            <w:r>
              <w:rPr>
                <w:color w:val="auto"/>
              </w:rPr>
              <w:t>4.3.5</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ascii="宋体" w:hAnsi="宋体"/>
                <w:color w:val="auto"/>
                <w:kern w:val="0"/>
              </w:rPr>
              <w:t>与城乡规划或当地交通运输规划相协调。</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工业企业的建筑物、构筑物之间及其与铁路、道路之间的防火间距，以及消防通道的设置，应执行现行国家《建筑设计防火规范》</w:t>
            </w:r>
            <w:r>
              <w:rPr>
                <w:color w:val="auto"/>
                <w:kern w:val="0"/>
              </w:rPr>
              <w:t xml:space="preserve">GB50016 </w:t>
            </w:r>
            <w:r>
              <w:rPr>
                <w:rFonts w:hint="eastAsia" w:ascii="宋体" w:hAnsi="宋体"/>
                <w:color w:val="auto"/>
                <w:kern w:val="0"/>
              </w:rPr>
              <w:t>等有关的规定。</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w:t>
            </w:r>
            <w:r>
              <w:rPr>
                <w:rFonts w:ascii="宋体" w:hAnsi="宋体"/>
                <w:color w:val="auto"/>
              </w:rPr>
              <w:t>工业企业总平面设计规范</w:t>
            </w:r>
            <w:r>
              <w:rPr>
                <w:rFonts w:hint="eastAsia" w:ascii="宋体" w:hAnsi="宋体"/>
                <w:color w:val="auto"/>
              </w:rPr>
              <w:t>》</w:t>
            </w:r>
            <w:r>
              <w:rPr>
                <w:color w:val="auto"/>
              </w:rPr>
              <w:t>GB50187-2012</w:t>
            </w:r>
          </w:p>
          <w:p>
            <w:pPr>
              <w:spacing w:line="250" w:lineRule="exact"/>
              <w:rPr>
                <w:color w:val="auto"/>
              </w:rPr>
            </w:pPr>
            <w:r>
              <w:rPr>
                <w:color w:val="auto"/>
              </w:rPr>
              <w:t>5.1.10</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ascii="宋体" w:hAnsi="宋体"/>
                <w:color w:val="auto"/>
                <w:kern w:val="0"/>
              </w:rPr>
              <w:t>符合要求，见表</w:t>
            </w:r>
            <w:r>
              <w:rPr>
                <w:color w:val="auto"/>
                <w:kern w:val="0"/>
              </w:rPr>
              <w:t>2.6-2</w:t>
            </w:r>
            <w:r>
              <w:rPr>
                <w:rFonts w:hint="eastAsia" w:ascii="宋体" w:hAnsi="宋体"/>
                <w:color w:val="auto"/>
                <w:kern w:val="0"/>
              </w:rPr>
              <w:t>。</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厂址选择应同时满足交通运输设施、能源和动力设施、防洪设施、环境保护工程及生活等配套建设用地的要求。</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《化工企业总图运输设计规范》</w:t>
            </w:r>
            <w:r>
              <w:rPr>
                <w:rFonts w:hint="eastAsia"/>
                <w:color w:val="auto"/>
              </w:rPr>
              <w:t>GB</w:t>
            </w:r>
            <w:r>
              <w:rPr>
                <w:color w:val="auto"/>
              </w:rPr>
              <w:t>50489-2009</w:t>
            </w:r>
            <w:r>
              <w:rPr>
                <w:rFonts w:hint="eastAsia" w:ascii="宋体" w:hAnsi="宋体"/>
                <w:color w:val="auto"/>
              </w:rPr>
              <w:t>第</w:t>
            </w:r>
            <w:r>
              <w:rPr>
                <w:rFonts w:hint="eastAsia"/>
                <w:color w:val="auto"/>
              </w:rPr>
              <w:t>3</w:t>
            </w:r>
            <w:r>
              <w:rPr>
                <w:color w:val="auto"/>
              </w:rPr>
              <w:t>.1.4</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交通运输设施、</w:t>
            </w:r>
            <w:r>
              <w:rPr>
                <w:rFonts w:ascii="宋体" w:hAnsi="宋体"/>
                <w:color w:val="auto"/>
                <w:kern w:val="0"/>
              </w:rPr>
              <w:t>能源和动力设施、防洪设施、环境保护工程及生活</w:t>
            </w:r>
            <w:r>
              <w:rPr>
                <w:rFonts w:hint="eastAsia" w:ascii="宋体" w:hAnsi="宋体"/>
                <w:color w:val="auto"/>
                <w:kern w:val="0"/>
              </w:rPr>
              <w:t>能够满足。</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厂址应具有方便和经济的交通运输条件。</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《化工企业总图运输设计规范》</w:t>
            </w:r>
            <w:r>
              <w:rPr>
                <w:rFonts w:hint="eastAsia"/>
                <w:color w:val="auto"/>
              </w:rPr>
              <w:t>GB</w:t>
            </w:r>
            <w:r>
              <w:rPr>
                <w:color w:val="auto"/>
              </w:rPr>
              <w:t>50489-2009</w:t>
            </w:r>
            <w:r>
              <w:rPr>
                <w:rFonts w:hint="eastAsia" w:ascii="宋体" w:hAnsi="宋体"/>
                <w:color w:val="auto"/>
              </w:rPr>
              <w:t>第</w:t>
            </w:r>
            <w:r>
              <w:rPr>
                <w:rFonts w:hint="eastAsia"/>
                <w:color w:val="auto"/>
              </w:rPr>
              <w:t>3</w:t>
            </w:r>
            <w:r>
              <w:rPr>
                <w:color w:val="auto"/>
              </w:rPr>
              <w:t>.1.6</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该项目厂址具有方便和经济的交通运输条件。</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厂址应有充足、可靠的水源和电源，且应满足企业发展需要。</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《化工企业总图运输设计规范》</w:t>
            </w:r>
            <w:r>
              <w:rPr>
                <w:rFonts w:hint="eastAsia"/>
                <w:color w:val="auto"/>
              </w:rPr>
              <w:t>GB</w:t>
            </w:r>
            <w:r>
              <w:rPr>
                <w:color w:val="auto"/>
              </w:rPr>
              <w:t>50489-2009</w:t>
            </w:r>
            <w:r>
              <w:rPr>
                <w:rFonts w:hint="eastAsia" w:ascii="宋体" w:hAnsi="宋体"/>
                <w:color w:val="auto"/>
              </w:rPr>
              <w:t>第</w:t>
            </w:r>
            <w:r>
              <w:rPr>
                <w:rFonts w:hint="eastAsia"/>
                <w:color w:val="auto"/>
              </w:rPr>
              <w:t>3</w:t>
            </w:r>
            <w:r>
              <w:rPr>
                <w:color w:val="auto"/>
              </w:rPr>
              <w:t>.1.7</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该项目厂址新干县盐化工业城，拥有充足、可靠的水源和电源。</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4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选择厂址应根据地震、软地基、湿陷性黄土、膨胀土等地质因素以及飓风、雷暴、沙暴等气象危害因素，采取可靠技术方案，避开断层、滑波、泥石流、地下溶洞等发育地区。</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.1.2</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该项目已考虑</w:t>
            </w:r>
            <w:r>
              <w:rPr>
                <w:rFonts w:ascii="宋体" w:hAnsi="宋体"/>
                <w:color w:val="auto"/>
                <w:kern w:val="0"/>
              </w:rPr>
              <w:t>地震、软地基、湿陷性黄土、膨胀土等地质因素以及飓风、雷暴、沙暴等气象</w:t>
            </w:r>
            <w:r>
              <w:rPr>
                <w:rFonts w:hint="eastAsia" w:ascii="宋体" w:hAnsi="宋体"/>
                <w:color w:val="auto"/>
                <w:kern w:val="0"/>
              </w:rPr>
              <w:t>等</w:t>
            </w:r>
            <w:r>
              <w:rPr>
                <w:rFonts w:ascii="宋体" w:hAnsi="宋体"/>
                <w:color w:val="auto"/>
                <w:kern w:val="0"/>
              </w:rPr>
              <w:t>危害</w:t>
            </w:r>
            <w:r>
              <w:rPr>
                <w:rFonts w:hint="eastAsia" w:ascii="宋体" w:hAnsi="宋体"/>
                <w:color w:val="auto"/>
                <w:kern w:val="0"/>
              </w:rPr>
              <w:t>。</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4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厂址应避开新旧矿产采掘区、水坝（或大堤）溃决后可能淹没地区、地方病严重流行区、国家及省市级文物保护区，并与《危险化学品安全管理条例》规定的敏感目标保持安全距离。</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.1.4</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该项目厂址周边无</w:t>
            </w:r>
            <w:r>
              <w:rPr>
                <w:rFonts w:ascii="宋体" w:hAnsi="宋体"/>
                <w:color w:val="auto"/>
                <w:kern w:val="0"/>
              </w:rPr>
              <w:t>新旧矿产采掘区、水坝（或大堤）溃决后可能淹没地区、地方病严重流行区、国家及省市级文物保护区</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kern w:val="0"/>
              </w:rPr>
            </w:pPr>
            <w:r>
              <w:rPr>
                <w:rFonts w:ascii="宋体" w:hAnsi="宋体"/>
                <w:color w:val="auto"/>
                <w:kern w:val="0"/>
              </w:rPr>
              <w:t>化工企业之间、化工企业与其他工矿企业、交通线站、港埠之间的卫生防护距离应满足国家现行标准《工业企业设计卫生标准》</w:t>
            </w:r>
            <w:r>
              <w:rPr>
                <w:color w:val="auto"/>
                <w:kern w:val="0"/>
              </w:rPr>
              <w:t>GBZ1</w:t>
            </w:r>
            <w:r>
              <w:rPr>
                <w:rFonts w:ascii="宋体" w:hAnsi="宋体"/>
                <w:color w:val="auto"/>
                <w:kern w:val="0"/>
              </w:rPr>
              <w:t>附录</w:t>
            </w:r>
            <w:r>
              <w:rPr>
                <w:color w:val="auto"/>
                <w:kern w:val="0"/>
              </w:rPr>
              <w:t>B</w:t>
            </w:r>
            <w:r>
              <w:rPr>
                <w:rFonts w:ascii="宋体" w:hAnsi="宋体"/>
                <w:color w:val="auto"/>
                <w:kern w:val="0"/>
              </w:rPr>
              <w:t>和《石油化工企业卫生防护距离》</w:t>
            </w:r>
            <w:r>
              <w:rPr>
                <w:color w:val="auto"/>
                <w:kern w:val="0"/>
              </w:rPr>
              <w:t>SH3093</w:t>
            </w:r>
            <w:r>
              <w:rPr>
                <w:rFonts w:ascii="宋体" w:hAnsi="宋体"/>
                <w:color w:val="auto"/>
                <w:kern w:val="0"/>
              </w:rPr>
              <w:t>的要求，防火间距应满足现行国家标准《石油化工企业设计防火规范》</w:t>
            </w:r>
            <w:r>
              <w:rPr>
                <w:color w:val="auto"/>
                <w:kern w:val="0"/>
              </w:rPr>
              <w:t>GB50160</w:t>
            </w:r>
            <w:r>
              <w:rPr>
                <w:rFonts w:ascii="宋体" w:hAnsi="宋体"/>
                <w:color w:val="auto"/>
                <w:kern w:val="0"/>
              </w:rPr>
              <w:t>和《建筑设计防火规范》</w:t>
            </w:r>
            <w:r>
              <w:rPr>
                <w:color w:val="auto"/>
                <w:kern w:val="0"/>
              </w:rPr>
              <w:t>GB</w:t>
            </w:r>
          </w:p>
          <w:p>
            <w:pPr>
              <w:adjustRightInd w:val="0"/>
              <w:snapToGrid w:val="0"/>
              <w:spacing w:line="250" w:lineRule="exact"/>
              <w:rPr>
                <w:color w:val="auto"/>
                <w:kern w:val="0"/>
              </w:rPr>
            </w:pPr>
            <w:r>
              <w:rPr>
                <w:color w:val="auto"/>
                <w:kern w:val="0"/>
              </w:rPr>
              <w:t>50016</w:t>
            </w:r>
            <w:r>
              <w:rPr>
                <w:rFonts w:ascii="宋体" w:hAnsi="宋体"/>
                <w:color w:val="auto"/>
                <w:kern w:val="0"/>
              </w:rPr>
              <w:t>等规范的要求。</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.1.5</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该公司厂区与其他化工企业以及其他工矿企业卫生防护距离满足要求。</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化工企业的厂址应符合当地规划，明确占用土地的类别及拆迁工程的情况。</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.1.6</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该项目厂址符合当地规划要求，已取得相应的规划许可文件。</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adjustRightInd w:val="0"/>
              <w:snapToGrid w:val="0"/>
              <w:spacing w:line="250" w:lineRule="exact"/>
              <w:rPr>
                <w:color w:val="auto"/>
                <w:kern w:val="0"/>
              </w:rPr>
            </w:pPr>
            <w:r>
              <w:rPr>
                <w:rFonts w:ascii="宋体" w:hAnsi="宋体"/>
                <w:color w:val="auto"/>
                <w:kern w:val="0"/>
              </w:rPr>
              <w:t>厂区应与当地现有和规划的交通线路、车站、港口顺捷合理地联结。厂前区尽量临靠公路干道，铁路、索道和码头应在厂后、侧部位，避免不同方式的交通线路平面交叉。</w:t>
            </w:r>
          </w:p>
        </w:tc>
        <w:tc>
          <w:tcPr>
            <w:tcW w:w="1780" w:type="dxa"/>
            <w:tcBorders>
              <w:top w:val="single" w:color="auto" w:sz="4" w:space="0"/>
              <w:left w:val="nil"/>
              <w:bottom w:val="single" w:color="auto" w:sz="4" w:space="0"/>
              <w:right w:val="single" w:color="auto" w:sz="4" w:space="0"/>
            </w:tcBorders>
            <w:vAlign w:val="center"/>
          </w:tcPr>
          <w:p>
            <w:pPr>
              <w:spacing w:line="250"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.1.7</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50" w:lineRule="exact"/>
              <w:rPr>
                <w:color w:val="auto"/>
                <w:kern w:val="0"/>
              </w:rPr>
            </w:pPr>
            <w:r>
              <w:rPr>
                <w:rFonts w:hint="eastAsia" w:ascii="宋体" w:hAnsi="宋体"/>
                <w:color w:val="auto"/>
                <w:kern w:val="0"/>
              </w:rPr>
              <w:t>与当地现有和规划的交通线路、车站、港口进行顺捷合理的联结；临靠公路干道</w:t>
            </w:r>
          </w:p>
        </w:tc>
        <w:tc>
          <w:tcPr>
            <w:tcW w:w="81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ascii="宋体" w:hAnsi="宋体"/>
                <w:color w:val="auto"/>
                <w:kern w:val="0"/>
              </w:rPr>
              <w:t>工厂的居住区、水源地等环境质量要求较高的设施与各种有害或危险场所应设置防护距离，并应位于不洁水体、废渣堆场的上游和全年最小频率风向的下风侧。</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《化工企业安全卫生设计规定》</w:t>
            </w:r>
            <w:r>
              <w:rPr>
                <w:rFonts w:hint="eastAsia"/>
                <w:color w:val="auto"/>
              </w:rPr>
              <w:t>HG</w:t>
            </w:r>
            <w:r>
              <w:rPr>
                <w:color w:val="auto"/>
              </w:rPr>
              <w:t>20571-2014</w:t>
            </w:r>
            <w:r>
              <w:rPr>
                <w:rFonts w:hint="eastAsia" w:ascii="宋体" w:hAnsi="宋体"/>
                <w:color w:val="auto"/>
              </w:rPr>
              <w:t>第</w:t>
            </w:r>
            <w:r>
              <w:rPr>
                <w:rFonts w:hint="eastAsia"/>
                <w:color w:val="auto"/>
              </w:rPr>
              <w:t>3</w:t>
            </w:r>
            <w:r>
              <w:rPr>
                <w:color w:val="auto"/>
              </w:rPr>
              <w:t>.1.8</w:t>
            </w:r>
            <w:r>
              <w:rPr>
                <w:rFonts w:hint="eastAsia" w:ascii="宋体" w:hAnsi="宋体"/>
                <w:color w:val="auto"/>
              </w:rPr>
              <w:t>条</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ascii="宋体" w:hAnsi="宋体"/>
                <w:color w:val="auto"/>
                <w:kern w:val="0"/>
              </w:rPr>
              <w:t>工厂的居住区、水源地等环境质量要求较高的设施与各种有害或危险场所</w:t>
            </w:r>
            <w:r>
              <w:rPr>
                <w:rFonts w:hint="eastAsia" w:ascii="宋体" w:hAnsi="宋体"/>
                <w:color w:val="auto"/>
                <w:kern w:val="0"/>
              </w:rPr>
              <w:t>已经过环境影响评价，依据报告符合要求。</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禁止在长江干支流岸线一公里范围内新建、扩建化工园区和化工项目。</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《关于加强长江经济带工业绿色发展的指导意见》、《长江保护法》第二十六条</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该项目装置距离赣江</w:t>
            </w:r>
            <w:r>
              <w:rPr>
                <w:color w:val="auto"/>
                <w:kern w:val="0"/>
              </w:rPr>
              <w:t>2290</w:t>
            </w:r>
            <w:r>
              <w:rPr>
                <w:rFonts w:hint="eastAsia"/>
                <w:color w:val="auto"/>
                <w:kern w:val="0"/>
              </w:rPr>
              <w:t>m</w:t>
            </w:r>
            <w:r>
              <w:rPr>
                <w:rFonts w:hint="eastAsia" w:ascii="宋体" w:hAnsi="宋体"/>
                <w:color w:val="auto"/>
                <w:kern w:val="0"/>
              </w:rPr>
              <w:t>。</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rFonts w:ascii="宋体" w:hAnsi="宋体"/>
                <w:color w:val="auto"/>
                <w:kern w:val="0"/>
              </w:rPr>
            </w:pPr>
            <w:r>
              <w:rPr>
                <w:rFonts w:hint="eastAsia" w:ascii="宋体" w:hAnsi="宋体"/>
                <w:color w:val="auto"/>
                <w:kern w:val="0"/>
              </w:rPr>
              <w:t>除按照国家有关规定设立的为车辆补充燃料的场所、设施外，禁止在下列范围内设立生产、储存、销售易燃、易爆、剧毒、放射性等危险物品的场所、设施：</w:t>
            </w:r>
          </w:p>
          <w:p>
            <w:pPr>
              <w:spacing w:line="266" w:lineRule="exact"/>
              <w:rPr>
                <w:rFonts w:ascii="宋体" w:hAnsi="宋体"/>
                <w:color w:val="auto"/>
                <w:kern w:val="0"/>
              </w:rPr>
            </w:pPr>
            <w:r>
              <w:rPr>
                <w:rFonts w:hint="eastAsia" w:ascii="宋体" w:hAnsi="宋体"/>
                <w:color w:val="auto"/>
                <w:kern w:val="0"/>
              </w:rPr>
              <w:t>（一）公路用地外缘起向外</w:t>
            </w:r>
            <w:r>
              <w:rPr>
                <w:rFonts w:hint="eastAsia"/>
                <w:color w:val="auto"/>
                <w:kern w:val="0"/>
              </w:rPr>
              <w:t>100</w:t>
            </w:r>
            <w:r>
              <w:rPr>
                <w:rFonts w:hint="eastAsia" w:ascii="宋体" w:hAnsi="宋体"/>
                <w:color w:val="auto"/>
                <w:kern w:val="0"/>
              </w:rPr>
              <w:t>米；</w:t>
            </w:r>
          </w:p>
          <w:p>
            <w:pPr>
              <w:spacing w:line="266" w:lineRule="exact"/>
              <w:rPr>
                <w:rFonts w:ascii="宋体" w:hAnsi="宋体"/>
                <w:color w:val="auto"/>
                <w:kern w:val="0"/>
              </w:rPr>
            </w:pPr>
            <w:r>
              <w:rPr>
                <w:rFonts w:hint="eastAsia" w:ascii="宋体" w:hAnsi="宋体"/>
                <w:color w:val="auto"/>
                <w:kern w:val="0"/>
              </w:rPr>
              <w:t>（二）公路渡口和中型以上公路桥梁周围</w:t>
            </w:r>
            <w:r>
              <w:rPr>
                <w:rFonts w:hint="eastAsia"/>
                <w:color w:val="auto"/>
                <w:kern w:val="0"/>
              </w:rPr>
              <w:t>200</w:t>
            </w:r>
            <w:r>
              <w:rPr>
                <w:rFonts w:hint="eastAsia" w:ascii="宋体" w:hAnsi="宋体"/>
                <w:color w:val="auto"/>
                <w:kern w:val="0"/>
              </w:rPr>
              <w:t>米；</w:t>
            </w:r>
          </w:p>
          <w:p>
            <w:pPr>
              <w:spacing w:line="266" w:lineRule="exact"/>
              <w:rPr>
                <w:color w:val="auto"/>
                <w:kern w:val="0"/>
              </w:rPr>
            </w:pPr>
            <w:r>
              <w:rPr>
                <w:rFonts w:hint="eastAsia" w:ascii="宋体" w:hAnsi="宋体"/>
                <w:color w:val="auto"/>
                <w:kern w:val="0"/>
              </w:rPr>
              <w:t>（三）公路隧道上方和洞口外</w:t>
            </w:r>
            <w:r>
              <w:rPr>
                <w:rFonts w:hint="eastAsia"/>
                <w:color w:val="auto"/>
                <w:kern w:val="0"/>
              </w:rPr>
              <w:t>100</w:t>
            </w:r>
            <w:r>
              <w:rPr>
                <w:rFonts w:hint="eastAsia" w:ascii="宋体" w:hAnsi="宋体"/>
                <w:color w:val="auto"/>
                <w:kern w:val="0"/>
              </w:rPr>
              <w:t>米。</w:t>
            </w:r>
          </w:p>
          <w:p>
            <w:pPr>
              <w:spacing w:line="266" w:lineRule="exact"/>
              <w:rPr>
                <w:color w:val="auto"/>
                <w:kern w:val="0"/>
              </w:rPr>
            </w:pP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《公路安全保护条例》第十八条</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拟建项目位于化工园区内，该项目甲、乙类装置和仓库在公路1</w:t>
            </w:r>
            <w:r>
              <w:rPr>
                <w:rFonts w:ascii="宋体" w:hAnsi="宋体"/>
                <w:color w:val="auto"/>
                <w:kern w:val="0"/>
              </w:rPr>
              <w:t>00</w:t>
            </w:r>
            <w:r>
              <w:rPr>
                <w:rFonts w:hint="eastAsia" w:ascii="宋体" w:hAnsi="宋体"/>
                <w:color w:val="auto"/>
                <w:kern w:val="0"/>
              </w:rPr>
              <w:t>m范围外，</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在铁路线路两侧建造、设立生产、加工、储存或者销售易燃、易爆或者放射性物品等危险物品的场所、仓库，应当符合国家标准、行业标准规定的安全防护距离。</w:t>
            </w:r>
          </w:p>
          <w:p>
            <w:pPr>
              <w:spacing w:line="266" w:lineRule="exact"/>
              <w:rPr>
                <w:color w:val="auto"/>
                <w:kern w:val="0"/>
              </w:rPr>
            </w:pP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《铁路安全管理条例》第三十三条</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该项目</w:t>
            </w:r>
            <w:r>
              <w:rPr>
                <w:rFonts w:hint="eastAsia"/>
                <w:color w:val="auto"/>
                <w:kern w:val="0"/>
              </w:rPr>
              <w:t>厂区距离西侧京九线</w:t>
            </w:r>
            <w:r>
              <w:rPr>
                <w:rFonts w:hint="eastAsia" w:ascii="宋体" w:hAnsi="宋体"/>
                <w:color w:val="auto"/>
                <w:kern w:val="0"/>
              </w:rPr>
              <w:t>9</w:t>
            </w:r>
            <w:r>
              <w:rPr>
                <w:rFonts w:ascii="宋体" w:hAnsi="宋体"/>
                <w:color w:val="auto"/>
                <w:kern w:val="0"/>
              </w:rPr>
              <w:t>83</w:t>
            </w:r>
            <w:r>
              <w:rPr>
                <w:rFonts w:hint="eastAsia" w:ascii="宋体" w:hAnsi="宋体"/>
                <w:color w:val="auto"/>
                <w:kern w:val="0"/>
              </w:rPr>
              <w:t>m，甲类车间和仓库与铁路的距离大于1</w:t>
            </w:r>
            <w:r>
              <w:rPr>
                <w:rFonts w:ascii="宋体" w:hAnsi="宋体"/>
                <w:color w:val="auto"/>
                <w:kern w:val="0"/>
              </w:rPr>
              <w:t>000</w:t>
            </w:r>
            <w:r>
              <w:rPr>
                <w:rFonts w:hint="eastAsia" w:ascii="宋体" w:hAnsi="宋体"/>
                <w:color w:val="auto"/>
                <w:kern w:val="0"/>
              </w:rPr>
              <w:t>m</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工业企业选址宜避开自然疫源地；对于因建设工程需要等原因不能避开的，应设计具体的疫情综合预防控制措施。</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《工业企业设计卫生标准》</w:t>
            </w:r>
            <w:r>
              <w:rPr>
                <w:rFonts w:hint="eastAsia"/>
                <w:color w:val="auto"/>
              </w:rPr>
              <w:t>GBZ</w:t>
            </w:r>
            <w:r>
              <w:rPr>
                <w:color w:val="auto"/>
              </w:rPr>
              <w:t>1-2010</w:t>
            </w:r>
            <w:r>
              <w:rPr>
                <w:rFonts w:hint="eastAsia" w:ascii="宋体" w:hAnsi="宋体"/>
                <w:color w:val="auto"/>
              </w:rPr>
              <w:t>第</w:t>
            </w:r>
            <w:r>
              <w:rPr>
                <w:rFonts w:hint="eastAsia"/>
                <w:color w:val="auto"/>
              </w:rPr>
              <w:t>5</w:t>
            </w:r>
            <w:r>
              <w:rPr>
                <w:color w:val="auto"/>
              </w:rPr>
              <w:t>.1.2</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该项目厂址不属于自然疫源地</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工业企业选址宜避开可能产生或存在危害健康的场所和设施，如垃圾填埋场、污水处理厂、气体输送管道，以及水、土壤可能已被原工业企业污染的地区；建设工程需要难以避开的，应首先进行卫生学评估，并根据评估结构采取必要的控制措施。设计单位应明确要求施工单位和建设单位指定施工期间和投产运行后突发公共卫生事件应急救援预案。</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《工业企业设计卫生标准》</w:t>
            </w:r>
            <w:r>
              <w:rPr>
                <w:rFonts w:hint="eastAsia"/>
                <w:color w:val="auto"/>
              </w:rPr>
              <w:t>GBZ</w:t>
            </w:r>
            <w:r>
              <w:rPr>
                <w:color w:val="auto"/>
              </w:rPr>
              <w:t>1-2010</w:t>
            </w:r>
            <w:r>
              <w:rPr>
                <w:rFonts w:hint="eastAsia" w:ascii="宋体" w:hAnsi="宋体"/>
                <w:color w:val="auto"/>
              </w:rPr>
              <w:t>第</w:t>
            </w:r>
            <w:r>
              <w:rPr>
                <w:rFonts w:hint="eastAsia"/>
                <w:color w:val="auto"/>
              </w:rPr>
              <w:t>5</w:t>
            </w:r>
            <w:r>
              <w:rPr>
                <w:color w:val="auto"/>
              </w:rPr>
              <w:t>.1.3</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该项目厂址不属于已被污染的地区。</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ascii="宋体" w:hAnsi="宋体"/>
                <w:color w:val="auto"/>
                <w:kern w:val="0"/>
              </w:rPr>
              <w:t>向大气排放有害物质的工业企业应布置在当地夏季最小频率风向的被保护对象的上风侧，并应符合国家规定的卫生防护距离要求，以避免与周边地区产生相互影响。对于目前国家尚未规定卫生防护距离要求的，宜进行健康影响评估，并根据实际评估结果作出判定</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《工业企业设计卫生标准》</w:t>
            </w:r>
            <w:r>
              <w:rPr>
                <w:rFonts w:hint="eastAsia"/>
                <w:color w:val="auto"/>
              </w:rPr>
              <w:t>GBZ</w:t>
            </w:r>
            <w:r>
              <w:rPr>
                <w:color w:val="auto"/>
              </w:rPr>
              <w:t>1-2010</w:t>
            </w:r>
            <w:r>
              <w:rPr>
                <w:rFonts w:hint="eastAsia" w:ascii="宋体" w:hAnsi="宋体"/>
                <w:color w:val="auto"/>
              </w:rPr>
              <w:t>第</w:t>
            </w:r>
            <w:r>
              <w:rPr>
                <w:rFonts w:hint="eastAsia"/>
                <w:color w:val="auto"/>
              </w:rPr>
              <w:t>5</w:t>
            </w:r>
            <w:r>
              <w:rPr>
                <w:color w:val="auto"/>
              </w:rPr>
              <w:t>.1.4</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根据环评报告，符合卫生防护距离要求。</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266"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ascii="宋体" w:hAnsi="宋体"/>
                <w:color w:val="auto"/>
                <w:kern w:val="0"/>
              </w:rPr>
              <w:t>在同一工业区内布置不同卫生特征的工业企业时，应避免不同有害因素产生交叉污染和联合作用。</w:t>
            </w:r>
          </w:p>
        </w:tc>
        <w:tc>
          <w:tcPr>
            <w:tcW w:w="1780" w:type="dxa"/>
            <w:tcBorders>
              <w:top w:val="single" w:color="auto" w:sz="4" w:space="0"/>
              <w:left w:val="nil"/>
              <w:bottom w:val="single" w:color="auto" w:sz="4" w:space="0"/>
              <w:right w:val="single" w:color="auto" w:sz="4" w:space="0"/>
            </w:tcBorders>
            <w:vAlign w:val="center"/>
          </w:tcPr>
          <w:p>
            <w:pPr>
              <w:spacing w:line="266" w:lineRule="exact"/>
              <w:rPr>
                <w:color w:val="auto"/>
              </w:rPr>
            </w:pPr>
            <w:r>
              <w:rPr>
                <w:rFonts w:hint="eastAsia" w:ascii="宋体" w:hAnsi="宋体"/>
                <w:color w:val="auto"/>
              </w:rPr>
              <w:t>《工业企业设计卫生标准》</w:t>
            </w:r>
            <w:r>
              <w:rPr>
                <w:rFonts w:hint="eastAsia"/>
                <w:color w:val="auto"/>
              </w:rPr>
              <w:t>GBZ</w:t>
            </w:r>
            <w:r>
              <w:rPr>
                <w:color w:val="auto"/>
              </w:rPr>
              <w:t>1-2010</w:t>
            </w:r>
            <w:r>
              <w:rPr>
                <w:rFonts w:hint="eastAsia" w:ascii="宋体" w:hAnsi="宋体"/>
                <w:color w:val="auto"/>
              </w:rPr>
              <w:t>第</w:t>
            </w:r>
            <w:r>
              <w:rPr>
                <w:rFonts w:hint="eastAsia"/>
                <w:color w:val="auto"/>
              </w:rPr>
              <w:t>5</w:t>
            </w:r>
            <w:r>
              <w:rPr>
                <w:color w:val="auto"/>
              </w:rPr>
              <w:t>.1.5</w:t>
            </w:r>
          </w:p>
        </w:tc>
        <w:tc>
          <w:tcPr>
            <w:tcW w:w="1764" w:type="dxa"/>
            <w:tcBorders>
              <w:top w:val="single" w:color="auto" w:sz="4" w:space="0"/>
              <w:left w:val="nil"/>
              <w:bottom w:val="single" w:color="auto" w:sz="4" w:space="0"/>
              <w:right w:val="single" w:color="auto" w:sz="4" w:space="0"/>
            </w:tcBorders>
            <w:vAlign w:val="center"/>
          </w:tcPr>
          <w:p>
            <w:pPr>
              <w:spacing w:line="266" w:lineRule="exact"/>
              <w:rPr>
                <w:color w:val="auto"/>
                <w:kern w:val="0"/>
              </w:rPr>
            </w:pPr>
            <w:r>
              <w:rPr>
                <w:rFonts w:hint="eastAsia" w:ascii="宋体" w:hAnsi="宋体"/>
                <w:color w:val="auto"/>
                <w:kern w:val="0"/>
              </w:rPr>
              <w:t>无交叉污染。</w:t>
            </w:r>
          </w:p>
        </w:tc>
        <w:tc>
          <w:tcPr>
            <w:tcW w:w="814" w:type="dxa"/>
            <w:tcBorders>
              <w:top w:val="single" w:color="auto" w:sz="4" w:space="0"/>
              <w:left w:val="nil"/>
              <w:bottom w:val="single" w:color="auto" w:sz="4" w:space="0"/>
              <w:right w:val="single" w:color="auto" w:sz="4" w:space="0"/>
            </w:tcBorders>
            <w:vAlign w:val="center"/>
          </w:tcPr>
          <w:p>
            <w:pPr>
              <w:spacing w:line="266"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30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300" w:lineRule="exact"/>
              <w:jc w:val="left"/>
              <w:rPr>
                <w:color w:val="auto"/>
                <w:kern w:val="0"/>
              </w:rPr>
            </w:pPr>
            <w:r>
              <w:rPr>
                <w:rFonts w:hint="eastAsia" w:ascii="宋体" w:hAnsi="宋体"/>
                <w:color w:val="auto"/>
                <w:kern w:val="0"/>
              </w:rPr>
              <w:t>企业选址布局、规划设计以及与重要场所、设施、区域的距离应当符合下列要求：</w:t>
            </w:r>
          </w:p>
          <w:p>
            <w:pPr>
              <w:spacing w:line="300" w:lineRule="exact"/>
              <w:rPr>
                <w:color w:val="auto"/>
                <w:kern w:val="0"/>
              </w:rPr>
            </w:pPr>
            <w:r>
              <w:rPr>
                <w:rFonts w:hint="eastAsia" w:ascii="宋体" w:hAnsi="宋体"/>
                <w:color w:val="auto"/>
                <w:kern w:val="0"/>
              </w:rPr>
              <w:t>（一）国家产业政策；当地县级以上（含县级）人民政府的规划和布局；新设立企业建在地方人民政府规划的专门用于危险化学品生产、储存的区域内；</w:t>
            </w:r>
          </w:p>
        </w:tc>
        <w:tc>
          <w:tcPr>
            <w:tcW w:w="1780" w:type="dxa"/>
            <w:tcBorders>
              <w:top w:val="single" w:color="auto" w:sz="4" w:space="0"/>
              <w:left w:val="nil"/>
              <w:bottom w:val="single" w:color="auto" w:sz="4" w:space="0"/>
              <w:right w:val="single" w:color="auto" w:sz="4" w:space="0"/>
            </w:tcBorders>
            <w:vAlign w:val="center"/>
          </w:tcPr>
          <w:p>
            <w:pPr>
              <w:spacing w:line="300" w:lineRule="exact"/>
              <w:rPr>
                <w:color w:val="auto"/>
              </w:rPr>
            </w:pPr>
            <w:r>
              <w:rPr>
                <w:rFonts w:hint="eastAsia" w:ascii="宋体" w:hAnsi="宋体"/>
                <w:color w:val="auto"/>
              </w:rPr>
              <w:t>《危险化学品生产企业安全生产许可证实施办法》第八条</w:t>
            </w:r>
          </w:p>
        </w:tc>
        <w:tc>
          <w:tcPr>
            <w:tcW w:w="1764" w:type="dxa"/>
            <w:tcBorders>
              <w:top w:val="single" w:color="auto" w:sz="4" w:space="0"/>
              <w:left w:val="nil"/>
              <w:bottom w:val="single" w:color="auto" w:sz="4" w:space="0"/>
              <w:right w:val="single" w:color="auto" w:sz="4" w:space="0"/>
            </w:tcBorders>
            <w:vAlign w:val="center"/>
          </w:tcPr>
          <w:p>
            <w:pPr>
              <w:spacing w:line="300" w:lineRule="exact"/>
              <w:rPr>
                <w:color w:val="auto"/>
                <w:kern w:val="0"/>
              </w:rPr>
            </w:pPr>
            <w:r>
              <w:rPr>
                <w:rFonts w:hint="eastAsia" w:ascii="宋体" w:hAnsi="宋体"/>
                <w:color w:val="auto"/>
                <w:kern w:val="0"/>
              </w:rPr>
              <w:t>该项目符合国家产业政策，拟建于新干县盐化工业城。</w:t>
            </w:r>
          </w:p>
        </w:tc>
        <w:tc>
          <w:tcPr>
            <w:tcW w:w="81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hint="eastAsia" w:ascii="宋体" w:hAnsi="宋体"/>
                <w:color w:val="auto"/>
              </w:rPr>
              <w:t>符合要求</w:t>
            </w:r>
            <w:r>
              <w:rPr>
                <w:rFonts w:hint="eastAsia"/>
                <w:color w:val="auto"/>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pPr>
              <w:pStyle w:val="93"/>
              <w:numPr>
                <w:ilvl w:val="0"/>
                <w:numId w:val="35"/>
              </w:numPr>
              <w:spacing w:line="300" w:lineRule="exact"/>
              <w:ind w:firstLineChars="0"/>
              <w:jc w:val="center"/>
              <w:rPr>
                <w:color w:val="auto"/>
                <w:sz w:val="21"/>
                <w:szCs w:val="21"/>
              </w:rPr>
            </w:pPr>
          </w:p>
        </w:tc>
        <w:tc>
          <w:tcPr>
            <w:tcW w:w="4304" w:type="dxa"/>
            <w:tcBorders>
              <w:top w:val="single" w:color="auto" w:sz="4" w:space="0"/>
              <w:left w:val="nil"/>
              <w:bottom w:val="single" w:color="auto" w:sz="4" w:space="0"/>
              <w:right w:val="single" w:color="auto" w:sz="4" w:space="0"/>
            </w:tcBorders>
            <w:vAlign w:val="center"/>
          </w:tcPr>
          <w:p>
            <w:pPr>
              <w:spacing w:line="300" w:lineRule="exact"/>
              <w:jc w:val="left"/>
              <w:rPr>
                <w:color w:val="auto"/>
                <w:kern w:val="0"/>
              </w:rPr>
            </w:pPr>
            <w:r>
              <w:rPr>
                <w:rFonts w:hint="eastAsia" w:ascii="宋体" w:hAnsi="宋体"/>
                <w:color w:val="auto"/>
                <w:kern w:val="0"/>
              </w:rPr>
              <w:t>危险化学品生产装置或者储存数量构成重大危险源的危险化学品储存设施</w:t>
            </w:r>
            <w:r>
              <w:rPr>
                <w:rFonts w:hint="eastAsia"/>
                <w:color w:val="auto"/>
                <w:kern w:val="0"/>
              </w:rPr>
              <w:t>(</w:t>
            </w:r>
            <w:r>
              <w:rPr>
                <w:rFonts w:hint="eastAsia" w:ascii="宋体" w:hAnsi="宋体"/>
                <w:color w:val="auto"/>
                <w:kern w:val="0"/>
              </w:rPr>
              <w:t>运输工具加油站、加气站除外</w:t>
            </w:r>
            <w:r>
              <w:rPr>
                <w:rFonts w:hint="eastAsia"/>
                <w:color w:val="auto"/>
                <w:kern w:val="0"/>
              </w:rPr>
              <w:t>)</w:t>
            </w:r>
            <w:r>
              <w:rPr>
                <w:rFonts w:hint="eastAsia" w:ascii="宋体" w:hAnsi="宋体"/>
                <w:color w:val="auto"/>
                <w:kern w:val="0"/>
              </w:rPr>
              <w:t>，与下列场所、设施、区域的距离应当符合国家有关规定：</w:t>
            </w:r>
          </w:p>
          <w:p>
            <w:pPr>
              <w:spacing w:line="300" w:lineRule="exact"/>
              <w:jc w:val="left"/>
              <w:rPr>
                <w:color w:val="auto"/>
                <w:kern w:val="0"/>
              </w:rPr>
            </w:pPr>
            <w:r>
              <w:rPr>
                <w:rFonts w:hint="eastAsia"/>
                <w:color w:val="auto"/>
                <w:kern w:val="0"/>
              </w:rPr>
              <w:t>(</w:t>
            </w:r>
            <w:r>
              <w:rPr>
                <w:rFonts w:hint="eastAsia" w:ascii="宋体" w:hAnsi="宋体"/>
                <w:color w:val="auto"/>
                <w:kern w:val="0"/>
              </w:rPr>
              <w:t>一</w:t>
            </w:r>
            <w:r>
              <w:rPr>
                <w:rFonts w:hint="eastAsia"/>
                <w:color w:val="auto"/>
                <w:kern w:val="0"/>
              </w:rPr>
              <w:t>)</w:t>
            </w:r>
            <w:r>
              <w:rPr>
                <w:rFonts w:hint="eastAsia" w:ascii="宋体" w:hAnsi="宋体"/>
                <w:color w:val="auto"/>
                <w:kern w:val="0"/>
              </w:rPr>
              <w:t>居住区以及商业中心、公园等人员密集场所；</w:t>
            </w:r>
          </w:p>
          <w:p>
            <w:pPr>
              <w:spacing w:line="300" w:lineRule="exact"/>
              <w:jc w:val="left"/>
              <w:rPr>
                <w:color w:val="auto"/>
                <w:kern w:val="0"/>
              </w:rPr>
            </w:pPr>
            <w:r>
              <w:rPr>
                <w:rFonts w:hint="eastAsia"/>
                <w:color w:val="auto"/>
                <w:kern w:val="0"/>
              </w:rPr>
              <w:t>(</w:t>
            </w:r>
            <w:r>
              <w:rPr>
                <w:rFonts w:hint="eastAsia" w:ascii="宋体" w:hAnsi="宋体"/>
                <w:color w:val="auto"/>
                <w:kern w:val="0"/>
              </w:rPr>
              <w:t>二</w:t>
            </w:r>
            <w:r>
              <w:rPr>
                <w:rFonts w:hint="eastAsia"/>
                <w:color w:val="auto"/>
                <w:kern w:val="0"/>
              </w:rPr>
              <w:t>)</w:t>
            </w:r>
            <w:r>
              <w:rPr>
                <w:rFonts w:hint="eastAsia" w:ascii="宋体" w:hAnsi="宋体"/>
                <w:color w:val="auto"/>
                <w:kern w:val="0"/>
              </w:rPr>
              <w:t>学校、医院、影剧院、体育场</w:t>
            </w:r>
            <w:r>
              <w:rPr>
                <w:rFonts w:hint="eastAsia"/>
                <w:color w:val="auto"/>
                <w:kern w:val="0"/>
              </w:rPr>
              <w:t>(</w:t>
            </w:r>
            <w:r>
              <w:rPr>
                <w:rFonts w:hint="eastAsia" w:ascii="宋体" w:hAnsi="宋体"/>
                <w:color w:val="auto"/>
                <w:kern w:val="0"/>
              </w:rPr>
              <w:t>馆</w:t>
            </w:r>
            <w:r>
              <w:rPr>
                <w:rFonts w:hint="eastAsia"/>
                <w:color w:val="auto"/>
                <w:kern w:val="0"/>
              </w:rPr>
              <w:t>)</w:t>
            </w:r>
            <w:r>
              <w:rPr>
                <w:rFonts w:hint="eastAsia" w:ascii="宋体" w:hAnsi="宋体"/>
                <w:color w:val="auto"/>
                <w:kern w:val="0"/>
              </w:rPr>
              <w:t>等公共设施；</w:t>
            </w:r>
          </w:p>
          <w:p>
            <w:pPr>
              <w:spacing w:line="300" w:lineRule="exact"/>
              <w:jc w:val="left"/>
              <w:rPr>
                <w:color w:val="auto"/>
                <w:kern w:val="0"/>
              </w:rPr>
            </w:pPr>
            <w:r>
              <w:rPr>
                <w:rFonts w:hint="eastAsia"/>
                <w:color w:val="auto"/>
                <w:kern w:val="0"/>
              </w:rPr>
              <w:t>(</w:t>
            </w:r>
            <w:r>
              <w:rPr>
                <w:rFonts w:hint="eastAsia" w:ascii="宋体" w:hAnsi="宋体"/>
                <w:color w:val="auto"/>
                <w:kern w:val="0"/>
              </w:rPr>
              <w:t>三</w:t>
            </w:r>
            <w:r>
              <w:rPr>
                <w:rFonts w:hint="eastAsia"/>
                <w:color w:val="auto"/>
                <w:kern w:val="0"/>
              </w:rPr>
              <w:t>)</w:t>
            </w:r>
            <w:r>
              <w:rPr>
                <w:rFonts w:hint="eastAsia" w:ascii="宋体" w:hAnsi="宋体"/>
                <w:color w:val="auto"/>
                <w:kern w:val="0"/>
              </w:rPr>
              <w:t>饮用水源、水厂以及水源保护区；</w:t>
            </w:r>
          </w:p>
          <w:p>
            <w:pPr>
              <w:spacing w:line="300" w:lineRule="exact"/>
              <w:jc w:val="left"/>
              <w:rPr>
                <w:color w:val="auto"/>
                <w:kern w:val="0"/>
              </w:rPr>
            </w:pPr>
            <w:r>
              <w:rPr>
                <w:rFonts w:hint="eastAsia"/>
                <w:color w:val="auto"/>
                <w:kern w:val="0"/>
              </w:rPr>
              <w:t>(</w:t>
            </w:r>
            <w:r>
              <w:rPr>
                <w:rFonts w:hint="eastAsia" w:ascii="宋体" w:hAnsi="宋体"/>
                <w:color w:val="auto"/>
                <w:kern w:val="0"/>
              </w:rPr>
              <w:t>四</w:t>
            </w:r>
            <w:r>
              <w:rPr>
                <w:rFonts w:hint="eastAsia"/>
                <w:color w:val="auto"/>
                <w:kern w:val="0"/>
              </w:rPr>
              <w:t>)</w:t>
            </w:r>
            <w:r>
              <w:rPr>
                <w:rFonts w:hint="eastAsia" w:ascii="宋体" w:hAnsi="宋体"/>
                <w:color w:val="auto"/>
                <w:kern w:val="0"/>
              </w:rPr>
              <w:t>车站、码头</w:t>
            </w:r>
            <w:r>
              <w:rPr>
                <w:rFonts w:hint="eastAsia"/>
                <w:color w:val="auto"/>
                <w:kern w:val="0"/>
              </w:rPr>
              <w:t>(</w:t>
            </w:r>
            <w:r>
              <w:rPr>
                <w:rFonts w:hint="eastAsia" w:ascii="宋体" w:hAnsi="宋体"/>
                <w:color w:val="auto"/>
                <w:kern w:val="0"/>
              </w:rPr>
              <w:t>依法经许可从事危险化学品装卸作业的除外</w:t>
            </w:r>
            <w:r>
              <w:rPr>
                <w:rFonts w:hint="eastAsia"/>
                <w:color w:val="auto"/>
                <w:kern w:val="0"/>
              </w:rPr>
              <w:t>)</w:t>
            </w:r>
            <w:r>
              <w:rPr>
                <w:rFonts w:hint="eastAsia" w:ascii="宋体" w:hAnsi="宋体"/>
                <w:color w:val="auto"/>
                <w:kern w:val="0"/>
              </w:rPr>
              <w:t>、机场以及通信干线、通信枢纽、铁路线路、道路交通干线、水路交通干线、地铁风亭以及地铁站出入口；</w:t>
            </w:r>
          </w:p>
          <w:p>
            <w:pPr>
              <w:spacing w:line="300" w:lineRule="exact"/>
              <w:jc w:val="left"/>
              <w:rPr>
                <w:color w:val="auto"/>
                <w:kern w:val="0"/>
              </w:rPr>
            </w:pPr>
            <w:r>
              <w:rPr>
                <w:rFonts w:hint="eastAsia"/>
                <w:color w:val="auto"/>
                <w:kern w:val="0"/>
              </w:rPr>
              <w:t>(</w:t>
            </w:r>
            <w:r>
              <w:rPr>
                <w:rFonts w:hint="eastAsia" w:ascii="宋体" w:hAnsi="宋体"/>
                <w:color w:val="auto"/>
                <w:kern w:val="0"/>
              </w:rPr>
              <w:t>五</w:t>
            </w:r>
            <w:r>
              <w:rPr>
                <w:rFonts w:hint="eastAsia"/>
                <w:color w:val="auto"/>
                <w:kern w:val="0"/>
              </w:rPr>
              <w:t>)</w:t>
            </w:r>
            <w:r>
              <w:rPr>
                <w:rFonts w:hint="eastAsia" w:ascii="宋体" w:hAnsi="宋体"/>
                <w:color w:val="auto"/>
                <w:kern w:val="0"/>
              </w:rPr>
              <w:t>基本农田保护区、基本草原、畜禽遗传资源保护区、畜禽规模化养殖场</w:t>
            </w:r>
            <w:r>
              <w:rPr>
                <w:rFonts w:hint="eastAsia"/>
                <w:color w:val="auto"/>
                <w:kern w:val="0"/>
              </w:rPr>
              <w:t>(</w:t>
            </w:r>
            <w:r>
              <w:rPr>
                <w:rFonts w:hint="eastAsia" w:ascii="宋体" w:hAnsi="宋体"/>
                <w:color w:val="auto"/>
                <w:kern w:val="0"/>
              </w:rPr>
              <w:t>养殖小区</w:t>
            </w:r>
            <w:r>
              <w:rPr>
                <w:rFonts w:hint="eastAsia"/>
                <w:color w:val="auto"/>
                <w:kern w:val="0"/>
              </w:rPr>
              <w:t>)</w:t>
            </w:r>
            <w:r>
              <w:rPr>
                <w:rFonts w:hint="eastAsia" w:ascii="宋体" w:hAnsi="宋体"/>
                <w:color w:val="auto"/>
                <w:kern w:val="0"/>
              </w:rPr>
              <w:t>、渔业水域以及种子、种畜禽、水产苗种生产基地；</w:t>
            </w:r>
            <w:r>
              <w:rPr>
                <w:rFonts w:hint="eastAsia"/>
                <w:color w:val="auto"/>
                <w:kern w:val="0"/>
              </w:rPr>
              <w:t>(</w:t>
            </w:r>
            <w:r>
              <w:rPr>
                <w:rFonts w:hint="eastAsia" w:ascii="宋体" w:hAnsi="宋体"/>
                <w:color w:val="auto"/>
                <w:kern w:val="0"/>
              </w:rPr>
              <w:t>六</w:t>
            </w:r>
            <w:r>
              <w:rPr>
                <w:rFonts w:hint="eastAsia"/>
                <w:color w:val="auto"/>
                <w:kern w:val="0"/>
              </w:rPr>
              <w:t>)</w:t>
            </w:r>
            <w:r>
              <w:rPr>
                <w:rFonts w:hint="eastAsia" w:ascii="宋体" w:hAnsi="宋体"/>
                <w:color w:val="auto"/>
                <w:kern w:val="0"/>
              </w:rPr>
              <w:t>河流、湖泊、风景名胜区、自然保护区；</w:t>
            </w:r>
          </w:p>
          <w:p>
            <w:pPr>
              <w:spacing w:line="300" w:lineRule="exact"/>
              <w:jc w:val="left"/>
              <w:rPr>
                <w:color w:val="auto"/>
                <w:kern w:val="0"/>
              </w:rPr>
            </w:pPr>
            <w:r>
              <w:rPr>
                <w:rFonts w:hint="eastAsia"/>
                <w:color w:val="auto"/>
                <w:kern w:val="0"/>
              </w:rPr>
              <w:t>(</w:t>
            </w:r>
            <w:r>
              <w:rPr>
                <w:rFonts w:hint="eastAsia" w:ascii="宋体" w:hAnsi="宋体"/>
                <w:color w:val="auto"/>
                <w:kern w:val="0"/>
              </w:rPr>
              <w:t>七</w:t>
            </w:r>
            <w:r>
              <w:rPr>
                <w:rFonts w:hint="eastAsia"/>
                <w:color w:val="auto"/>
                <w:kern w:val="0"/>
              </w:rPr>
              <w:t>)</w:t>
            </w:r>
            <w:r>
              <w:rPr>
                <w:rFonts w:hint="eastAsia" w:ascii="宋体" w:hAnsi="宋体"/>
                <w:color w:val="auto"/>
                <w:kern w:val="0"/>
              </w:rPr>
              <w:t>军事禁区、军事管理区；</w:t>
            </w:r>
          </w:p>
          <w:p>
            <w:pPr>
              <w:spacing w:line="300" w:lineRule="exact"/>
              <w:rPr>
                <w:color w:val="auto"/>
                <w:kern w:val="0"/>
              </w:rPr>
            </w:pPr>
            <w:r>
              <w:rPr>
                <w:rFonts w:hint="eastAsia"/>
                <w:color w:val="auto"/>
                <w:kern w:val="0"/>
              </w:rPr>
              <w:t>(</w:t>
            </w:r>
            <w:r>
              <w:rPr>
                <w:rFonts w:hint="eastAsia" w:ascii="宋体" w:hAnsi="宋体"/>
                <w:color w:val="auto"/>
                <w:kern w:val="0"/>
              </w:rPr>
              <w:t>八</w:t>
            </w:r>
            <w:r>
              <w:rPr>
                <w:rFonts w:hint="eastAsia"/>
                <w:color w:val="auto"/>
                <w:kern w:val="0"/>
              </w:rPr>
              <w:t>)</w:t>
            </w:r>
            <w:r>
              <w:rPr>
                <w:rFonts w:hint="eastAsia" w:ascii="宋体" w:hAnsi="宋体"/>
                <w:color w:val="auto"/>
                <w:kern w:val="0"/>
              </w:rPr>
              <w:t>法律、行政法规规定的其他场所、设施、区域。</w:t>
            </w:r>
          </w:p>
        </w:tc>
        <w:tc>
          <w:tcPr>
            <w:tcW w:w="1780" w:type="dxa"/>
            <w:tcBorders>
              <w:top w:val="single" w:color="auto" w:sz="4" w:space="0"/>
              <w:left w:val="nil"/>
              <w:bottom w:val="single" w:color="auto" w:sz="4" w:space="0"/>
              <w:right w:val="single" w:color="auto" w:sz="4" w:space="0"/>
            </w:tcBorders>
            <w:vAlign w:val="center"/>
          </w:tcPr>
          <w:p>
            <w:pPr>
              <w:spacing w:line="300" w:lineRule="exact"/>
              <w:rPr>
                <w:color w:val="auto"/>
              </w:rPr>
            </w:pPr>
            <w:r>
              <w:rPr>
                <w:rFonts w:hint="eastAsia" w:ascii="宋体" w:hAnsi="宋体"/>
                <w:color w:val="auto"/>
              </w:rPr>
              <w:t>《危险化学品安全管理条例》第十九条</w:t>
            </w:r>
          </w:p>
        </w:tc>
        <w:tc>
          <w:tcPr>
            <w:tcW w:w="1764" w:type="dxa"/>
            <w:tcBorders>
              <w:top w:val="single" w:color="auto" w:sz="4" w:space="0"/>
              <w:left w:val="nil"/>
              <w:bottom w:val="single" w:color="auto" w:sz="4" w:space="0"/>
              <w:right w:val="single" w:color="auto" w:sz="4" w:space="0"/>
            </w:tcBorders>
            <w:vAlign w:val="center"/>
          </w:tcPr>
          <w:p>
            <w:pPr>
              <w:spacing w:line="300" w:lineRule="exact"/>
              <w:rPr>
                <w:rFonts w:ascii="宋体" w:hAnsi="宋体"/>
                <w:color w:val="auto"/>
                <w:kern w:val="0"/>
              </w:rPr>
            </w:pPr>
            <w:r>
              <w:rPr>
                <w:rFonts w:hint="eastAsia" w:ascii="宋体" w:hAnsi="宋体"/>
                <w:color w:val="auto"/>
                <w:kern w:val="0"/>
              </w:rPr>
              <w:t>该项目拟建设于江西省吉安市新干县盐化工业城，规范要求距离内无居民区、学校、商业中心、公园等人员密集场所。</w:t>
            </w:r>
          </w:p>
        </w:tc>
        <w:tc>
          <w:tcPr>
            <w:tcW w:w="814" w:type="dxa"/>
            <w:tcBorders>
              <w:top w:val="single" w:color="auto" w:sz="4" w:space="0"/>
              <w:left w:val="nil"/>
              <w:bottom w:val="single" w:color="auto" w:sz="4" w:space="0"/>
              <w:right w:val="single" w:color="auto" w:sz="4" w:space="0"/>
            </w:tcBorders>
            <w:vAlign w:val="center"/>
          </w:tcPr>
          <w:p>
            <w:pPr>
              <w:spacing w:line="300" w:lineRule="exact"/>
              <w:jc w:val="center"/>
              <w:rPr>
                <w:color w:val="auto"/>
              </w:rPr>
            </w:pPr>
            <w:r>
              <w:rPr>
                <w:rFonts w:hint="eastAsia" w:ascii="宋体" w:hAnsi="宋体"/>
                <w:color w:val="auto"/>
              </w:rPr>
              <w:t>符合要求</w:t>
            </w:r>
          </w:p>
        </w:tc>
      </w:tr>
    </w:tbl>
    <w:p>
      <w:pPr>
        <w:spacing w:line="600" w:lineRule="exact"/>
        <w:ind w:firstLine="560" w:firstLineChars="200"/>
        <w:rPr>
          <w:rFonts w:ascii="宋体" w:hAnsi="宋体"/>
          <w:color w:val="auto"/>
          <w:sz w:val="28"/>
          <w:szCs w:val="28"/>
        </w:rPr>
      </w:pPr>
      <w:r>
        <w:rPr>
          <w:rFonts w:hint="eastAsia" w:ascii="宋体" w:hAnsi="宋体"/>
          <w:color w:val="auto"/>
          <w:sz w:val="28"/>
          <w:szCs w:val="28"/>
        </w:rPr>
        <w:t>评价小结：</w:t>
      </w:r>
    </w:p>
    <w:p>
      <w:pPr>
        <w:ind w:firstLine="560" w:firstLineChars="200"/>
        <w:rPr>
          <w:color w:val="auto"/>
          <w:sz w:val="28"/>
          <w:szCs w:val="28"/>
        </w:rPr>
      </w:pPr>
      <w:r>
        <w:rPr>
          <w:rFonts w:hint="eastAsia" w:ascii="宋体" w:hAnsi="宋体"/>
          <w:color w:val="auto"/>
          <w:sz w:val="28"/>
          <w:szCs w:val="28"/>
        </w:rPr>
        <w:t>本安全检查表共检查29项，29项均符合要求。该项目</w:t>
      </w:r>
      <w:r>
        <w:rPr>
          <w:rFonts w:hint="eastAsia" w:ascii="宋体" w:hAnsi="宋体"/>
          <w:bCs/>
          <w:color w:val="auto"/>
          <w:sz w:val="28"/>
          <w:szCs w:val="28"/>
        </w:rPr>
        <w:t>已通过</w:t>
      </w:r>
      <w:r>
        <w:rPr>
          <w:rFonts w:hint="eastAsia" w:ascii="宋体" w:hAnsi="宋体"/>
          <w:color w:val="auto"/>
          <w:sz w:val="28"/>
          <w:szCs w:val="28"/>
        </w:rPr>
        <w:t>新干县发展和改革委员会</w:t>
      </w:r>
      <w:r>
        <w:rPr>
          <w:rFonts w:hint="eastAsia" w:ascii="宋体" w:hAnsi="宋体"/>
          <w:bCs/>
          <w:color w:val="auto"/>
          <w:sz w:val="28"/>
          <w:szCs w:val="28"/>
        </w:rPr>
        <w:t>备案</w:t>
      </w:r>
      <w:r>
        <w:rPr>
          <w:rFonts w:hint="eastAsia" w:ascii="宋体" w:hAnsi="宋体"/>
          <w:color w:val="auto"/>
          <w:sz w:val="28"/>
          <w:szCs w:val="28"/>
        </w:rPr>
        <w:t>。该项目位于江西省吉安市新干县盐化工业城，属规划的化工园区。交通运输设施、能源和动力设施、环境保护工程及生活等均能满足要求。拥有可靠的水源和电源，交通运输条件优越。因此评价认为该项目的选址符合相关要求，与周边的环境是适应的。</w:t>
      </w:r>
    </w:p>
    <w:p>
      <w:pPr>
        <w:keepNext/>
        <w:keepLines/>
        <w:spacing w:line="580" w:lineRule="exact"/>
        <w:jc w:val="left"/>
        <w:outlineLvl w:val="1"/>
        <w:rPr>
          <w:rFonts w:ascii="Calibri Light" w:hAnsi="Calibri Light"/>
          <w:b/>
          <w:color w:val="auto"/>
          <w:sz w:val="30"/>
          <w:szCs w:val="30"/>
        </w:rPr>
      </w:pPr>
      <w:bookmarkStart w:id="271" w:name="_Toc144109254"/>
      <w:r>
        <w:rPr>
          <w:rFonts w:hint="eastAsia" w:ascii="Calibri Light" w:hAnsi="Calibri Light"/>
          <w:b/>
          <w:color w:val="auto"/>
          <w:sz w:val="30"/>
          <w:szCs w:val="30"/>
        </w:rPr>
        <w:t>C.</w:t>
      </w:r>
      <w:r>
        <w:rPr>
          <w:rFonts w:ascii="Calibri Light" w:hAnsi="Calibri Light"/>
          <w:b/>
          <w:color w:val="auto"/>
          <w:sz w:val="30"/>
          <w:szCs w:val="30"/>
        </w:rPr>
        <w:t>1.</w:t>
      </w:r>
      <w:r>
        <w:rPr>
          <w:rFonts w:hint="eastAsia" w:ascii="Calibri Light" w:hAnsi="Calibri Light"/>
          <w:b/>
          <w:color w:val="auto"/>
          <w:sz w:val="30"/>
          <w:szCs w:val="30"/>
        </w:rPr>
        <w:t>2 总平面布置及建（构）筑物评价</w:t>
      </w:r>
      <w:bookmarkEnd w:id="271"/>
    </w:p>
    <w:p>
      <w:pPr>
        <w:autoSpaceDE w:val="0"/>
        <w:autoSpaceDN w:val="0"/>
        <w:adjustRightInd w:val="0"/>
        <w:snapToGrid w:val="0"/>
        <w:spacing w:line="360" w:lineRule="auto"/>
        <w:ind w:firstLine="560" w:firstLineChars="200"/>
        <w:rPr>
          <w:rFonts w:ascii="宋体" w:hAnsi="宋体"/>
          <w:color w:val="auto"/>
          <w:sz w:val="28"/>
          <w:szCs w:val="28"/>
        </w:rPr>
      </w:pPr>
      <w:r>
        <w:rPr>
          <w:rFonts w:hint="eastAsia" w:ascii="宋体" w:hAnsi="宋体"/>
          <w:color w:val="auto"/>
          <w:sz w:val="28"/>
          <w:szCs w:val="28"/>
        </w:rPr>
        <w:t>1）拟建项目建构筑物防火间距一览表</w:t>
      </w:r>
    </w:p>
    <w:p>
      <w:pPr>
        <w:spacing w:line="600" w:lineRule="atLeast"/>
        <w:jc w:val="center"/>
        <w:rPr>
          <w:rFonts w:ascii="宋体" w:hAnsi="宋体"/>
          <w:color w:val="auto"/>
          <w:spacing w:val="-8"/>
          <w:sz w:val="24"/>
          <w:szCs w:val="24"/>
        </w:rPr>
      </w:pPr>
    </w:p>
    <w:p>
      <w:pPr>
        <w:spacing w:line="600" w:lineRule="atLeast"/>
        <w:jc w:val="center"/>
        <w:rPr>
          <w:rFonts w:ascii="宋体" w:hAnsi="宋体"/>
          <w:color w:val="auto"/>
          <w:spacing w:val="-8"/>
          <w:sz w:val="24"/>
          <w:szCs w:val="24"/>
        </w:rPr>
      </w:pPr>
      <w:r>
        <w:rPr>
          <w:rFonts w:hint="eastAsia" w:ascii="宋体" w:hAnsi="宋体"/>
          <w:color w:val="auto"/>
          <w:spacing w:val="-8"/>
          <w:sz w:val="24"/>
          <w:szCs w:val="24"/>
        </w:rPr>
        <w:t>表</w:t>
      </w:r>
      <w:r>
        <w:rPr>
          <w:rFonts w:hint="eastAsia"/>
          <w:color w:val="auto"/>
          <w:spacing w:val="-8"/>
          <w:sz w:val="24"/>
          <w:szCs w:val="24"/>
        </w:rPr>
        <w:t>C</w:t>
      </w:r>
      <w:r>
        <w:rPr>
          <w:color w:val="auto"/>
          <w:spacing w:val="-8"/>
          <w:sz w:val="24"/>
          <w:szCs w:val="24"/>
        </w:rPr>
        <w:t xml:space="preserve">.1-3 </w:t>
      </w:r>
      <w:r>
        <w:rPr>
          <w:rFonts w:hint="eastAsia" w:ascii="宋体" w:hAnsi="宋体"/>
          <w:color w:val="auto"/>
          <w:spacing w:val="-8"/>
          <w:sz w:val="24"/>
          <w:szCs w:val="24"/>
        </w:rPr>
        <w:t>该项目主要建（构）筑物之间拟定的防火间距表</w:t>
      </w:r>
    </w:p>
    <w:tbl>
      <w:tblPr>
        <w:tblStyle w:val="31"/>
        <w:tblW w:w="983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3"/>
        <w:gridCol w:w="709"/>
        <w:gridCol w:w="425"/>
        <w:gridCol w:w="2024"/>
        <w:gridCol w:w="850"/>
        <w:gridCol w:w="709"/>
        <w:gridCol w:w="3097"/>
        <w:gridCol w:w="691"/>
        <w:gridCol w:w="80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tcBorders>
              <w:top w:val="single" w:color="auto" w:sz="4" w:space="0"/>
              <w:left w:val="single" w:color="auto" w:sz="4" w:space="0"/>
              <w:bottom w:val="single" w:color="auto" w:sz="6" w:space="0"/>
              <w:right w:val="single" w:color="auto" w:sz="6" w:space="0"/>
            </w:tcBorders>
          </w:tcPr>
          <w:p>
            <w:pPr>
              <w:widowControl/>
              <w:spacing w:line="240" w:lineRule="exact"/>
              <w:jc w:val="left"/>
              <w:rPr>
                <w:rFonts w:eastAsia="_5b8b_4f53"/>
                <w:color w:val="auto"/>
                <w:kern w:val="0"/>
              </w:rPr>
            </w:pPr>
            <w:r>
              <w:rPr>
                <w:rFonts w:ascii="_5b8b_4f53" w:hAnsi="_5b8b_4f53"/>
                <w:color w:val="auto"/>
                <w:kern w:val="0"/>
              </w:rPr>
              <w:t>序号</w:t>
            </w:r>
          </w:p>
        </w:tc>
        <w:tc>
          <w:tcPr>
            <w:tcW w:w="709"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名称</w:t>
            </w:r>
          </w:p>
        </w:tc>
        <w:tc>
          <w:tcPr>
            <w:tcW w:w="425"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方位</w:t>
            </w:r>
          </w:p>
        </w:tc>
        <w:tc>
          <w:tcPr>
            <w:tcW w:w="2024"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相邻建筑物名称</w:t>
            </w:r>
          </w:p>
        </w:tc>
        <w:tc>
          <w:tcPr>
            <w:tcW w:w="850"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拟设间距</w:t>
            </w:r>
            <w:r>
              <w:rPr>
                <w:rFonts w:hint="eastAsia"/>
                <w:color w:val="auto"/>
                <w:kern w:val="0"/>
              </w:rPr>
              <w:t>m</w:t>
            </w:r>
          </w:p>
        </w:tc>
        <w:tc>
          <w:tcPr>
            <w:tcW w:w="709"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规范要求</w:t>
            </w:r>
            <w:r>
              <w:rPr>
                <w:rFonts w:hint="eastAsia"/>
                <w:color w:val="auto"/>
                <w:kern w:val="0"/>
              </w:rPr>
              <w:t>m</w:t>
            </w:r>
          </w:p>
        </w:tc>
        <w:tc>
          <w:tcPr>
            <w:tcW w:w="3097"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检查依据</w:t>
            </w:r>
          </w:p>
        </w:tc>
        <w:tc>
          <w:tcPr>
            <w:tcW w:w="691" w:type="dxa"/>
            <w:tcBorders>
              <w:top w:val="single" w:color="auto" w:sz="4"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符合情况</w:t>
            </w:r>
          </w:p>
        </w:tc>
        <w:tc>
          <w:tcPr>
            <w:tcW w:w="804" w:type="dxa"/>
            <w:tcBorders>
              <w:top w:val="single" w:color="auto" w:sz="4" w:space="0"/>
              <w:left w:val="single" w:color="auto" w:sz="6" w:space="0"/>
              <w:bottom w:val="single" w:color="auto" w:sz="6" w:space="0"/>
              <w:right w:val="single" w:color="auto" w:sz="4"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center"/>
              <w:rPr>
                <w:color w:val="auto"/>
                <w:kern w:val="0"/>
              </w:rPr>
            </w:pPr>
            <w:r>
              <w:rPr>
                <w:color w:val="auto"/>
                <w:kern w:val="0"/>
              </w:rPr>
              <w:t>401</w:t>
            </w:r>
            <w:r>
              <w:rPr>
                <w:rFonts w:hint="eastAsia"/>
                <w:color w:val="auto"/>
                <w:kern w:val="0"/>
              </w:rPr>
              <w:t>综合办公楼</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color w:val="auto"/>
                <w:kern w:val="0"/>
                <w:lang w:val="en-US" w:eastAsia="zh-CN"/>
              </w:rPr>
              <w:t>门卫</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eastAsia="宋体" w:cs="宋体"/>
                <w:color w:val="auto"/>
                <w:kern w:val="0"/>
                <w:lang w:eastAsia="zh-CN"/>
              </w:rPr>
            </w:pPr>
            <w:r>
              <w:rPr>
                <w:rFonts w:hint="eastAsia" w:ascii="宋体" w:hAnsi="_5b8b_4f53"/>
                <w:color w:val="auto"/>
                <w:kern w:val="0"/>
              </w:rPr>
              <w:t>3</w:t>
            </w:r>
            <w:r>
              <w:rPr>
                <w:rFonts w:ascii="宋体" w:hAnsi="_5b8b_4f53"/>
                <w:color w:val="auto"/>
                <w:kern w:val="0"/>
              </w:rPr>
              <w:t>6.</w:t>
            </w:r>
            <w:r>
              <w:rPr>
                <w:rFonts w:hint="eastAsia" w:ascii="宋体" w:hAnsi="_5b8b_4f53"/>
                <w:color w:val="auto"/>
                <w:kern w:val="0"/>
                <w:lang w:val="en-US" w:eastAsia="zh-CN"/>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eastAsia="zh-CN"/>
              </w:rPr>
            </w:pPr>
            <w:r>
              <w:rPr>
                <w:rFonts w:hint="eastAsia" w:ascii="宋体" w:hAnsi="宋体"/>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6</w:t>
            </w:r>
            <w:r>
              <w:rPr>
                <w:rFonts w:ascii="宋体" w:hAnsi="_5b8b_4f53"/>
                <w:color w:val="auto"/>
                <w:kern w:val="0"/>
              </w:rPr>
              <w:t>.3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spacing w:line="240" w:lineRule="exact"/>
              <w:jc w:val="center"/>
              <w:rPr>
                <w:rFonts w:ascii="宋体" w:hAnsi="宋体"/>
                <w:color w:val="auto"/>
                <w:kern w:val="0"/>
              </w:rPr>
            </w:pPr>
            <w:r>
              <w:rPr>
                <w:color w:val="auto"/>
                <w:kern w:val="0"/>
              </w:rPr>
              <w:t>403</w:t>
            </w:r>
            <w:r>
              <w:rPr>
                <w:rFonts w:hint="eastAsia"/>
                <w:color w:val="auto"/>
                <w:kern w:val="0"/>
              </w:rPr>
              <w:t>控制室</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color w:val="auto"/>
                <w:kern w:val="0"/>
                <w:lang w:val="en-US" w:eastAsia="zh-CN"/>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15.6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宋体"/>
                <w:color w:val="auto"/>
                <w:kern w:val="0"/>
                <w:lang w:val="en-US" w:eastAsia="zh-CN"/>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《建筑设计防火规范》3</w:t>
            </w:r>
            <w:r>
              <w:rPr>
                <w:rFonts w:hAnsi="_5b8b_4f53" w:cs="宋体"/>
                <w:color w:val="auto"/>
                <w:kern w:val="0"/>
              </w:rPr>
              <w:t>.</w:t>
            </w:r>
            <w:r>
              <w:rPr>
                <w:rFonts w:hint="eastAsia" w:hAnsi="_5b8b_4f53" w:cs="宋体"/>
                <w:color w:val="auto"/>
                <w:kern w:val="0"/>
                <w:lang w:val="en-US" w:eastAsia="zh-CN"/>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w:t>
            </w:r>
            <w:r>
              <w:rPr>
                <w:rFonts w:hint="eastAsia" w:ascii="宋体" w:hAnsi="宋体"/>
                <w:color w:val="auto"/>
                <w:kern w:val="0"/>
                <w:lang w:val="en-US" w:eastAsia="zh-CN"/>
              </w:rPr>
              <w:t>4颗粒</w:t>
            </w:r>
            <w:r>
              <w:rPr>
                <w:rFonts w:hint="eastAsia" w:ascii="宋体" w:hAnsi="宋体"/>
                <w:color w:val="auto"/>
                <w:kern w:val="0"/>
              </w:rPr>
              <w:t>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color w:val="auto"/>
              </w:rPr>
              <w:t>《</w:t>
            </w:r>
            <w:r>
              <w:rPr>
                <w:rFonts w:hint="eastAsia"/>
                <w:color w:val="auto"/>
                <w:lang w:val="en-US" w:eastAsia="zh-CN"/>
              </w:rPr>
              <w:t>石油化工企业设计防火标准</w:t>
            </w:r>
            <w:r>
              <w:rPr>
                <w:rFonts w:hint="eastAsia"/>
                <w:color w:val="auto"/>
              </w:rPr>
              <w:t>》4</w:t>
            </w:r>
            <w:r>
              <w:rPr>
                <w:color w:val="auto"/>
              </w:rPr>
              <w:t>.2.</w:t>
            </w:r>
            <w:r>
              <w:rPr>
                <w:rFonts w:hint="eastAsia"/>
                <w:color w:val="auto"/>
                <w:lang w:val="en-US" w:eastAsia="zh-CN"/>
              </w:rPr>
              <w:t>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门卫</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color w:val="auto"/>
                <w:kern w:val="0"/>
                <w:lang w:val="en-US" w:eastAsia="zh-CN"/>
              </w:rPr>
            </w:pPr>
            <w:r>
              <w:rPr>
                <w:rFonts w:hint="eastAsia" w:ascii="宋体" w:hAnsi="_5b8b_4f53"/>
                <w:color w:val="auto"/>
                <w:kern w:val="0"/>
                <w:lang w:val="en-US" w:eastAsia="zh-CN"/>
              </w:rPr>
              <w:t>24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color w:val="auto"/>
                <w:kern w:val="0"/>
                <w:lang w:val="en-US" w:eastAsia="zh-CN"/>
              </w:rPr>
            </w:pPr>
            <w:r>
              <w:rPr>
                <w:rFonts w:hint="eastAsia" w:ascii="宋体" w:hAnsi="_5b8b_4f53"/>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rFonts w:hint="default" w:eastAsia="宋体"/>
                <w:color w:val="auto"/>
                <w:lang w:val="en-US" w:eastAsia="zh-CN"/>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rFonts w:hint="eastAsia" w:ascii="宋体" w:hAnsi="宋体"/>
                <w:color w:val="auto"/>
                <w:kern w:val="0"/>
              </w:rPr>
              <w:t>4</w:t>
            </w:r>
            <w:r>
              <w:rPr>
                <w:rFonts w:ascii="宋体" w:hAnsi="宋体"/>
                <w:color w:val="auto"/>
                <w:kern w:val="0"/>
              </w:rPr>
              <w:t>02</w:t>
            </w:r>
            <w:r>
              <w:rPr>
                <w:rFonts w:hint="eastAsia" w:ascii="宋体" w:hAnsi="宋体"/>
                <w:color w:val="auto"/>
                <w:kern w:val="0"/>
              </w:rPr>
              <w:t>门卫</w:t>
            </w: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color w:val="auto"/>
                <w:kern w:val="0"/>
                <w:lang w:val="en-US" w:eastAsia="zh-CN"/>
              </w:rPr>
              <w:t>403控制室</w:t>
            </w:r>
          </w:p>
        </w:tc>
        <w:tc>
          <w:tcPr>
            <w:tcW w:w="850"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rPr>
            </w:pPr>
            <w:r>
              <w:rPr>
                <w:rFonts w:hint="eastAsia" w:ascii="宋体" w:hAnsi="_5b8b_4f53"/>
                <w:color w:val="auto"/>
                <w:kern w:val="0"/>
                <w:lang w:val="en-US" w:eastAsia="zh-CN"/>
              </w:rPr>
              <w:t>24</w:t>
            </w:r>
          </w:p>
        </w:tc>
        <w:tc>
          <w:tcPr>
            <w:tcW w:w="709"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rPr>
            </w:pPr>
            <w:r>
              <w:rPr>
                <w:rFonts w:hint="eastAsia" w:ascii="宋体" w:hAnsi="_5b8b_4f53"/>
                <w:color w:val="auto"/>
                <w:kern w:val="0"/>
                <w:lang w:val="en-US" w:eastAsia="zh-CN"/>
              </w:rPr>
              <w:t>6</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color w:val="auto"/>
              </w:rPr>
            </w:pPr>
            <w:r>
              <w:rPr>
                <w:rFonts w:hint="eastAsia" w:hAnsi="_5b8b_4f53" w:cs="宋体"/>
                <w:color w:val="auto"/>
                <w:kern w:val="0"/>
              </w:rPr>
              <w:t>《建筑设计防火规范》</w:t>
            </w:r>
            <w:r>
              <w:rPr>
                <w:rFonts w:hint="eastAsia" w:hAnsi="_5b8b_4f53" w:cs="宋体"/>
                <w:color w:val="auto"/>
                <w:kern w:val="0"/>
                <w:lang w:val="en-US" w:eastAsia="zh-CN"/>
              </w:rPr>
              <w:t>5.2.2</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103</w:t>
            </w:r>
            <w:r>
              <w:rPr>
                <w:rFonts w:hint="eastAsia"/>
                <w:color w:val="auto"/>
                <w:kern w:val="0"/>
              </w:rPr>
              <w:t>液体制剂车间（丙类封闭厂房）</w:t>
            </w: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eastAsia="宋体"/>
                <w:color w:val="auto"/>
                <w:kern w:val="0"/>
                <w:lang w:eastAsia="zh-CN"/>
              </w:rPr>
            </w:pPr>
            <w:r>
              <w:rPr>
                <w:rFonts w:hint="eastAsia" w:ascii="宋体" w:hAnsi="_5b8b_4f53"/>
                <w:color w:val="auto"/>
                <w:kern w:val="0"/>
              </w:rPr>
              <w:t>1</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5.1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hAnsi="_5b8b_4f53" w:cs="宋体"/>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3.</w:t>
            </w:r>
            <w:r>
              <w:rPr>
                <w:rFonts w:hint="eastAsia" w:ascii="宋体" w:hAnsi="_5b8b_4f53"/>
                <w:color w:val="auto"/>
                <w:kern w:val="0"/>
                <w:lang w:val="en-US" w:eastAsia="zh-CN"/>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4</w:t>
            </w:r>
            <w:r>
              <w:rPr>
                <w:rFonts w:ascii="宋体" w:hAnsi="宋体"/>
                <w:color w:val="auto"/>
                <w:kern w:val="0"/>
              </w:rPr>
              <w:t>01</w:t>
            </w:r>
            <w:r>
              <w:rPr>
                <w:rFonts w:hint="eastAsia" w:ascii="宋体" w:hAnsi="宋体"/>
                <w:color w:val="auto"/>
                <w:kern w:val="0"/>
              </w:rPr>
              <w:t>综合办公楼</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202</w:t>
            </w:r>
            <w:r>
              <w:rPr>
                <w:rFonts w:hint="eastAsia"/>
                <w:color w:val="auto"/>
                <w:kern w:val="0"/>
              </w:rPr>
              <w:t>甲类仓库二</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203</w:t>
            </w:r>
            <w:r>
              <w:rPr>
                <w:rFonts w:hint="eastAsia"/>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03</w:t>
            </w:r>
            <w:r>
              <w:rPr>
                <w:rFonts w:hint="eastAsia" w:ascii="宋体" w:hAnsi="_5b8b_4f53"/>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201</w:t>
            </w:r>
            <w:r>
              <w:rPr>
                <w:rFonts w:hint="eastAsia"/>
                <w:color w:val="auto"/>
                <w:kern w:val="0"/>
              </w:rPr>
              <w:t>甲类仓库一</w:t>
            </w: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vMerge w:val="continue"/>
            <w:tcBorders>
              <w:left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宋体" w:eastAsia="宋体"/>
                <w:color w:val="auto"/>
                <w:kern w:val="0"/>
                <w:lang w:eastAsia="zh-CN"/>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w:t>
            </w:r>
            <w:r>
              <w:rPr>
                <w:rFonts w:hint="eastAsia" w:ascii="宋体" w:hAnsi="宋体"/>
                <w:color w:val="auto"/>
                <w:kern w:val="0"/>
                <w:lang w:val="en-US" w:eastAsia="zh-CN"/>
              </w:rPr>
              <w:t>机修区（明火地点）</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62.2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widowControl/>
              <w:spacing w:line="266" w:lineRule="exact"/>
              <w:jc w:val="lef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66"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color w:val="auto"/>
                <w:kern w:val="0"/>
              </w:rPr>
            </w:pPr>
          </w:p>
        </w:tc>
        <w:tc>
          <w:tcPr>
            <w:tcW w:w="425" w:type="dxa"/>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东北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101</w:t>
            </w:r>
            <w:r>
              <w:rPr>
                <w:rFonts w:hint="eastAsia"/>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r>
              <w:rPr>
                <w:rFonts w:hint="eastAsia" w:ascii="宋体" w:hAnsi="_5b8b_4f53"/>
                <w:color w:val="auto"/>
                <w:kern w:val="0"/>
              </w:rPr>
              <w:t>东南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color w:val="auto"/>
                <w:kern w:val="0"/>
              </w:rPr>
            </w:pPr>
            <w:r>
              <w:rPr>
                <w:rFonts w:hint="eastAsia"/>
                <w:color w:val="auto"/>
                <w:kern w:val="0"/>
              </w:rPr>
              <w:t>2</w:t>
            </w:r>
            <w:r>
              <w:rPr>
                <w:color w:val="auto"/>
                <w:kern w:val="0"/>
              </w:rPr>
              <w:t>05</w:t>
            </w:r>
            <w:r>
              <w:rPr>
                <w:rFonts w:hint="eastAsia"/>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10.1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ascii="宋体" w:hAnsi="宋体"/>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17.8</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w:t>
            </w: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66"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color w:val="auto"/>
                <w:kern w:val="0"/>
              </w:rPr>
            </w:pPr>
            <w:r>
              <w:rPr>
                <w:rFonts w:hint="eastAsia"/>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7</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color w:val="auto"/>
                <w:kern w:val="0"/>
              </w:rPr>
              <w:t>202</w:t>
            </w:r>
            <w:r>
              <w:rPr>
                <w:rFonts w:hint="eastAsia"/>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ascii="宋体" w:hAnsi="宋体"/>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66" w:lineRule="exact"/>
              <w:jc w:val="center"/>
              <w:rPr>
                <w:rFonts w:ascii="宋体" w:hAnsi="宋体"/>
                <w:color w:val="auto"/>
                <w:kern w:val="0"/>
              </w:rPr>
            </w:pPr>
            <w:r>
              <w:rPr>
                <w:color w:val="auto"/>
                <w:kern w:val="0"/>
              </w:rPr>
              <w:t>102</w:t>
            </w:r>
            <w:r>
              <w:rPr>
                <w:rFonts w:hint="eastAsia"/>
                <w:color w:val="auto"/>
                <w:kern w:val="0"/>
              </w:rPr>
              <w:t>甲类车间二（封闭厂房）</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宋体"/>
                <w:color w:val="auto"/>
                <w:kern w:val="0"/>
              </w:rPr>
              <w:t>306</w:t>
            </w:r>
            <w:r>
              <w:rPr>
                <w:rFonts w:hint="eastAsia" w:ascii="宋体" w:hAnsi="宋体"/>
                <w:color w:val="auto"/>
                <w:kern w:val="0"/>
              </w:rPr>
              <w:t>污水处理区域</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66"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ascii="宋体" w:hAnsi="_5b8b_4f53"/>
                <w:color w:val="auto"/>
                <w:kern w:val="0"/>
              </w:rPr>
              <w:t>8</w:t>
            </w:r>
            <w:r>
              <w:rPr>
                <w:rFonts w:ascii="宋体" w:hAnsi="_5b8b_4f53"/>
                <w:color w:val="auto"/>
                <w:kern w:val="0"/>
              </w:rPr>
              <w:t>.2</w:t>
            </w:r>
          </w:p>
        </w:tc>
        <w:tc>
          <w:tcPr>
            <w:tcW w:w="709"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66"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66"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66"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5.</w:t>
            </w:r>
            <w:r>
              <w:rPr>
                <w:rFonts w:hint="eastAsia" w:ascii="宋体" w:hAnsi="_5b8b_4f53"/>
                <w:color w:val="auto"/>
                <w:kern w:val="0"/>
                <w:lang w:val="en-US" w:eastAsia="zh-CN"/>
              </w:rPr>
              <w:t>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spacing w:line="240" w:lineRule="exact"/>
              <w:jc w:val="left"/>
              <w:rPr>
                <w:rFonts w:ascii="宋体" w:hAnsi="宋体"/>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01</w:t>
            </w:r>
            <w:r>
              <w:rPr>
                <w:rFonts w:hint="eastAsia" w:ascii="宋体" w:hAnsi="_5b8b_4f53"/>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101</w:t>
            </w:r>
            <w:r>
              <w:rPr>
                <w:rFonts w:hint="eastAsia"/>
                <w:color w:val="auto"/>
                <w:kern w:val="0"/>
              </w:rPr>
              <w:t>甲类车间一（封闭厂房）</w:t>
            </w: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05</w:t>
            </w:r>
            <w:r>
              <w:rPr>
                <w:rFonts w:hint="eastAsia" w:ascii="宋体" w:hAnsi="_5b8b_4f53"/>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102</w:t>
            </w:r>
            <w:r>
              <w:rPr>
                <w:rFonts w:hint="eastAsia"/>
                <w:color w:val="auto"/>
                <w:kern w:val="0"/>
              </w:rPr>
              <w:t>甲类车间二（封闭厂房）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7</w:t>
            </w:r>
            <w:r>
              <w:rPr>
                <w:rFonts w:ascii="宋体" w:hAnsi="_5b8b_4f53"/>
                <w:color w:val="auto"/>
                <w:kern w:val="0"/>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vAlign w:val="center"/>
          </w:tcPr>
          <w:p>
            <w:pPr>
              <w:widowControl/>
              <w:spacing w:line="250" w:lineRule="exact"/>
              <w:jc w:val="left"/>
              <w:rPr>
                <w:rFonts w:hint="eastAsia" w:ascii="宋体" w:hAnsi="_5b8b_4f53"/>
                <w:color w:val="auto"/>
                <w:kern w:val="0"/>
              </w:rPr>
            </w:pPr>
            <w:r>
              <w:rPr>
                <w:rFonts w:hint="eastAsia" w:ascii="宋体" w:hAnsi="_5b8b_4f53"/>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vAlign w:val="center"/>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ascii="宋体" w:hAnsi="宋体"/>
                <w:color w:val="auto"/>
                <w:kern w:val="0"/>
              </w:rPr>
              <w:t>201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104</w:t>
            </w:r>
            <w:r>
              <w:rPr>
                <w:rFonts w:hint="eastAsia"/>
                <w:color w:val="auto"/>
                <w:kern w:val="0"/>
              </w:rPr>
              <w:t>颗粒剂车间（丙类封闭厂房）</w:t>
            </w: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ascii="宋体" w:hAnsi="_5b8b_4f53"/>
                <w:color w:val="auto"/>
                <w:kern w:val="0"/>
              </w:rPr>
              <w:t>2.</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203</w:t>
            </w:r>
            <w:r>
              <w:rPr>
                <w:rFonts w:hint="eastAsia"/>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03</w:t>
            </w:r>
            <w:r>
              <w:rPr>
                <w:rFonts w:hint="eastAsia" w:ascii="宋体" w:hAnsi="宋体"/>
                <w:color w:val="auto"/>
                <w:kern w:val="0"/>
              </w:rPr>
              <w:t>液体制剂车间（丙类封闭厂房）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rPr>
              <w:t>1</w:t>
            </w:r>
            <w:r>
              <w:rPr>
                <w:rFonts w:hint="eastAsia" w:ascii="宋体" w:hAnsi="_5b8b_4f53"/>
                <w:color w:val="auto"/>
                <w:kern w:val="0"/>
                <w:lang w:val="en-US" w:eastAsia="zh-CN"/>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9.1</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宋体"/>
                <w:color w:val="auto"/>
                <w:kern w:val="0"/>
                <w:lang w:val="en-US" w:eastAsia="zh-CN"/>
              </w:rPr>
            </w:pPr>
            <w:r>
              <w:rPr>
                <w:rFonts w:hint="eastAsia" w:ascii="宋体" w:hAnsi="宋体"/>
                <w:color w:val="auto"/>
                <w:kern w:val="0"/>
                <w:lang w:val="en-US" w:eastAsia="zh-CN"/>
              </w:rPr>
              <w:t>控制室</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_5b8b_4f53"/>
                <w:color w:val="auto"/>
                <w:kern w:val="0"/>
                <w:lang w:val="en-US" w:eastAsia="zh-CN"/>
              </w:rPr>
            </w:pPr>
            <w:r>
              <w:rPr>
                <w:rFonts w:hint="eastAsia" w:ascii="宋体" w:hAnsi="_5b8b_4f53"/>
                <w:color w:val="auto"/>
                <w:kern w:val="0"/>
                <w:lang w:val="en-US" w:eastAsia="zh-CN"/>
              </w:rPr>
              <w:t>30.2</w:t>
            </w:r>
          </w:p>
        </w:tc>
        <w:tc>
          <w:tcPr>
            <w:tcW w:w="709"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ascii="宋体" w:hAnsi="_5b8b_4f53"/>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hAnsi="_5b8b_4f53" w:cs="宋体"/>
                <w:color w:val="auto"/>
                <w:kern w:val="0"/>
              </w:rPr>
            </w:pPr>
            <w:r>
              <w:rPr>
                <w:rFonts w:hint="eastAsia"/>
                <w:color w:val="auto"/>
              </w:rPr>
              <w:t>《</w:t>
            </w:r>
            <w:r>
              <w:rPr>
                <w:rFonts w:hint="eastAsia"/>
                <w:color w:val="auto"/>
                <w:lang w:val="en-US" w:eastAsia="zh-CN"/>
              </w:rPr>
              <w:t>石油化工企业设计防火标准</w:t>
            </w:r>
            <w:r>
              <w:rPr>
                <w:rFonts w:hint="eastAsia"/>
                <w:color w:val="auto"/>
              </w:rPr>
              <w:t>》4</w:t>
            </w:r>
            <w:r>
              <w:rPr>
                <w:color w:val="auto"/>
              </w:rPr>
              <w:t>.2.</w:t>
            </w:r>
            <w:r>
              <w:rPr>
                <w:rFonts w:hint="eastAsia"/>
                <w:color w:val="auto"/>
                <w:lang w:val="en-US" w:eastAsia="zh-CN"/>
              </w:rPr>
              <w:t>12</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宋体"/>
                <w:color w:val="auto"/>
                <w:kern w:val="0"/>
                <w:lang w:val="en-US" w:eastAsia="zh-CN"/>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eastAsia="宋体"/>
                <w:color w:val="auto"/>
                <w:kern w:val="0"/>
                <w:lang w:val="en-US" w:eastAsia="zh-CN"/>
              </w:rPr>
            </w:pPr>
            <w:r>
              <w:rPr>
                <w:rFonts w:hint="eastAsia" w:hAnsi="_5b8b_4f53" w:cs="宋体"/>
                <w:color w:val="auto"/>
                <w:kern w:val="0"/>
              </w:rPr>
              <w:t>《建筑设计防火规范》3</w:t>
            </w:r>
            <w:r>
              <w:rPr>
                <w:rFonts w:hAnsi="_5b8b_4f53" w:cs="宋体"/>
                <w:color w:val="auto"/>
                <w:kern w:val="0"/>
              </w:rPr>
              <w:t>.4.1</w:t>
            </w:r>
            <w:r>
              <w:rPr>
                <w:rFonts w:hint="eastAsia" w:hAnsi="_5b8b_4f53" w:cs="宋体"/>
                <w:color w:val="auto"/>
                <w:kern w:val="0"/>
                <w:lang w:val="en-US" w:eastAsia="zh-CN"/>
              </w:rPr>
              <w:t>2</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50" w:lineRule="exact"/>
              <w:jc w:val="center"/>
              <w:rPr>
                <w:rFonts w:ascii="宋体" w:hAnsi="宋体"/>
                <w:color w:val="auto"/>
                <w:kern w:val="0"/>
              </w:rPr>
            </w:pPr>
            <w:r>
              <w:rPr>
                <w:color w:val="auto"/>
                <w:kern w:val="0"/>
              </w:rPr>
              <w:t>203</w:t>
            </w:r>
            <w:r>
              <w:rPr>
                <w:rFonts w:hint="eastAsia"/>
                <w:color w:val="auto"/>
                <w:kern w:val="0"/>
              </w:rPr>
              <w:t>丙类仓库一</w:t>
            </w: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2.5</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.5.5</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color w:val="auto"/>
                <w:kern w:val="0"/>
              </w:rPr>
              <w:t>301</w:t>
            </w:r>
            <w:r>
              <w:rPr>
                <w:rFonts w:hint="eastAsia"/>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02</w:t>
            </w:r>
            <w:r>
              <w:rPr>
                <w:rFonts w:hint="eastAsia" w:ascii="宋体" w:hAnsi="宋体"/>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ascii="宋体" w:hAnsi="宋体"/>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w:t>
            </w:r>
          </w:p>
        </w:tc>
        <w:tc>
          <w:tcPr>
            <w:tcW w:w="3097"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hAnsi="_5b8b_4f53" w:cs="宋体"/>
                <w:color w:val="auto"/>
                <w:kern w:val="0"/>
              </w:rPr>
              <w:t>《建筑设计防火规范》3</w:t>
            </w:r>
            <w:r>
              <w:rPr>
                <w:rFonts w:hAnsi="_5b8b_4f53" w:cs="宋体"/>
                <w:color w:val="auto"/>
                <w:kern w:val="0"/>
              </w:rPr>
              <w:t>.5.1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5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宋体"/>
                <w:color w:val="auto"/>
                <w:kern w:val="0"/>
              </w:rPr>
              <w:t>1</w:t>
            </w:r>
            <w:r>
              <w:rPr>
                <w:rFonts w:ascii="宋体" w:hAnsi="宋体"/>
                <w:color w:val="auto"/>
                <w:kern w:val="0"/>
              </w:rPr>
              <w:t>04</w:t>
            </w:r>
            <w:r>
              <w:rPr>
                <w:rFonts w:hint="eastAsia" w:ascii="宋体" w:hAnsi="宋体"/>
                <w:color w:val="auto"/>
                <w:kern w:val="0"/>
              </w:rPr>
              <w:t>颗粒剂车间（丙类封闭厂房）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6.3</w:t>
            </w:r>
          </w:p>
        </w:tc>
        <w:tc>
          <w:tcPr>
            <w:tcW w:w="709"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5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5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5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hint="eastAsia" w:ascii="_5b8b_4f53" w:hAnsi="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r>
              <w:rPr>
                <w:color w:val="auto"/>
                <w:kern w:val="0"/>
              </w:rPr>
              <w:t>301</w:t>
            </w:r>
            <w:r>
              <w:rPr>
                <w:rFonts w:hint="eastAsia"/>
                <w:color w:val="auto"/>
                <w:kern w:val="0"/>
              </w:rPr>
              <w:t>公用工程车间（丙类）</w:t>
            </w: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2.5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color w:val="auto"/>
                <w:kern w:val="0"/>
              </w:rPr>
              <w:t>205</w:t>
            </w:r>
            <w:r>
              <w:rPr>
                <w:rFonts w:hint="eastAsia"/>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7.2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color w:val="auto"/>
                <w:kern w:val="0"/>
              </w:rPr>
            </w:pPr>
            <w:r>
              <w:rPr>
                <w:rFonts w:hint="eastAsia"/>
                <w:color w:val="auto"/>
                <w:kern w:val="0"/>
              </w:rPr>
              <w:t>2</w:t>
            </w:r>
            <w:r>
              <w:rPr>
                <w:color w:val="auto"/>
                <w:kern w:val="0"/>
              </w:rPr>
              <w:t>02</w:t>
            </w:r>
            <w:r>
              <w:rPr>
                <w:rFonts w:hint="eastAsia"/>
                <w:color w:val="auto"/>
                <w:kern w:val="0"/>
              </w:rPr>
              <w:t>甲类仓库二</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1.2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01</w:t>
            </w:r>
            <w:r>
              <w:rPr>
                <w:rFonts w:hint="eastAsia" w:ascii="宋体" w:hAnsi="宋体"/>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4.5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hint="eastAsia" w:ascii="_5b8b_4f53" w:hAnsi="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03</w:t>
            </w:r>
            <w:r>
              <w:rPr>
                <w:rFonts w:hint="eastAsia" w:ascii="宋体" w:hAnsi="宋体"/>
                <w:color w:val="auto"/>
                <w:kern w:val="0"/>
              </w:rPr>
              <w:t>丙类仓库一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8</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hAnsi="_5b8b_4f53" w:cs="宋体"/>
                <w:color w:val="auto"/>
                <w:kern w:val="0"/>
              </w:rPr>
              <w:t>《建筑设计防火规范》3</w:t>
            </w:r>
            <w:r>
              <w:rPr>
                <w:rFonts w:hAnsi="_5b8b_4f53" w:cs="宋体"/>
                <w:color w:val="auto"/>
                <w:kern w:val="0"/>
              </w:rPr>
              <w:t>.4.1</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restart"/>
            <w:tcBorders>
              <w:top w:val="single" w:color="auto" w:sz="6" w:space="0"/>
              <w:left w:val="single" w:color="auto" w:sz="6" w:space="0"/>
              <w:bottom w:val="single" w:color="auto" w:sz="6" w:space="0"/>
              <w:right w:val="single" w:color="auto" w:sz="6" w:space="0"/>
            </w:tcBorders>
            <w:vAlign w:val="center"/>
          </w:tcPr>
          <w:p>
            <w:pPr>
              <w:widowControl/>
              <w:spacing w:line="240" w:lineRule="exact"/>
              <w:jc w:val="center"/>
              <w:rPr>
                <w:color w:val="auto"/>
                <w:kern w:val="0"/>
              </w:rPr>
            </w:pPr>
            <w:r>
              <w:rPr>
                <w:color w:val="auto"/>
                <w:kern w:val="0"/>
              </w:rPr>
              <w:t>205</w:t>
            </w:r>
            <w:r>
              <w:rPr>
                <w:rFonts w:hint="eastAsia"/>
                <w:color w:val="auto"/>
                <w:kern w:val="0"/>
              </w:rPr>
              <w:t>甲类仓库</w:t>
            </w:r>
          </w:p>
          <w:p>
            <w:pPr>
              <w:widowControl/>
              <w:spacing w:line="240" w:lineRule="exact"/>
              <w:jc w:val="center"/>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3</w:t>
            </w:r>
            <w:r>
              <w:rPr>
                <w:rFonts w:ascii="宋体" w:hAnsi="宋体"/>
                <w:color w:val="auto"/>
                <w:kern w:val="0"/>
              </w:rPr>
              <w:t>05</w:t>
            </w:r>
            <w:r>
              <w:rPr>
                <w:rFonts w:hint="eastAsia" w:ascii="宋体" w:hAnsi="宋体"/>
                <w:color w:val="auto"/>
                <w:kern w:val="0"/>
              </w:rPr>
              <w:t>泵房（丁类）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4.2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left w:val="single" w:color="auto" w:sz="4" w:space="0"/>
              <w:right w:val="single" w:color="auto" w:sz="6" w:space="0"/>
            </w:tcBorders>
          </w:tcPr>
          <w:p>
            <w:pPr>
              <w:widowControl/>
              <w:numPr>
                <w:ilvl w:val="0"/>
                <w:numId w:val="8"/>
              </w:numPr>
              <w:spacing w:line="240" w:lineRule="exact"/>
              <w:ind w:left="0" w:firstLine="0"/>
              <w:jc w:val="left"/>
              <w:rPr>
                <w:rFonts w:eastAsia="_5b8b_4f53"/>
                <w:color w:val="auto"/>
                <w:kern w:val="0"/>
              </w:rPr>
            </w:pPr>
          </w:p>
        </w:tc>
        <w:tc>
          <w:tcPr>
            <w:tcW w:w="709" w:type="dxa"/>
            <w:vMerge w:val="continue"/>
            <w:tcBorders>
              <w:left w:val="single" w:color="auto" w:sz="6" w:space="0"/>
              <w:right w:val="single" w:color="auto" w:sz="6" w:space="0"/>
            </w:tcBorders>
            <w:vAlign w:val="center"/>
          </w:tcPr>
          <w:p>
            <w:pPr>
              <w:widowControl/>
              <w:spacing w:line="240" w:lineRule="exact"/>
              <w:jc w:val="center"/>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hint="eastAsia"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val="en-US" w:eastAsia="zh-CN"/>
              </w:rPr>
            </w:pPr>
            <w:r>
              <w:rPr>
                <w:rFonts w:hint="eastAsia" w:ascii="宋体" w:hAnsi="宋体"/>
                <w:color w:val="auto"/>
                <w:kern w:val="0"/>
                <w:lang w:val="en-US" w:eastAsia="zh-CN"/>
              </w:rPr>
              <w:t>302事故应急池（丙类）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15</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22.2</w:t>
            </w:r>
          </w:p>
        </w:tc>
        <w:tc>
          <w:tcPr>
            <w:tcW w:w="3097" w:type="dxa"/>
            <w:tcBorders>
              <w:top w:val="single" w:color="auto" w:sz="6" w:space="0"/>
              <w:left w:val="single" w:color="auto" w:sz="6" w:space="0"/>
              <w:bottom w:val="single" w:color="auto" w:sz="6" w:space="0"/>
              <w:right w:val="single" w:color="auto" w:sz="6" w:space="0"/>
            </w:tcBorders>
            <w:vAlign w:val="top"/>
          </w:tcPr>
          <w:p>
            <w:pPr>
              <w:widowControl/>
              <w:spacing w:line="240" w:lineRule="exact"/>
              <w:jc w:val="lef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eastAsia="宋体"/>
                <w:color w:val="auto"/>
                <w:kern w:val="0"/>
                <w:lang w:eastAsia="zh-CN"/>
              </w:rPr>
            </w:pPr>
            <w:r>
              <w:rPr>
                <w:rFonts w:hint="eastAsia" w:ascii="宋体" w:hAnsi="_5b8b_4f53"/>
                <w:color w:val="auto"/>
                <w:kern w:val="0"/>
                <w:lang w:val="en-US" w:eastAsia="zh-CN"/>
              </w:rPr>
              <w:t>6</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r>
              <w:rPr>
                <w:rFonts w:hint="eastAsia" w:ascii="宋体" w:hAnsi="_5b8b_4f53"/>
                <w:color w:val="auto"/>
                <w:kern w:val="0"/>
              </w:rPr>
              <w:t>西北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color w:val="auto"/>
                <w:kern w:val="0"/>
              </w:rPr>
            </w:pPr>
            <w:r>
              <w:rPr>
                <w:color w:val="auto"/>
                <w:kern w:val="0"/>
              </w:rPr>
              <w:t>201</w:t>
            </w:r>
            <w:r>
              <w:rPr>
                <w:rFonts w:hint="eastAsia"/>
                <w:color w:val="auto"/>
                <w:kern w:val="0"/>
              </w:rPr>
              <w:t>甲类仓库一</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3.7</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主要道路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0.2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10</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01</w:t>
            </w:r>
            <w:r>
              <w:rPr>
                <w:rFonts w:hint="eastAsia" w:ascii="宋体" w:hAnsi="宋体"/>
                <w:color w:val="auto"/>
                <w:kern w:val="0"/>
              </w:rPr>
              <w:t>甲类车间一（封闭厂房）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2</w:t>
            </w:r>
            <w:r>
              <w:rPr>
                <w:rFonts w:ascii="宋体" w:hAnsi="_5b8b_4f53"/>
                <w:color w:val="auto"/>
                <w:kern w:val="0"/>
              </w:rPr>
              <w:t>9.3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tcBorders>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西南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02</w:t>
            </w:r>
            <w:r>
              <w:rPr>
                <w:rFonts w:hint="eastAsia" w:ascii="宋体" w:hAnsi="宋体"/>
                <w:color w:val="auto"/>
                <w:kern w:val="0"/>
              </w:rPr>
              <w:t>甲类车间二（封闭厂房）</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3</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ascii="宋体" w:hAnsi="宋体"/>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北</w:t>
            </w: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次要道路</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r>
              <w:rPr>
                <w:rFonts w:ascii="宋体" w:hAnsi="_5b8b_4f53"/>
                <w:color w:val="auto"/>
                <w:kern w:val="0"/>
              </w:rPr>
              <w:t>.9</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《精细化工企业工程设计防火标准》4</w:t>
            </w:r>
            <w:r>
              <w:rPr>
                <w:color w:val="auto"/>
              </w:rPr>
              <w:t>.3.2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宋体" w:eastAsia="宋体"/>
                <w:color w:val="auto"/>
                <w:kern w:val="0"/>
                <w:lang w:eastAsia="zh-CN"/>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w:t>
            </w:r>
            <w:r>
              <w:rPr>
                <w:rFonts w:hint="eastAsia" w:ascii="宋体" w:hAnsi="宋体"/>
                <w:color w:val="auto"/>
                <w:kern w:val="0"/>
                <w:lang w:val="en-US" w:eastAsia="zh-CN"/>
              </w:rPr>
              <w:t>机修区（明火地点）</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hAnsi="_5b8b_4f53" w:eastAsia="宋体" w:cs="宋体"/>
                <w:color w:val="auto"/>
                <w:kern w:val="0"/>
                <w:lang w:val="en-US" w:eastAsia="zh-CN"/>
              </w:rPr>
            </w:pPr>
            <w:r>
              <w:rPr>
                <w:rFonts w:hint="eastAsia" w:hAnsi="_5b8b_4f53" w:cs="宋体"/>
                <w:color w:val="auto"/>
                <w:kern w:val="0"/>
                <w:lang w:val="en-US" w:eastAsia="zh-CN"/>
              </w:rPr>
              <w:t>32.1</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default" w:ascii="宋体" w:hAnsi="_5b8b_4f53" w:eastAsia="宋体"/>
                <w:color w:val="auto"/>
                <w:kern w:val="0"/>
                <w:lang w:val="en-US" w:eastAsia="zh-CN"/>
              </w:rPr>
            </w:pPr>
            <w:r>
              <w:rPr>
                <w:rFonts w:hint="eastAsia" w:ascii="宋体" w:hAnsi="_5b8b_4f53"/>
                <w:color w:val="auto"/>
                <w:kern w:val="0"/>
                <w:lang w:val="en-US" w:eastAsia="zh-CN"/>
              </w:rPr>
              <w:t>30</w:t>
            </w:r>
          </w:p>
        </w:tc>
        <w:tc>
          <w:tcPr>
            <w:tcW w:w="3097"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vAlign w:val="top"/>
          </w:tcPr>
          <w:p>
            <w:pPr>
              <w:spacing w:line="240" w:lineRule="exact"/>
              <w:rPr>
                <w:rFonts w:hint="eastAsia"/>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ascii="宋体" w:hAnsi="宋体"/>
                <w:color w:val="auto"/>
                <w:kern w:val="0"/>
              </w:rPr>
            </w:pPr>
          </w:p>
        </w:tc>
        <w:tc>
          <w:tcPr>
            <w:tcW w:w="425"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ascii="宋体" w:hAnsi="_5b8b_4f53"/>
                <w:color w:val="auto"/>
                <w:kern w:val="0"/>
              </w:rPr>
            </w:pPr>
          </w:p>
        </w:tc>
        <w:tc>
          <w:tcPr>
            <w:tcW w:w="2024"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3</w:t>
            </w:r>
            <w:r>
              <w:rPr>
                <w:rFonts w:ascii="宋体" w:hAnsi="宋体"/>
                <w:color w:val="auto"/>
                <w:kern w:val="0"/>
              </w:rPr>
              <w:t>01</w:t>
            </w:r>
            <w:r>
              <w:rPr>
                <w:rFonts w:hint="eastAsia" w:ascii="宋体" w:hAnsi="宋体"/>
                <w:color w:val="auto"/>
                <w:kern w:val="0"/>
              </w:rPr>
              <w:t>公用工程车间（丙类）</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hAnsi="_5b8b_4f53" w:cs="宋体"/>
                <w:color w:val="auto"/>
                <w:kern w:val="0"/>
              </w:rPr>
              <w:t>1</w:t>
            </w:r>
            <w:r>
              <w:rPr>
                <w:rFonts w:hAnsi="_5b8b_4f53" w:cs="宋体"/>
                <w:color w:val="auto"/>
                <w:kern w:val="0"/>
              </w:rPr>
              <w:t>7.2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1</w:t>
            </w:r>
            <w:r>
              <w:rPr>
                <w:rFonts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jc w:val="left"/>
              <w:rPr>
                <w:color w:val="auto"/>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color w:val="auto"/>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restart"/>
            <w:tcBorders>
              <w:top w:val="single" w:color="auto" w:sz="6" w:space="0"/>
              <w:left w:val="single" w:color="auto" w:sz="4" w:space="0"/>
              <w:bottom w:val="single" w:color="auto" w:sz="6" w:space="0"/>
              <w:right w:val="single" w:color="auto" w:sz="6" w:space="0"/>
            </w:tcBorders>
          </w:tcPr>
          <w:p>
            <w:pPr>
              <w:widowControl/>
              <w:spacing w:line="240" w:lineRule="exact"/>
              <w:jc w:val="left"/>
              <w:rPr>
                <w:rFonts w:eastAsiaTheme="minorEastAsia"/>
                <w:color w:val="auto"/>
                <w:kern w:val="0"/>
              </w:rPr>
            </w:pPr>
            <w:r>
              <w:rPr>
                <w:rFonts w:hint="eastAsia" w:eastAsiaTheme="minorEastAsia"/>
                <w:color w:val="auto"/>
                <w:kern w:val="0"/>
              </w:rPr>
              <w:t>1</w:t>
            </w:r>
            <w:r>
              <w:rPr>
                <w:rFonts w:eastAsiaTheme="minorEastAsia"/>
                <w:color w:val="auto"/>
                <w:kern w:val="0"/>
              </w:rPr>
              <w:t>4</w:t>
            </w:r>
          </w:p>
        </w:tc>
        <w:tc>
          <w:tcPr>
            <w:tcW w:w="709" w:type="dxa"/>
            <w:vMerge w:val="restart"/>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hAnsi="_5b8b_4f53" w:cs="宋体"/>
                <w:color w:val="auto"/>
                <w:kern w:val="0"/>
              </w:rPr>
            </w:pPr>
            <w:r>
              <w:rPr>
                <w:rFonts w:hint="eastAsia" w:ascii="宋体" w:hAnsi="宋体"/>
                <w:color w:val="auto"/>
                <w:kern w:val="0"/>
              </w:rPr>
              <w:t>3</w:t>
            </w:r>
            <w:r>
              <w:rPr>
                <w:rFonts w:ascii="宋体" w:hAnsi="宋体"/>
                <w:color w:val="auto"/>
                <w:kern w:val="0"/>
              </w:rPr>
              <w:t>05</w:t>
            </w:r>
            <w:r>
              <w:rPr>
                <w:rFonts w:hint="eastAsia" w:ascii="宋体" w:hAnsi="宋体"/>
                <w:color w:val="auto"/>
                <w:kern w:val="0"/>
              </w:rPr>
              <w:t>泵房</w:t>
            </w:r>
          </w:p>
        </w:tc>
        <w:tc>
          <w:tcPr>
            <w:tcW w:w="425"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hAnsi="_5b8b_4f53" w:cs="宋体"/>
                <w:color w:val="auto"/>
                <w:kern w:val="0"/>
              </w:rPr>
            </w:pPr>
            <w:r>
              <w:rPr>
                <w:rFonts w:hint="eastAsia" w:ascii="宋体" w:hAnsi="宋体"/>
                <w:color w:val="auto"/>
                <w:kern w:val="0"/>
              </w:rPr>
              <w:t>东</w:t>
            </w:r>
          </w:p>
        </w:tc>
        <w:tc>
          <w:tcPr>
            <w:tcW w:w="2024" w:type="dxa"/>
            <w:tcBorders>
              <w:top w:val="single" w:color="auto" w:sz="6" w:space="0"/>
              <w:left w:val="nil"/>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围墙</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1</w:t>
            </w:r>
            <w:r>
              <w:rPr>
                <w:rFonts w:ascii="宋体" w:hAnsi="宋体"/>
                <w:color w:val="auto"/>
                <w:kern w:val="0"/>
              </w:rPr>
              <w:t>0.4</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5</w:t>
            </w:r>
          </w:p>
        </w:tc>
        <w:tc>
          <w:tcPr>
            <w:tcW w:w="3097" w:type="dxa"/>
            <w:tcBorders>
              <w:top w:val="single" w:color="auto" w:sz="6" w:space="0"/>
              <w:left w:val="single" w:color="auto" w:sz="6" w:space="0"/>
              <w:bottom w:val="single" w:color="auto" w:sz="6" w:space="0"/>
              <w:right w:val="single" w:color="auto" w:sz="6" w:space="0"/>
            </w:tcBorders>
          </w:tcPr>
          <w:p>
            <w:pPr>
              <w:spacing w:line="240" w:lineRule="exact"/>
              <w:jc w:val="left"/>
              <w:rPr>
                <w:color w:val="auto"/>
              </w:rPr>
            </w:pPr>
            <w:r>
              <w:rPr>
                <w:rFonts w:hint="eastAsia" w:hAnsi="_5b8b_4f53" w:cs="宋体"/>
                <w:color w:val="auto"/>
                <w:kern w:val="0"/>
              </w:rPr>
              <w:t>《建筑设计防火规范》3</w:t>
            </w:r>
            <w:r>
              <w:rPr>
                <w:rFonts w:hAnsi="_5b8b_4f53" w:cs="宋体"/>
                <w:color w:val="auto"/>
                <w:kern w:val="0"/>
              </w:rPr>
              <w:t>.4.12</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spacing w:line="240" w:lineRule="exact"/>
              <w:rPr>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23" w:type="dxa"/>
            <w:vMerge w:val="continue"/>
            <w:tcBorders>
              <w:top w:val="single" w:color="auto" w:sz="6" w:space="0"/>
              <w:left w:val="single" w:color="auto" w:sz="4" w:space="0"/>
              <w:bottom w:val="single" w:color="auto" w:sz="6" w:space="0"/>
              <w:right w:val="single" w:color="auto" w:sz="6" w:space="0"/>
            </w:tcBorders>
            <w:vAlign w:val="center"/>
          </w:tcPr>
          <w:p>
            <w:pPr>
              <w:widowControl/>
              <w:spacing w:line="240" w:lineRule="exact"/>
              <w:jc w:val="left"/>
              <w:rPr>
                <w:rFonts w:eastAsia="_5b8b_4f53"/>
                <w:color w:val="auto"/>
                <w:kern w:val="0"/>
              </w:rPr>
            </w:pPr>
          </w:p>
        </w:tc>
        <w:tc>
          <w:tcPr>
            <w:tcW w:w="709"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40" w:lineRule="exact"/>
              <w:jc w:val="left"/>
              <w:rPr>
                <w:rFonts w:hint="eastAsia" w:hAnsi="_5b8b_4f53" w:cs="宋体"/>
                <w:color w:val="auto"/>
                <w:kern w:val="0"/>
              </w:rPr>
            </w:pPr>
          </w:p>
        </w:tc>
        <w:tc>
          <w:tcPr>
            <w:tcW w:w="425" w:type="dxa"/>
            <w:tcBorders>
              <w:top w:val="single" w:color="auto" w:sz="6" w:space="0"/>
              <w:left w:val="single" w:color="auto" w:sz="6" w:space="0"/>
              <w:bottom w:val="single" w:color="auto" w:sz="6" w:space="0"/>
              <w:right w:val="single" w:color="auto" w:sz="4"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西</w:t>
            </w:r>
          </w:p>
        </w:tc>
        <w:tc>
          <w:tcPr>
            <w:tcW w:w="2024" w:type="dxa"/>
            <w:tcBorders>
              <w:top w:val="single" w:color="auto" w:sz="6" w:space="0"/>
              <w:left w:val="nil"/>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宋体"/>
                <w:color w:val="auto"/>
                <w:kern w:val="0"/>
              </w:rPr>
              <w:t>2</w:t>
            </w:r>
            <w:r>
              <w:rPr>
                <w:rFonts w:ascii="宋体" w:hAnsi="宋体"/>
                <w:color w:val="auto"/>
                <w:kern w:val="0"/>
              </w:rPr>
              <w:t>05</w:t>
            </w:r>
            <w:r>
              <w:rPr>
                <w:rFonts w:hint="eastAsia" w:ascii="宋体" w:hAnsi="宋体"/>
                <w:color w:val="auto"/>
                <w:kern w:val="0"/>
              </w:rPr>
              <w:t>甲类仓库三</w:t>
            </w:r>
          </w:p>
        </w:tc>
        <w:tc>
          <w:tcPr>
            <w:tcW w:w="850"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ascii="宋体" w:hAnsi="宋体"/>
                <w:color w:val="auto"/>
                <w:kern w:val="0"/>
              </w:rPr>
              <w:t>3</w:t>
            </w:r>
            <w:r>
              <w:rPr>
                <w:rFonts w:ascii="宋体" w:hAnsi="宋体"/>
                <w:color w:val="auto"/>
                <w:kern w:val="0"/>
              </w:rPr>
              <w:t>4.2</w:t>
            </w:r>
          </w:p>
        </w:tc>
        <w:tc>
          <w:tcPr>
            <w:tcW w:w="709"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hint="eastAsia" w:ascii="宋体" w:hAnsi="_5b8b_4f53"/>
                <w:color w:val="auto"/>
                <w:kern w:val="0"/>
              </w:rPr>
            </w:pPr>
            <w:r>
              <w:rPr>
                <w:rFonts w:hint="eastAsia" w:ascii="宋体" w:hAnsi="_5b8b_4f53"/>
                <w:color w:val="auto"/>
                <w:kern w:val="0"/>
              </w:rPr>
              <w:t>3</w:t>
            </w:r>
            <w:r>
              <w:rPr>
                <w:rFonts w:ascii="宋体" w:hAnsi="_5b8b_4f53"/>
                <w:color w:val="auto"/>
                <w:kern w:val="0"/>
              </w:rPr>
              <w:t>0</w:t>
            </w:r>
          </w:p>
        </w:tc>
        <w:tc>
          <w:tcPr>
            <w:tcW w:w="3097" w:type="dxa"/>
            <w:tcBorders>
              <w:top w:val="single" w:color="auto" w:sz="6" w:space="0"/>
              <w:left w:val="single" w:color="auto" w:sz="6" w:space="0"/>
              <w:bottom w:val="single" w:color="auto" w:sz="6" w:space="0"/>
              <w:right w:val="single" w:color="auto" w:sz="6" w:space="0"/>
            </w:tcBorders>
          </w:tcPr>
          <w:p>
            <w:pPr>
              <w:widowControl/>
              <w:spacing w:line="240" w:lineRule="exact"/>
              <w:jc w:val="left"/>
              <w:rPr>
                <w:rFonts w:ascii="宋体" w:hAnsi="宋体"/>
                <w:color w:val="auto"/>
                <w:kern w:val="0"/>
              </w:rPr>
            </w:pPr>
            <w:r>
              <w:rPr>
                <w:rFonts w:hint="eastAsia"/>
                <w:color w:val="auto"/>
              </w:rPr>
              <w:t>《精细化工企业工程设计防火标准》4</w:t>
            </w:r>
            <w:r>
              <w:rPr>
                <w:color w:val="auto"/>
              </w:rPr>
              <w:t>.2.9</w:t>
            </w:r>
          </w:p>
        </w:tc>
        <w:tc>
          <w:tcPr>
            <w:tcW w:w="691" w:type="dxa"/>
            <w:tcBorders>
              <w:top w:val="single" w:color="auto" w:sz="6" w:space="0"/>
              <w:left w:val="single" w:color="auto" w:sz="6" w:space="0"/>
              <w:bottom w:val="single" w:color="auto" w:sz="6" w:space="0"/>
              <w:right w:val="single" w:color="auto" w:sz="6" w:space="0"/>
            </w:tcBorders>
          </w:tcPr>
          <w:p>
            <w:pPr>
              <w:spacing w:line="240" w:lineRule="exact"/>
              <w:rPr>
                <w:rFonts w:hint="eastAsia" w:ascii="宋体" w:hAnsi="_5b8b_4f53"/>
                <w:color w:val="auto"/>
                <w:kern w:val="0"/>
              </w:rPr>
            </w:pPr>
            <w:r>
              <w:rPr>
                <w:rFonts w:hint="eastAsia"/>
                <w:color w:val="auto"/>
              </w:rPr>
              <w:t>符合</w:t>
            </w:r>
          </w:p>
        </w:tc>
        <w:tc>
          <w:tcPr>
            <w:tcW w:w="804" w:type="dxa"/>
            <w:tcBorders>
              <w:top w:val="single" w:color="auto" w:sz="6" w:space="0"/>
              <w:left w:val="single" w:color="auto" w:sz="6" w:space="0"/>
              <w:bottom w:val="single" w:color="auto" w:sz="6" w:space="0"/>
              <w:right w:val="single" w:color="auto" w:sz="4" w:space="0"/>
            </w:tcBorders>
          </w:tcPr>
          <w:p>
            <w:pPr>
              <w:spacing w:line="240" w:lineRule="exact"/>
              <w:rPr>
                <w:color w:val="auto"/>
              </w:rPr>
            </w:pPr>
            <w:r>
              <w:rPr>
                <w:rFonts w:hint="eastAsia"/>
                <w:color w:val="auto"/>
              </w:rPr>
              <w:t>/</w:t>
            </w:r>
          </w:p>
        </w:tc>
      </w:tr>
    </w:tbl>
    <w:p>
      <w:pPr>
        <w:ind w:firstLine="420" w:firstLineChars="200"/>
        <w:rPr>
          <w:rFonts w:hint="eastAsia" w:ascii="宋体" w:hAnsi="宋体"/>
          <w:color w:val="auto"/>
        </w:rPr>
      </w:pPr>
    </w:p>
    <w:p>
      <w:pPr>
        <w:ind w:firstLine="420" w:firstLineChars="200"/>
        <w:rPr>
          <w:rFonts w:ascii="宋体" w:hAnsi="宋体"/>
          <w:color w:val="auto"/>
        </w:rPr>
      </w:pPr>
      <w:r>
        <w:rPr>
          <w:rFonts w:hint="eastAsia" w:ascii="宋体" w:hAnsi="宋体"/>
          <w:color w:val="auto"/>
        </w:rPr>
        <w:t>注：该项目产品属于《精细化工企业工程设计防火标准》（GB51283-2020）产品分类表中的农药（植物激素和生长调节剂）；《精细化工企业工程设计防火标准》中无相应丙类仓库的防火间距要求，故执行《建筑设计防火规范（2018版）》（GB50016-2014）的要求。</w:t>
      </w:r>
    </w:p>
    <w:p>
      <w:pPr>
        <w:pStyle w:val="2"/>
        <w:spacing w:line="360" w:lineRule="auto"/>
        <w:ind w:firstLine="560" w:firstLineChars="200"/>
        <w:jc w:val="both"/>
        <w:rPr>
          <w:color w:val="auto"/>
          <w:sz w:val="28"/>
          <w:szCs w:val="28"/>
        </w:rPr>
      </w:pPr>
      <w:r>
        <w:rPr>
          <w:rFonts w:hint="eastAsia" w:ascii="宋体" w:hAnsi="宋体"/>
          <w:color w:val="auto"/>
          <w:sz w:val="28"/>
          <w:szCs w:val="28"/>
        </w:rPr>
        <w:t>依上表所述，建构筑物之间的距离均符合防火要求。</w:t>
      </w:r>
    </w:p>
    <w:p>
      <w:pPr>
        <w:pStyle w:val="2"/>
        <w:spacing w:line="360" w:lineRule="auto"/>
        <w:ind w:firstLine="560" w:firstLineChars="200"/>
        <w:rPr>
          <w:color w:val="auto"/>
          <w:sz w:val="28"/>
          <w:szCs w:val="28"/>
        </w:rPr>
      </w:pPr>
      <w:r>
        <w:rPr>
          <w:rFonts w:hint="eastAsia"/>
          <w:color w:val="auto"/>
          <w:sz w:val="28"/>
          <w:szCs w:val="28"/>
        </w:rPr>
        <w:t>2</w:t>
      </w:r>
      <w:r>
        <w:rPr>
          <w:rFonts w:hint="eastAsia" w:ascii="宋体" w:hAnsi="宋体"/>
          <w:color w:val="auto"/>
          <w:sz w:val="28"/>
          <w:szCs w:val="28"/>
        </w:rPr>
        <w:t>）总平面布置及建（构）筑物评价</w:t>
      </w:r>
    </w:p>
    <w:p>
      <w:pPr>
        <w:ind w:firstLine="560" w:firstLineChars="200"/>
        <w:rPr>
          <w:rFonts w:ascii="宋体" w:hAnsi="宋体"/>
          <w:color w:val="auto"/>
          <w:sz w:val="28"/>
          <w:szCs w:val="28"/>
        </w:rPr>
      </w:pPr>
      <w:r>
        <w:rPr>
          <w:rFonts w:hint="eastAsia" w:ascii="宋体" w:hAnsi="宋体"/>
          <w:color w:val="auto"/>
          <w:sz w:val="28"/>
          <w:szCs w:val="28"/>
        </w:rPr>
        <w:t>根据《工业企业总平面设计规范》GB50187-2012、《化工企业安全卫生设计规范》HG20571-2014、《化工企业总图运输设计规范》GB50489-2009、《建筑设计防火规范》GB50016-2014（2018年版）、《工业企业设计卫生标准》CBZ1-2010、等要求，编制安全检查表对可行性研究报告提出的总平面布置及建（构）筑物进行检查评价。检查表见表C</w:t>
      </w:r>
      <w:r>
        <w:rPr>
          <w:rFonts w:ascii="宋体" w:hAnsi="宋体"/>
          <w:color w:val="auto"/>
          <w:sz w:val="28"/>
          <w:szCs w:val="28"/>
        </w:rPr>
        <w:t>.1</w:t>
      </w:r>
      <w:r>
        <w:rPr>
          <w:rFonts w:hint="eastAsia" w:ascii="宋体" w:hAnsi="宋体"/>
          <w:color w:val="auto"/>
          <w:sz w:val="28"/>
          <w:szCs w:val="28"/>
        </w:rPr>
        <w:t>-4。</w:t>
      </w:r>
    </w:p>
    <w:p>
      <w:pPr>
        <w:spacing w:line="600" w:lineRule="exact"/>
        <w:jc w:val="center"/>
        <w:rPr>
          <w:color w:val="auto"/>
          <w:sz w:val="24"/>
          <w:szCs w:val="24"/>
        </w:rPr>
      </w:pPr>
      <w:r>
        <w:rPr>
          <w:rFonts w:hint="eastAsia" w:ascii="宋体" w:hAnsi="宋体"/>
          <w:color w:val="auto"/>
          <w:sz w:val="24"/>
          <w:szCs w:val="24"/>
        </w:rPr>
        <w:t>表</w:t>
      </w:r>
      <w:r>
        <w:rPr>
          <w:color w:val="auto"/>
          <w:sz w:val="24"/>
          <w:szCs w:val="24"/>
        </w:rPr>
        <w:t xml:space="preserve">C.1-4  </w:t>
      </w:r>
      <w:r>
        <w:rPr>
          <w:rFonts w:hint="eastAsia" w:ascii="宋体" w:hAnsi="宋体"/>
          <w:color w:val="auto"/>
          <w:sz w:val="24"/>
          <w:szCs w:val="24"/>
        </w:rPr>
        <w:t>企业总平面布置安全检查表</w:t>
      </w:r>
    </w:p>
    <w:tbl>
      <w:tblPr>
        <w:tblStyle w:val="31"/>
        <w:tblW w:w="91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8"/>
        <w:gridCol w:w="4745"/>
        <w:gridCol w:w="1304"/>
        <w:gridCol w:w="1843"/>
        <w:gridCol w:w="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color w:val="auto"/>
              </w:rPr>
            </w:pPr>
            <w:r>
              <w:rPr>
                <w:rFonts w:ascii="宋体" w:hAnsi="宋体"/>
                <w:color w:val="auto"/>
              </w:rPr>
              <w:t>序号</w:t>
            </w:r>
          </w:p>
        </w:tc>
        <w:tc>
          <w:tcPr>
            <w:tcW w:w="4745" w:type="dxa"/>
            <w:tcBorders>
              <w:top w:val="single" w:color="auto" w:sz="4" w:space="0"/>
              <w:left w:val="nil"/>
              <w:bottom w:val="single" w:color="auto" w:sz="4" w:space="0"/>
              <w:right w:val="single" w:color="auto" w:sz="4" w:space="0"/>
            </w:tcBorders>
            <w:vAlign w:val="center"/>
          </w:tcPr>
          <w:p>
            <w:pPr>
              <w:adjustRightInd w:val="0"/>
              <w:snapToGrid w:val="0"/>
              <w:spacing w:line="240" w:lineRule="exact"/>
              <w:jc w:val="center"/>
              <w:rPr>
                <w:color w:val="auto"/>
              </w:rPr>
            </w:pPr>
            <w:r>
              <w:rPr>
                <w:rFonts w:ascii="宋体" w:hAnsi="宋体"/>
                <w:color w:val="auto"/>
              </w:rPr>
              <w:t>检查内容</w:t>
            </w:r>
          </w:p>
        </w:tc>
        <w:tc>
          <w:tcPr>
            <w:tcW w:w="1304" w:type="dxa"/>
            <w:tcBorders>
              <w:top w:val="single" w:color="auto" w:sz="4" w:space="0"/>
              <w:left w:val="nil"/>
              <w:bottom w:val="single" w:color="auto" w:sz="4" w:space="0"/>
              <w:right w:val="single" w:color="auto" w:sz="4" w:space="0"/>
            </w:tcBorders>
            <w:vAlign w:val="center"/>
          </w:tcPr>
          <w:p>
            <w:pPr>
              <w:adjustRightInd w:val="0"/>
              <w:snapToGrid w:val="0"/>
              <w:spacing w:line="240" w:lineRule="exact"/>
              <w:jc w:val="center"/>
              <w:rPr>
                <w:color w:val="auto"/>
              </w:rPr>
            </w:pPr>
            <w:r>
              <w:rPr>
                <w:rFonts w:ascii="宋体" w:hAnsi="宋体"/>
                <w:color w:val="auto"/>
              </w:rPr>
              <w:t>检查依据</w:t>
            </w:r>
          </w:p>
        </w:tc>
        <w:tc>
          <w:tcPr>
            <w:tcW w:w="1843" w:type="dxa"/>
            <w:tcBorders>
              <w:top w:val="single" w:color="auto" w:sz="4" w:space="0"/>
              <w:left w:val="nil"/>
              <w:bottom w:val="single" w:color="auto" w:sz="4" w:space="0"/>
              <w:right w:val="single" w:color="auto" w:sz="4" w:space="0"/>
            </w:tcBorders>
            <w:vAlign w:val="center"/>
          </w:tcPr>
          <w:p>
            <w:pPr>
              <w:adjustRightInd w:val="0"/>
              <w:snapToGrid w:val="0"/>
              <w:spacing w:line="240" w:lineRule="exact"/>
              <w:jc w:val="center"/>
              <w:rPr>
                <w:color w:val="auto"/>
              </w:rPr>
            </w:pPr>
            <w:r>
              <w:rPr>
                <w:rFonts w:ascii="宋体" w:hAnsi="宋体"/>
                <w:color w:val="auto"/>
              </w:rPr>
              <w:t>检查情况</w:t>
            </w:r>
          </w:p>
        </w:tc>
        <w:tc>
          <w:tcPr>
            <w:tcW w:w="741" w:type="dxa"/>
            <w:tcBorders>
              <w:top w:val="single" w:color="auto" w:sz="4" w:space="0"/>
              <w:left w:val="nil"/>
              <w:bottom w:val="single" w:color="auto" w:sz="4" w:space="0"/>
              <w:right w:val="single" w:color="auto" w:sz="4" w:space="0"/>
            </w:tcBorders>
            <w:vAlign w:val="center"/>
          </w:tcPr>
          <w:p>
            <w:pPr>
              <w:adjustRightInd w:val="0"/>
              <w:snapToGrid w:val="0"/>
              <w:spacing w:line="240" w:lineRule="exact"/>
              <w:jc w:val="center"/>
              <w:rPr>
                <w:color w:val="auto"/>
              </w:rPr>
            </w:pPr>
            <w:r>
              <w:rPr>
                <w:rFonts w:ascii="宋体" w:hAnsi="宋体"/>
                <w:color w:val="auto"/>
              </w:rPr>
              <w:t>评价</w:t>
            </w:r>
          </w:p>
          <w:p>
            <w:pPr>
              <w:adjustRightInd w:val="0"/>
              <w:snapToGrid w:val="0"/>
              <w:spacing w:line="240" w:lineRule="exact"/>
              <w:jc w:val="center"/>
              <w:rPr>
                <w:color w:val="auto"/>
              </w:rPr>
            </w:pPr>
            <w:r>
              <w:rPr>
                <w:rFonts w:ascii="宋体" w:hAnsi="宋体"/>
                <w:color w:val="auto"/>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9141" w:type="dxa"/>
            <w:gridSpan w:val="5"/>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rPr>
            </w:pPr>
            <w:r>
              <w:rPr>
                <w:rFonts w:hint="eastAsia" w:ascii="宋体" w:hAnsi="宋体"/>
                <w:color w:val="auto"/>
              </w:rPr>
              <w:t>一、总平面布置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3"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color w:val="auto"/>
                <w:kern w:val="0"/>
              </w:rPr>
            </w:pPr>
            <w:r>
              <w:rPr>
                <w:rFonts w:ascii="宋体" w:hAnsi="宋体"/>
                <w:color w:val="auto"/>
                <w:kern w:val="0"/>
              </w:rPr>
              <w:t>总平面布置应节约集约用地，提高土地利用率。布置时并应符合下列要求：</w:t>
            </w:r>
          </w:p>
          <w:p>
            <w:pPr>
              <w:autoSpaceDE w:val="0"/>
              <w:autoSpaceDN w:val="0"/>
              <w:adjustRightInd w:val="0"/>
              <w:spacing w:line="260" w:lineRule="exact"/>
              <w:jc w:val="left"/>
              <w:rPr>
                <w:color w:val="auto"/>
                <w:kern w:val="0"/>
              </w:rPr>
            </w:pPr>
            <w:r>
              <w:rPr>
                <w:color w:val="auto"/>
                <w:kern w:val="0"/>
              </w:rPr>
              <w:t>1</w:t>
            </w:r>
            <w:r>
              <w:rPr>
                <w:rFonts w:hint="eastAsia" w:ascii="宋体" w:hAnsi="宋体"/>
                <w:color w:val="auto"/>
                <w:kern w:val="0"/>
              </w:rPr>
              <w:t>、在符合生产流程、操作要求和使用功能的前提下，建筑物、构筑物等设施，应采用联合、集中、多层布置；</w:t>
            </w:r>
          </w:p>
          <w:p>
            <w:pPr>
              <w:autoSpaceDE w:val="0"/>
              <w:autoSpaceDN w:val="0"/>
              <w:adjustRightInd w:val="0"/>
              <w:spacing w:line="260" w:lineRule="exact"/>
              <w:jc w:val="left"/>
              <w:rPr>
                <w:color w:val="auto"/>
                <w:kern w:val="0"/>
              </w:rPr>
            </w:pPr>
            <w:r>
              <w:rPr>
                <w:color w:val="auto"/>
                <w:kern w:val="0"/>
              </w:rPr>
              <w:t>2</w:t>
            </w:r>
            <w:r>
              <w:rPr>
                <w:rFonts w:hint="eastAsia" w:ascii="宋体" w:hAnsi="宋体"/>
                <w:color w:val="auto"/>
                <w:kern w:val="0"/>
              </w:rPr>
              <w:t>、应按企业规模和功能分区，合理地确定通道宽度；</w:t>
            </w:r>
          </w:p>
          <w:p>
            <w:pPr>
              <w:autoSpaceDE w:val="0"/>
              <w:autoSpaceDN w:val="0"/>
              <w:adjustRightInd w:val="0"/>
              <w:spacing w:line="260" w:lineRule="exact"/>
              <w:jc w:val="left"/>
              <w:rPr>
                <w:color w:val="auto"/>
                <w:kern w:val="0"/>
              </w:rPr>
            </w:pPr>
            <w:r>
              <w:rPr>
                <w:color w:val="auto"/>
                <w:kern w:val="0"/>
              </w:rPr>
              <w:t>3</w:t>
            </w:r>
            <w:r>
              <w:rPr>
                <w:rFonts w:hint="eastAsia" w:ascii="宋体" w:hAnsi="宋体"/>
                <w:color w:val="auto"/>
                <w:kern w:val="0"/>
              </w:rPr>
              <w:t>、厂区功能分区及建筑物、构筑物的外形宜规整；</w:t>
            </w:r>
          </w:p>
          <w:p>
            <w:pPr>
              <w:autoSpaceDE w:val="0"/>
              <w:autoSpaceDN w:val="0"/>
              <w:adjustRightInd w:val="0"/>
              <w:spacing w:line="260" w:lineRule="exact"/>
              <w:jc w:val="left"/>
              <w:rPr>
                <w:color w:val="auto"/>
              </w:rPr>
            </w:pPr>
            <w:r>
              <w:rPr>
                <w:color w:val="auto"/>
                <w:kern w:val="0"/>
              </w:rPr>
              <w:t>4</w:t>
            </w:r>
            <w:r>
              <w:rPr>
                <w:rFonts w:hint="eastAsia" w:ascii="宋体" w:hAnsi="宋体"/>
                <w:color w:val="auto"/>
                <w:kern w:val="0"/>
              </w:rPr>
              <w:t>、功能分区内各项设施的布置，应紧凑、合理。</w:t>
            </w:r>
          </w:p>
        </w:tc>
        <w:tc>
          <w:tcPr>
            <w:tcW w:w="1304" w:type="dxa"/>
            <w:tcBorders>
              <w:top w:val="single" w:color="auto" w:sz="4" w:space="0"/>
              <w:left w:val="nil"/>
              <w:bottom w:val="single" w:color="auto" w:sz="4" w:space="0"/>
              <w:right w:val="single" w:color="auto" w:sz="4" w:space="0"/>
            </w:tcBorders>
            <w:vAlign w:val="center"/>
          </w:tcPr>
          <w:p>
            <w:pPr>
              <w:adjustRightInd w:val="0"/>
              <w:spacing w:line="260" w:lineRule="exact"/>
              <w:jc w:val="center"/>
              <w:rPr>
                <w:color w:val="auto"/>
              </w:rPr>
            </w:pPr>
            <w:r>
              <w:rPr>
                <w:rFonts w:hint="eastAsia" w:ascii="宋体" w:hAnsi="宋体"/>
                <w:color w:val="auto"/>
              </w:rPr>
              <w:t>《工业企业总平面设计规范》</w:t>
            </w:r>
            <w:r>
              <w:rPr>
                <w:color w:val="auto"/>
              </w:rPr>
              <w:t>GB50187-2012</w:t>
            </w:r>
          </w:p>
          <w:p>
            <w:pPr>
              <w:adjustRightInd w:val="0"/>
              <w:spacing w:line="260" w:lineRule="exact"/>
              <w:jc w:val="center"/>
              <w:rPr>
                <w:color w:val="auto"/>
              </w:rPr>
            </w:pPr>
            <w:r>
              <w:rPr>
                <w:color w:val="auto"/>
                <w:kern w:val="0"/>
              </w:rPr>
              <w:t>5.1.2</w:t>
            </w:r>
          </w:p>
        </w:tc>
        <w:tc>
          <w:tcPr>
            <w:tcW w:w="1843" w:type="dxa"/>
            <w:tcBorders>
              <w:top w:val="single" w:color="auto" w:sz="4" w:space="0"/>
              <w:left w:val="nil"/>
              <w:bottom w:val="single" w:color="auto" w:sz="4" w:space="0"/>
              <w:right w:val="single" w:color="auto" w:sz="4" w:space="0"/>
            </w:tcBorders>
            <w:vAlign w:val="center"/>
          </w:tcPr>
          <w:p>
            <w:pPr>
              <w:adjustRightInd w:val="0"/>
              <w:spacing w:line="260" w:lineRule="exact"/>
              <w:rPr>
                <w:color w:val="auto"/>
              </w:rPr>
            </w:pPr>
            <w:r>
              <w:rPr>
                <w:rFonts w:ascii="宋体" w:hAnsi="宋体"/>
                <w:color w:val="auto"/>
                <w:kern w:val="0"/>
              </w:rPr>
              <w:t>根据工艺布置图和总平面布置图，采用集中布置、功能分区、紧凑合理。</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5"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厂区的通道宽度，应符合下列要求：</w:t>
            </w:r>
          </w:p>
          <w:p>
            <w:pPr>
              <w:autoSpaceDE w:val="0"/>
              <w:autoSpaceDN w:val="0"/>
              <w:spacing w:line="260" w:lineRule="exact"/>
              <w:jc w:val="left"/>
              <w:rPr>
                <w:color w:val="auto"/>
                <w:kern w:val="0"/>
              </w:rPr>
            </w:pPr>
            <w:r>
              <w:rPr>
                <w:color w:val="auto"/>
                <w:kern w:val="0"/>
              </w:rPr>
              <w:t>1</w:t>
            </w:r>
            <w:r>
              <w:rPr>
                <w:rFonts w:hint="eastAsia" w:ascii="宋体" w:hAnsi="宋体"/>
                <w:color w:val="auto"/>
                <w:kern w:val="0"/>
              </w:rPr>
              <w:t>、应符合通道两侧建筑物、构筑物及露天设施对防火、安全与卫生间距的要求；</w:t>
            </w:r>
          </w:p>
          <w:p>
            <w:pPr>
              <w:autoSpaceDE w:val="0"/>
              <w:autoSpaceDN w:val="0"/>
              <w:spacing w:line="260" w:lineRule="exact"/>
              <w:jc w:val="left"/>
              <w:rPr>
                <w:color w:val="auto"/>
                <w:kern w:val="0"/>
              </w:rPr>
            </w:pPr>
            <w:r>
              <w:rPr>
                <w:color w:val="auto"/>
                <w:kern w:val="0"/>
              </w:rPr>
              <w:t>2</w:t>
            </w:r>
            <w:r>
              <w:rPr>
                <w:rFonts w:hint="eastAsia" w:ascii="宋体" w:hAnsi="宋体"/>
                <w:color w:val="auto"/>
                <w:kern w:val="0"/>
              </w:rPr>
              <w:t>、应符合铁路、道路与带式输送机通廊等工业运输线路的布置要求；</w:t>
            </w:r>
          </w:p>
          <w:p>
            <w:pPr>
              <w:autoSpaceDE w:val="0"/>
              <w:autoSpaceDN w:val="0"/>
              <w:spacing w:line="260" w:lineRule="exact"/>
              <w:jc w:val="left"/>
              <w:rPr>
                <w:color w:val="auto"/>
                <w:kern w:val="0"/>
              </w:rPr>
            </w:pPr>
            <w:r>
              <w:rPr>
                <w:color w:val="auto"/>
                <w:kern w:val="0"/>
              </w:rPr>
              <w:t>3</w:t>
            </w:r>
            <w:r>
              <w:rPr>
                <w:rFonts w:hint="eastAsia" w:ascii="宋体" w:hAnsi="宋体"/>
                <w:color w:val="auto"/>
                <w:kern w:val="0"/>
              </w:rPr>
              <w:t>、应符合各种工程管线的布置要求；</w:t>
            </w:r>
          </w:p>
          <w:p>
            <w:pPr>
              <w:autoSpaceDE w:val="0"/>
              <w:autoSpaceDN w:val="0"/>
              <w:spacing w:line="260" w:lineRule="exact"/>
              <w:jc w:val="left"/>
              <w:rPr>
                <w:color w:val="auto"/>
                <w:kern w:val="0"/>
              </w:rPr>
            </w:pPr>
            <w:r>
              <w:rPr>
                <w:color w:val="auto"/>
                <w:kern w:val="0"/>
              </w:rPr>
              <w:t>4</w:t>
            </w:r>
            <w:r>
              <w:rPr>
                <w:rFonts w:hint="eastAsia" w:ascii="宋体" w:hAnsi="宋体"/>
                <w:color w:val="auto"/>
                <w:kern w:val="0"/>
              </w:rPr>
              <w:t>、应符合绿化布置的要求；</w:t>
            </w:r>
          </w:p>
          <w:p>
            <w:pPr>
              <w:autoSpaceDE w:val="0"/>
              <w:autoSpaceDN w:val="0"/>
              <w:spacing w:line="260" w:lineRule="exact"/>
              <w:jc w:val="left"/>
              <w:rPr>
                <w:color w:val="auto"/>
                <w:kern w:val="0"/>
              </w:rPr>
            </w:pPr>
            <w:r>
              <w:rPr>
                <w:color w:val="auto"/>
                <w:kern w:val="0"/>
              </w:rPr>
              <w:t>5</w:t>
            </w:r>
            <w:r>
              <w:rPr>
                <w:rFonts w:hint="eastAsia" w:ascii="宋体" w:hAnsi="宋体"/>
                <w:color w:val="auto"/>
                <w:kern w:val="0"/>
              </w:rPr>
              <w:t>、应符合施工、安装与检修的要求；</w:t>
            </w:r>
          </w:p>
          <w:p>
            <w:pPr>
              <w:autoSpaceDE w:val="0"/>
              <w:autoSpaceDN w:val="0"/>
              <w:spacing w:line="260" w:lineRule="exact"/>
              <w:jc w:val="left"/>
              <w:rPr>
                <w:color w:val="auto"/>
                <w:kern w:val="0"/>
              </w:rPr>
            </w:pPr>
            <w:r>
              <w:rPr>
                <w:color w:val="auto"/>
                <w:kern w:val="0"/>
              </w:rPr>
              <w:t>6</w:t>
            </w:r>
            <w:r>
              <w:rPr>
                <w:rFonts w:hint="eastAsia" w:ascii="宋体" w:hAnsi="宋体"/>
                <w:color w:val="auto"/>
                <w:kern w:val="0"/>
              </w:rPr>
              <w:t>、应符合竖向设计的要求；</w:t>
            </w:r>
          </w:p>
          <w:p>
            <w:pPr>
              <w:autoSpaceDE w:val="0"/>
              <w:autoSpaceDN w:val="0"/>
              <w:spacing w:line="260" w:lineRule="exact"/>
              <w:jc w:val="left"/>
              <w:rPr>
                <w:color w:val="auto"/>
              </w:rPr>
            </w:pPr>
            <w:r>
              <w:rPr>
                <w:color w:val="auto"/>
                <w:kern w:val="0"/>
              </w:rPr>
              <w:t>7</w:t>
            </w:r>
            <w:r>
              <w:rPr>
                <w:rFonts w:hint="eastAsia" w:ascii="宋体" w:hAnsi="宋体"/>
                <w:color w:val="auto"/>
                <w:kern w:val="0"/>
              </w:rPr>
              <w:t>、应符合预留发展用地的要求。</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5.1.4</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rPr>
            </w:pPr>
            <w:r>
              <w:rPr>
                <w:rFonts w:ascii="宋体" w:hAnsi="宋体"/>
                <w:color w:val="auto"/>
                <w:kern w:val="0"/>
              </w:rPr>
              <w:t>总平面布置图和可研中有考虑。</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rPr>
            </w:pPr>
            <w:r>
              <w:rPr>
                <w:rFonts w:ascii="宋体" w:hAnsi="宋体"/>
                <w:color w:val="auto"/>
                <w:kern w:val="0"/>
              </w:rPr>
              <w:t>总平面布置，应结合当地气象条件，使建筑物具有良好的朝向、采光和自然通风条件。高温、热加工、有特殊要求和人员较多的建筑物，应避免西晒。</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5.1.6</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rPr>
            </w:pPr>
            <w:r>
              <w:rPr>
                <w:rFonts w:hint="eastAsia" w:ascii="宋体" w:hAnsi="宋体"/>
                <w:color w:val="auto"/>
                <w:kern w:val="0"/>
              </w:rPr>
              <w:t>当地气象条件较好，已考虑建筑物采光和通风条件</w:t>
            </w:r>
            <w:r>
              <w:rPr>
                <w:rFonts w:ascii="宋体" w:hAnsi="宋体"/>
                <w:color w:val="auto"/>
                <w:kern w:val="0"/>
              </w:rPr>
              <w:t>。</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总平面布置，应合理地组织货流和人流，并应符合下列要求：</w:t>
            </w:r>
          </w:p>
          <w:p>
            <w:pPr>
              <w:autoSpaceDE w:val="0"/>
              <w:autoSpaceDN w:val="0"/>
              <w:spacing w:line="260" w:lineRule="exact"/>
              <w:jc w:val="left"/>
              <w:rPr>
                <w:color w:val="auto"/>
                <w:kern w:val="0"/>
              </w:rPr>
            </w:pPr>
            <w:r>
              <w:rPr>
                <w:color w:val="auto"/>
                <w:kern w:val="0"/>
              </w:rPr>
              <w:t>1</w:t>
            </w:r>
            <w:r>
              <w:rPr>
                <w:rFonts w:hint="eastAsia" w:ascii="宋体" w:hAnsi="宋体"/>
                <w:color w:val="auto"/>
                <w:kern w:val="0"/>
              </w:rPr>
              <w:t>、运输线路的布置，应保证物流顺畅、径路短捷、不折返；</w:t>
            </w:r>
          </w:p>
          <w:p>
            <w:pPr>
              <w:autoSpaceDE w:val="0"/>
              <w:autoSpaceDN w:val="0"/>
              <w:spacing w:line="260" w:lineRule="exact"/>
              <w:jc w:val="left"/>
              <w:rPr>
                <w:color w:val="auto"/>
                <w:kern w:val="0"/>
              </w:rPr>
            </w:pPr>
            <w:r>
              <w:rPr>
                <w:color w:val="auto"/>
                <w:kern w:val="0"/>
              </w:rPr>
              <w:t>2</w:t>
            </w:r>
            <w:r>
              <w:rPr>
                <w:rFonts w:hint="eastAsia" w:ascii="宋体" w:hAnsi="宋体"/>
                <w:color w:val="auto"/>
                <w:kern w:val="0"/>
              </w:rPr>
              <w:t>、应避免运输繁忙的铁路与道路平面交叉；</w:t>
            </w:r>
          </w:p>
          <w:p>
            <w:pPr>
              <w:autoSpaceDE w:val="0"/>
              <w:autoSpaceDN w:val="0"/>
              <w:spacing w:line="260" w:lineRule="exact"/>
              <w:jc w:val="left"/>
              <w:rPr>
                <w:color w:val="auto"/>
                <w:kern w:val="0"/>
              </w:rPr>
            </w:pPr>
            <w:r>
              <w:rPr>
                <w:color w:val="auto"/>
                <w:kern w:val="0"/>
              </w:rPr>
              <w:t>3</w:t>
            </w:r>
            <w:r>
              <w:rPr>
                <w:rFonts w:hint="eastAsia" w:ascii="宋体" w:hAnsi="宋体"/>
                <w:color w:val="auto"/>
                <w:kern w:val="0"/>
              </w:rPr>
              <w:t>、应使人、货分流，应避免运输繁忙的货流与人流交叉；</w:t>
            </w:r>
          </w:p>
          <w:p>
            <w:pPr>
              <w:spacing w:line="260" w:lineRule="exact"/>
              <w:rPr>
                <w:color w:val="auto"/>
              </w:rPr>
            </w:pPr>
            <w:r>
              <w:rPr>
                <w:color w:val="auto"/>
                <w:kern w:val="0"/>
              </w:rPr>
              <w:t>4</w:t>
            </w:r>
            <w:r>
              <w:rPr>
                <w:rFonts w:hint="eastAsia" w:ascii="宋体" w:hAnsi="宋体"/>
                <w:color w:val="auto"/>
                <w:kern w:val="0"/>
              </w:rPr>
              <w:t>、应避免进出厂的主要货流与企业外部交通干线的平面交叉。</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5.1.8</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rPr>
            </w:pPr>
            <w:r>
              <w:rPr>
                <w:rFonts w:hint="eastAsia" w:ascii="宋体" w:hAnsi="宋体"/>
                <w:color w:val="auto"/>
                <w:kern w:val="0"/>
              </w:rPr>
              <w:t>厂区人流和物流分开。</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大型建筑物、构筑物，重型设备和生产装置等，应布置在土质均匀、地基承载力较大的地段；对较大、较深的地下建筑物、构筑物，宜布置在地下水位较低的填方地段。</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5.2.1</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项目场地布置均匀、</w:t>
            </w:r>
            <w:r>
              <w:rPr>
                <w:rFonts w:ascii="宋体" w:hAnsi="宋体"/>
                <w:color w:val="auto"/>
                <w:kern w:val="0"/>
              </w:rPr>
              <w:t>地基承载力较大</w:t>
            </w:r>
            <w:r>
              <w:rPr>
                <w:rFonts w:hint="eastAsia" w:ascii="宋体" w:hAnsi="宋体"/>
                <w:color w:val="auto"/>
                <w:kern w:val="0"/>
              </w:rPr>
              <w:t>，无</w:t>
            </w:r>
            <w:r>
              <w:rPr>
                <w:rFonts w:ascii="宋体" w:hAnsi="宋体"/>
                <w:color w:val="auto"/>
                <w:kern w:val="0"/>
              </w:rPr>
              <w:t>较大、较深的地下建筑物、构筑物</w:t>
            </w:r>
            <w:r>
              <w:rPr>
                <w:rFonts w:hint="eastAsia" w:ascii="宋体" w:hAnsi="宋体"/>
                <w:color w:val="auto"/>
                <w:kern w:val="0"/>
              </w:rPr>
              <w:t>。</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产生高温、有害气体、烟、雾、粉尘的生产设施，应布置在厂区全年最小频率风向的上风侧，且地势开阔、通风条件良好的地段，并不应采用封闭式或半封闭式的布置形式。产生高温的生产设施的长轴宜与夏季盛行风向垂直或呈不小于</w:t>
            </w:r>
            <w:r>
              <w:rPr>
                <w:color w:val="auto"/>
                <w:kern w:val="0"/>
              </w:rPr>
              <w:t>45°</w:t>
            </w:r>
            <w:r>
              <w:rPr>
                <w:rFonts w:ascii="宋体" w:hAnsi="宋体"/>
                <w:color w:val="auto"/>
                <w:kern w:val="0"/>
              </w:rPr>
              <w:t>交角布置。</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5.2.3</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该项目生产设施位于厂区全年最小频率风向的上风侧。</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ind w:firstLine="480"/>
              <w:rPr>
                <w:color w:val="auto"/>
                <w:kern w:val="0"/>
              </w:rPr>
            </w:pPr>
            <w:r>
              <w:rPr>
                <w:rFonts w:ascii="宋体" w:hAnsi="宋体"/>
                <w:color w:val="auto"/>
                <w:kern w:val="0"/>
              </w:rPr>
              <w:t>产生高噪声的生产设施，总平面布置应符合下列规定：</w:t>
            </w:r>
          </w:p>
          <w:p>
            <w:pPr>
              <w:autoSpaceDE w:val="0"/>
              <w:autoSpaceDN w:val="0"/>
              <w:adjustRightInd w:val="0"/>
              <w:spacing w:line="260" w:lineRule="exact"/>
              <w:ind w:firstLine="480"/>
              <w:rPr>
                <w:color w:val="auto"/>
                <w:kern w:val="0"/>
              </w:rPr>
            </w:pPr>
            <w:r>
              <w:rPr>
                <w:color w:val="auto"/>
                <w:kern w:val="0"/>
              </w:rPr>
              <w:t>1</w:t>
            </w:r>
            <w:r>
              <w:rPr>
                <w:rFonts w:ascii="宋体" w:hAnsi="宋体"/>
                <w:color w:val="auto"/>
                <w:kern w:val="0"/>
              </w:rPr>
              <w:t>宜相对集中布置并远离人员集中和有安静要求的场所。</w:t>
            </w:r>
          </w:p>
          <w:p>
            <w:pPr>
              <w:autoSpaceDE w:val="0"/>
              <w:autoSpaceDN w:val="0"/>
              <w:adjustRightInd w:val="0"/>
              <w:spacing w:line="260" w:lineRule="exact"/>
              <w:ind w:firstLine="480"/>
              <w:rPr>
                <w:color w:val="auto"/>
                <w:kern w:val="0"/>
              </w:rPr>
            </w:pPr>
            <w:r>
              <w:rPr>
                <w:color w:val="auto"/>
                <w:kern w:val="0"/>
              </w:rPr>
              <w:t>2</w:t>
            </w:r>
            <w:r>
              <w:rPr>
                <w:rFonts w:ascii="宋体" w:hAnsi="宋体"/>
                <w:color w:val="auto"/>
                <w:kern w:val="0"/>
              </w:rPr>
              <w:t>产生高噪声的车间应与低噪声的车间分开布置。</w:t>
            </w:r>
          </w:p>
          <w:p>
            <w:pPr>
              <w:autoSpaceDE w:val="0"/>
              <w:autoSpaceDN w:val="0"/>
              <w:adjustRightInd w:val="0"/>
              <w:spacing w:line="260" w:lineRule="exact"/>
              <w:ind w:firstLine="480"/>
              <w:rPr>
                <w:color w:val="auto"/>
                <w:kern w:val="0"/>
              </w:rPr>
            </w:pPr>
            <w:r>
              <w:rPr>
                <w:color w:val="auto"/>
                <w:kern w:val="0"/>
              </w:rPr>
              <w:t>3</w:t>
            </w:r>
            <w:r>
              <w:rPr>
                <w:rFonts w:ascii="宋体" w:hAnsi="宋体"/>
                <w:color w:val="auto"/>
                <w:kern w:val="0"/>
              </w:rPr>
              <w:t>产生高噪声生产设施的周围宜布置对噪声较不敏感、高大、朝向有利于隔声的建筑物、构筑物和堆场等。</w:t>
            </w:r>
          </w:p>
          <w:p>
            <w:pPr>
              <w:autoSpaceDE w:val="0"/>
              <w:autoSpaceDN w:val="0"/>
              <w:adjustRightInd w:val="0"/>
              <w:spacing w:line="260" w:lineRule="exact"/>
              <w:ind w:firstLine="480"/>
              <w:rPr>
                <w:color w:val="auto"/>
                <w:kern w:val="0"/>
              </w:rPr>
            </w:pPr>
            <w:r>
              <w:rPr>
                <w:color w:val="auto"/>
                <w:kern w:val="0"/>
              </w:rPr>
              <w:t>4</w:t>
            </w:r>
            <w:r>
              <w:rPr>
                <w:rFonts w:ascii="宋体" w:hAnsi="宋体"/>
                <w:color w:val="auto"/>
                <w:kern w:val="0"/>
              </w:rPr>
              <w:t>产生高噪声的生产设施与相邻设施的防噪声间距，应符合国家现行有关噪声卫生防护距离的规定。</w:t>
            </w:r>
          </w:p>
          <w:p>
            <w:pPr>
              <w:autoSpaceDE w:val="0"/>
              <w:autoSpaceDN w:val="0"/>
              <w:spacing w:line="260" w:lineRule="exact"/>
              <w:jc w:val="left"/>
              <w:rPr>
                <w:color w:val="auto"/>
                <w:kern w:val="0"/>
              </w:rPr>
            </w:pPr>
            <w:r>
              <w:rPr>
                <w:color w:val="auto"/>
                <w:kern w:val="0"/>
              </w:rPr>
              <w:t>5</w:t>
            </w:r>
            <w:r>
              <w:rPr>
                <w:rFonts w:ascii="宋体" w:hAnsi="宋体"/>
                <w:color w:val="auto"/>
                <w:kern w:val="0"/>
              </w:rPr>
              <w:t>厂区内各类地点及厂界处的噪声限制值和总平面布置中的噪声控制，尚应符合现行国家标准《工业企业噪声控制设计规范》</w:t>
            </w:r>
            <w:r>
              <w:rPr>
                <w:color w:val="auto"/>
                <w:kern w:val="0"/>
              </w:rPr>
              <w:t>GBJ87</w:t>
            </w:r>
            <w:r>
              <w:rPr>
                <w:rFonts w:ascii="宋体" w:hAnsi="宋体"/>
                <w:color w:val="auto"/>
                <w:kern w:val="0"/>
              </w:rPr>
              <w:t>的有关规定。</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5.2.5</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高噪声的生产设施远离办公区域，并采取相应的消音措施。</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hint="eastAsia" w:ascii="宋体" w:hAnsi="宋体"/>
                <w:color w:val="auto"/>
                <w:kern w:val="0"/>
              </w:rPr>
              <w:t>需要大宗原料、燃料的生产设施，宜与其原料、燃料的贮存及加工辅助设施靠近布置，并应位于原料、燃料的贮存及加工辅助设施全年最小频率风向的下风侧。生产大宗产品的设施宜靠近其产品储存和运输设施布置。</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5.2.6</w:t>
            </w:r>
          </w:p>
        </w:tc>
        <w:tc>
          <w:tcPr>
            <w:tcW w:w="1843"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生产装置靠近产品储存和运输设施布置。</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spacing w:line="260" w:lineRule="exact"/>
              <w:rPr>
                <w:color w:val="auto"/>
              </w:rPr>
            </w:pPr>
            <w:r>
              <w:rPr>
                <w:rFonts w:ascii="宋体" w:hAnsi="宋体"/>
                <w:color w:val="auto"/>
                <w:kern w:val="0"/>
              </w:rPr>
              <w:t>公用设施的布置，宜位于其负荷中心或靠近主要用户。</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kern w:val="0"/>
              </w:rPr>
              <w:t>5.3.1</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color w:val="auto"/>
              </w:rPr>
            </w:pPr>
            <w:r>
              <w:rPr>
                <w:rFonts w:ascii="宋体" w:hAnsi="宋体"/>
                <w:color w:val="auto"/>
                <w:kern w:val="0"/>
              </w:rPr>
              <w:t>靠近</w:t>
            </w:r>
            <w:r>
              <w:rPr>
                <w:rFonts w:hint="eastAsia" w:ascii="宋体" w:hAnsi="宋体"/>
                <w:color w:val="auto"/>
                <w:kern w:val="0"/>
              </w:rPr>
              <w:t>主要用户</w:t>
            </w:r>
            <w:r>
              <w:rPr>
                <w:rFonts w:ascii="宋体" w:hAnsi="宋体"/>
                <w:color w:val="auto"/>
                <w:kern w:val="0"/>
              </w:rPr>
              <w:t>。</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总降压变电所的布置应符合下列规定：</w:t>
            </w:r>
          </w:p>
          <w:p>
            <w:pPr>
              <w:spacing w:line="260" w:lineRule="exact"/>
              <w:rPr>
                <w:color w:val="auto"/>
                <w:kern w:val="0"/>
              </w:rPr>
            </w:pPr>
            <w:r>
              <w:rPr>
                <w:rFonts w:hint="eastAsia"/>
                <w:color w:val="auto"/>
                <w:kern w:val="0"/>
              </w:rPr>
              <w:t>1</w:t>
            </w:r>
            <w:r>
              <w:rPr>
                <w:color w:val="auto"/>
                <w:kern w:val="0"/>
              </w:rPr>
              <w:t>.</w:t>
            </w:r>
            <w:r>
              <w:rPr>
                <w:rFonts w:hint="eastAsia" w:ascii="宋体" w:hAnsi="宋体"/>
                <w:color w:val="auto"/>
                <w:kern w:val="0"/>
              </w:rPr>
              <w:t>宜位于靠近厂区边缘且地势较高地段；</w:t>
            </w:r>
          </w:p>
          <w:p>
            <w:pPr>
              <w:spacing w:line="260" w:lineRule="exact"/>
              <w:rPr>
                <w:color w:val="auto"/>
                <w:kern w:val="0"/>
              </w:rPr>
            </w:pPr>
            <w:r>
              <w:rPr>
                <w:color w:val="auto"/>
                <w:kern w:val="0"/>
              </w:rPr>
              <w:t>2.</w:t>
            </w:r>
            <w:r>
              <w:rPr>
                <w:rFonts w:hint="eastAsia" w:ascii="宋体" w:hAnsi="宋体"/>
                <w:color w:val="auto"/>
                <w:kern w:val="0"/>
              </w:rPr>
              <w:t>应便于高压线的进线和出线；</w:t>
            </w:r>
          </w:p>
          <w:p>
            <w:pPr>
              <w:spacing w:line="260" w:lineRule="exact"/>
              <w:rPr>
                <w:color w:val="auto"/>
                <w:kern w:val="0"/>
              </w:rPr>
            </w:pPr>
            <w:r>
              <w:rPr>
                <w:rFonts w:hint="eastAsia"/>
                <w:color w:val="auto"/>
                <w:kern w:val="0"/>
              </w:rPr>
              <w:t>3</w:t>
            </w:r>
            <w:r>
              <w:rPr>
                <w:color w:val="auto"/>
                <w:kern w:val="0"/>
              </w:rPr>
              <w:t>.</w:t>
            </w:r>
            <w:r>
              <w:rPr>
                <w:rFonts w:hint="eastAsia" w:ascii="宋体" w:hAnsi="宋体"/>
                <w:color w:val="auto"/>
                <w:kern w:val="0"/>
              </w:rPr>
              <w:t>赢避免设在有强烈振动的设施附近。</w:t>
            </w:r>
          </w:p>
          <w:p>
            <w:pPr>
              <w:spacing w:line="260" w:lineRule="exact"/>
              <w:rPr>
                <w:color w:val="auto"/>
                <w:kern w:val="0"/>
              </w:rPr>
            </w:pPr>
            <w:r>
              <w:rPr>
                <w:rFonts w:hint="eastAsia"/>
                <w:color w:val="auto"/>
                <w:kern w:val="0"/>
              </w:rPr>
              <w:t>4</w:t>
            </w:r>
            <w:r>
              <w:rPr>
                <w:color w:val="auto"/>
                <w:kern w:val="0"/>
              </w:rPr>
              <w:t>.</w:t>
            </w:r>
            <w:r>
              <w:rPr>
                <w:rFonts w:hint="eastAsia" w:ascii="宋体" w:hAnsi="宋体"/>
                <w:color w:val="auto"/>
                <w:kern w:val="0"/>
              </w:rPr>
              <w:t>应避免布置在多尘、有腐蚀性气体和有水雾的场所，并应位于多尘、有腐蚀性气体场所全年最小频率风向的下风侧和有水雾场所冬季盛行风向的上风侧。</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rPr>
              <w:t>5.3.2</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color w:val="auto"/>
                <w:kern w:val="0"/>
              </w:rPr>
            </w:pPr>
            <w:r>
              <w:rPr>
                <w:rFonts w:hint="eastAsia" w:ascii="宋体" w:hAnsi="宋体"/>
                <w:color w:val="auto"/>
                <w:kern w:val="0"/>
              </w:rPr>
              <w:t>公用工程车间位于厂区边缘</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仓库与堆场，应根据储存物料的性质、货流出入方向、供应对象、储存面积、运输方式等因素，按不同类别相对集中布置，并为运输、装卸、管理创造有利条件，且应符合国家现行的防火、防爆、安全、卫生等工程设计标准的有关规定。</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rPr>
              <w:t>5.6.1</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ascii="宋体" w:hAnsi="宋体"/>
                <w:color w:val="auto"/>
              </w:rPr>
              <w:t>根据物料性质，相对集中布置。</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rFonts w:ascii="宋体" w:hAnsi="宋体"/>
                <w:color w:val="auto"/>
                <w:kern w:val="0"/>
              </w:rPr>
            </w:pPr>
            <w:r>
              <w:rPr>
                <w:rFonts w:ascii="宋体" w:hAnsi="宋体"/>
                <w:color w:val="auto"/>
                <w:kern w:val="0"/>
              </w:rPr>
              <w:t>行政办公及生活服务设施的布置，应位于厂区全年最小频率风向的下风侧，并应符合下列要求：</w:t>
            </w:r>
          </w:p>
          <w:p>
            <w:pPr>
              <w:autoSpaceDE w:val="0"/>
              <w:autoSpaceDN w:val="0"/>
              <w:adjustRightInd w:val="0"/>
              <w:spacing w:line="260" w:lineRule="exact"/>
              <w:jc w:val="left"/>
              <w:rPr>
                <w:color w:val="auto"/>
                <w:kern w:val="0"/>
              </w:rPr>
            </w:pPr>
            <w:r>
              <w:rPr>
                <w:color w:val="auto"/>
                <w:kern w:val="0"/>
              </w:rPr>
              <w:t xml:space="preserve">1 </w:t>
            </w:r>
            <w:r>
              <w:rPr>
                <w:rFonts w:ascii="宋体" w:hAnsi="宋体"/>
                <w:color w:val="auto"/>
                <w:kern w:val="0"/>
              </w:rPr>
              <w:t>应布置在便于行政办公、环境洁净、靠近主要人流出入口、与城镇和居住区联系方便的位置；</w:t>
            </w:r>
          </w:p>
          <w:p>
            <w:pPr>
              <w:autoSpaceDE w:val="0"/>
              <w:autoSpaceDN w:val="0"/>
              <w:spacing w:line="260" w:lineRule="exact"/>
              <w:jc w:val="left"/>
              <w:rPr>
                <w:color w:val="auto"/>
                <w:kern w:val="0"/>
              </w:rPr>
            </w:pPr>
            <w:r>
              <w:rPr>
                <w:color w:val="auto"/>
                <w:kern w:val="0"/>
              </w:rPr>
              <w:t xml:space="preserve">2 </w:t>
            </w:r>
            <w:r>
              <w:rPr>
                <w:rFonts w:ascii="宋体" w:hAnsi="宋体"/>
                <w:color w:val="auto"/>
                <w:kern w:val="0"/>
              </w:rPr>
              <w:t>行政办公及生活服务设施的用地面积，不得超过工业项目总用地面积的</w:t>
            </w:r>
            <w:r>
              <w:rPr>
                <w:color w:val="auto"/>
                <w:kern w:val="0"/>
              </w:rPr>
              <w:t>7%</w:t>
            </w:r>
            <w:r>
              <w:rPr>
                <w:rFonts w:ascii="宋体" w:hAnsi="宋体"/>
                <w:color w:val="auto"/>
                <w:kern w:val="0"/>
              </w:rPr>
              <w:t>。</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r>
              <w:rPr>
                <w:rFonts w:ascii="宋体" w:hAnsi="宋体"/>
                <w:color w:val="auto"/>
              </w:rPr>
              <w:t>第</w:t>
            </w:r>
            <w:r>
              <w:rPr>
                <w:color w:val="auto"/>
              </w:rPr>
              <w:t>5.7.1</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综合办公楼位于厂前区，且靠近主要人流出入口。</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ascii="宋体" w:hAnsi="宋体"/>
                <w:color w:val="auto"/>
                <w:kern w:val="0"/>
              </w:rPr>
              <w:t>厂区出入口的位置和数量，应根据企业的生产规模、总体规划、厂区用地</w:t>
            </w:r>
          </w:p>
          <w:p>
            <w:pPr>
              <w:autoSpaceDE w:val="0"/>
              <w:autoSpaceDN w:val="0"/>
              <w:spacing w:line="260" w:lineRule="exact"/>
              <w:jc w:val="left"/>
              <w:rPr>
                <w:color w:val="auto"/>
                <w:kern w:val="0"/>
              </w:rPr>
            </w:pPr>
            <w:r>
              <w:rPr>
                <w:rFonts w:ascii="宋体" w:hAnsi="宋体"/>
                <w:color w:val="auto"/>
                <w:kern w:val="0"/>
              </w:rPr>
              <w:t>面积及总平面布置等因素综合确定，并应符合下列要求：</w:t>
            </w:r>
          </w:p>
          <w:p>
            <w:pPr>
              <w:autoSpaceDE w:val="0"/>
              <w:autoSpaceDN w:val="0"/>
              <w:spacing w:line="260" w:lineRule="exact"/>
              <w:jc w:val="left"/>
              <w:rPr>
                <w:color w:val="auto"/>
                <w:kern w:val="0"/>
              </w:rPr>
            </w:pPr>
            <w:r>
              <w:rPr>
                <w:color w:val="auto"/>
                <w:kern w:val="0"/>
              </w:rPr>
              <w:t>1</w:t>
            </w:r>
            <w:r>
              <w:rPr>
                <w:rFonts w:hint="eastAsia" w:ascii="宋体" w:hAnsi="宋体"/>
                <w:color w:val="auto"/>
                <w:kern w:val="0"/>
              </w:rPr>
              <w:t>、出入口的数量不宜少于</w:t>
            </w:r>
            <w:r>
              <w:rPr>
                <w:color w:val="auto"/>
                <w:kern w:val="0"/>
              </w:rPr>
              <w:t xml:space="preserve">2 </w:t>
            </w:r>
            <w:r>
              <w:rPr>
                <w:rFonts w:hint="eastAsia" w:ascii="宋体" w:hAnsi="宋体"/>
                <w:color w:val="auto"/>
                <w:kern w:val="0"/>
              </w:rPr>
              <w:t>个；</w:t>
            </w:r>
          </w:p>
          <w:p>
            <w:pPr>
              <w:autoSpaceDE w:val="0"/>
              <w:autoSpaceDN w:val="0"/>
              <w:spacing w:line="260" w:lineRule="exact"/>
              <w:jc w:val="left"/>
              <w:rPr>
                <w:color w:val="auto"/>
                <w:kern w:val="0"/>
              </w:rPr>
            </w:pPr>
            <w:r>
              <w:rPr>
                <w:color w:val="auto"/>
                <w:kern w:val="0"/>
              </w:rPr>
              <w:t>2</w:t>
            </w:r>
            <w:r>
              <w:rPr>
                <w:rFonts w:hint="eastAsia" w:ascii="宋体" w:hAnsi="宋体"/>
                <w:color w:val="auto"/>
                <w:kern w:val="0"/>
              </w:rPr>
              <w:t>、主要人流出入口宜与主要货流出入口分开设置，并应位于厂区主干道通往居住区或城镇的一侧；主要货流出入口应位于主要货流方向，应靠近运输繁忙的仓库、堆场，并应与外部运输线路连接方便；</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rPr>
              <w:t>5.7.4</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color w:val="auto"/>
              </w:rPr>
              <w:t>3</w:t>
            </w:r>
            <w:r>
              <w:rPr>
                <w:rFonts w:hint="eastAsia" w:ascii="宋体" w:hAnsi="宋体"/>
                <w:color w:val="auto"/>
              </w:rPr>
              <w:t>个出入口，人流、物流分开。</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ascii="宋体" w:hAnsi="宋体"/>
                <w:color w:val="auto"/>
              </w:rPr>
              <w:t>符合</w:t>
            </w:r>
          </w:p>
          <w:p>
            <w:pPr>
              <w:spacing w:line="26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color w:val="auto"/>
                <w:kern w:val="0"/>
              </w:rPr>
            </w:pPr>
            <w:r>
              <w:rPr>
                <w:rFonts w:ascii="宋体" w:hAnsi="宋体"/>
                <w:color w:val="auto"/>
                <w:kern w:val="0"/>
              </w:rPr>
              <w:t>工业企业厂区总平面功能分区的分区原则应遵循：分期建设项目宜一次整体规划，使各单体建筑均在其功能区内有序合理，避免分期建设时破坏原功能分区；行政办公用房应设置在非生产区；生产车间及与生产有关的辅助用室应布置在生产区内；产生有害物质的建筑（部位）与环境质量较高要求的有较高洁净要求的建筑（部位）应有适当的间距或分隔。</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《工业企业设计卫生标准》</w:t>
            </w:r>
            <w:r>
              <w:rPr>
                <w:color w:val="auto"/>
              </w:rPr>
              <w:t>GBZ1-2010</w:t>
            </w:r>
            <w:r>
              <w:rPr>
                <w:rFonts w:ascii="宋体" w:hAnsi="宋体"/>
                <w:color w:val="auto"/>
              </w:rPr>
              <w:t>第</w:t>
            </w:r>
            <w:r>
              <w:rPr>
                <w:color w:val="auto"/>
              </w:rPr>
              <w:t>5.2.1.3</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总平面布置图一次性整体规划。</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jc w:val="left"/>
              <w:rPr>
                <w:color w:val="auto"/>
                <w:kern w:val="0"/>
              </w:rPr>
            </w:pPr>
            <w:r>
              <w:rPr>
                <w:rFonts w:ascii="宋体" w:hAnsi="宋体"/>
                <w:color w:val="auto"/>
                <w:kern w:val="0"/>
              </w:rPr>
              <w:t>生产区宜选在大气污染物扩散条件好的地段，布置在当地全年最小频率风向的上风侧；产生并散发化学和生物等有害物质的车间，宜位于相邻车间当地全年最小频率风向的上风侧；非生产区布置在当地全年最小频率风向的下风侧；辅助生产区布置在两者之间。</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《工业企业设计卫生标准》</w:t>
            </w:r>
            <w:r>
              <w:rPr>
                <w:color w:val="auto"/>
              </w:rPr>
              <w:t>GBZ1-2010</w:t>
            </w:r>
            <w:r>
              <w:rPr>
                <w:rFonts w:ascii="宋体" w:hAnsi="宋体"/>
                <w:color w:val="auto"/>
              </w:rPr>
              <w:t>第</w:t>
            </w:r>
            <w:r>
              <w:rPr>
                <w:color w:val="auto"/>
              </w:rPr>
              <w:t>5.2.1.4</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该项目生产装置位于厂区最小频率风向的上风侧。</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9141" w:type="dxa"/>
            <w:gridSpan w:val="5"/>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二、仓储设施布置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rPr>
                <w:color w:val="auto"/>
                <w:kern w:val="0"/>
              </w:rPr>
            </w:pPr>
            <w:r>
              <w:rPr>
                <w:rFonts w:hint="eastAsia" w:ascii="宋体" w:hAnsi="宋体"/>
                <w:color w:val="auto"/>
                <w:kern w:val="0"/>
              </w:rPr>
              <w:t>酸类库区及其装卸设施应布置在易受腐蚀的生产设施或仓储设施的全年最小频率风向的上风侧，宜位于厂区边缘且地势较低处，并应位于厂区地下水流向的下游地段。</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color w:val="auto"/>
              </w:rPr>
              <w:t>GB50187-2012</w:t>
            </w:r>
          </w:p>
          <w:p>
            <w:pPr>
              <w:spacing w:line="260" w:lineRule="exact"/>
              <w:jc w:val="center"/>
              <w:rPr>
                <w:color w:val="auto"/>
              </w:rPr>
            </w:pPr>
            <w:r>
              <w:rPr>
                <w:color w:val="auto"/>
              </w:rPr>
              <w:t>5.6.7</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酸类库布置在最小频率风向上风侧</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9141" w:type="dxa"/>
            <w:gridSpan w:val="5"/>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三、厂内围护、道路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widowControl/>
              <w:shd w:val="clear" w:color="auto" w:fill="FFFFFF"/>
              <w:spacing w:line="260" w:lineRule="exact"/>
              <w:rPr>
                <w:color w:val="auto"/>
                <w:kern w:val="0"/>
              </w:rPr>
            </w:pPr>
            <w:r>
              <w:rPr>
                <w:rFonts w:hint="eastAsia" w:ascii="宋体" w:hAnsi="宋体"/>
                <w:color w:val="auto"/>
                <w:kern w:val="0"/>
              </w:rPr>
              <w:t>厂区出入口的位置和数量，应根据企业的生产规模、总体规划、厂区用地面积及总平面布置等因素综合确定，并应符合下列要求：</w:t>
            </w:r>
            <w:r>
              <w:rPr>
                <w:rFonts w:hint="eastAsia"/>
                <w:color w:val="auto"/>
                <w:kern w:val="0"/>
              </w:rPr>
              <w:t xml:space="preserve"> </w:t>
            </w:r>
            <w:r>
              <w:rPr>
                <w:color w:val="auto"/>
                <w:kern w:val="0"/>
              </w:rPr>
              <w:t xml:space="preserve"> </w:t>
            </w:r>
          </w:p>
          <w:p>
            <w:pPr>
              <w:widowControl/>
              <w:shd w:val="clear" w:color="auto" w:fill="FFFFFF"/>
              <w:spacing w:line="260" w:lineRule="exact"/>
              <w:rPr>
                <w:color w:val="auto"/>
                <w:kern w:val="0"/>
              </w:rPr>
            </w:pPr>
            <w:r>
              <w:rPr>
                <w:rFonts w:hint="eastAsia"/>
                <w:color w:val="auto"/>
                <w:kern w:val="0"/>
              </w:rPr>
              <w:t xml:space="preserve">1 </w:t>
            </w:r>
            <w:r>
              <w:rPr>
                <w:rFonts w:hint="eastAsia" w:ascii="宋体" w:hAnsi="宋体"/>
                <w:color w:val="auto"/>
                <w:kern w:val="0"/>
              </w:rPr>
              <w:t xml:space="preserve">出入口的数量不宜少于 </w:t>
            </w:r>
            <w:r>
              <w:rPr>
                <w:rFonts w:hint="eastAsia"/>
                <w:color w:val="auto"/>
                <w:kern w:val="0"/>
              </w:rPr>
              <w:t xml:space="preserve">2 </w:t>
            </w:r>
            <w:r>
              <w:rPr>
                <w:rFonts w:hint="eastAsia" w:ascii="宋体" w:hAnsi="宋体"/>
                <w:color w:val="auto"/>
                <w:kern w:val="0"/>
              </w:rPr>
              <w:t xml:space="preserve">个； </w:t>
            </w:r>
            <w:r>
              <w:rPr>
                <w:color w:val="auto"/>
                <w:kern w:val="0"/>
              </w:rPr>
              <w:t xml:space="preserve"> </w:t>
            </w:r>
          </w:p>
          <w:p>
            <w:pPr>
              <w:spacing w:line="260" w:lineRule="exact"/>
              <w:rPr>
                <w:color w:val="auto"/>
                <w:kern w:val="0"/>
              </w:rPr>
            </w:pPr>
            <w:r>
              <w:rPr>
                <w:rFonts w:hint="eastAsia"/>
                <w:color w:val="auto"/>
                <w:kern w:val="0"/>
              </w:rPr>
              <w:t xml:space="preserve">2 </w:t>
            </w:r>
            <w:r>
              <w:rPr>
                <w:rFonts w:hint="eastAsia" w:ascii="宋体" w:hAnsi="宋体"/>
                <w:color w:val="auto"/>
                <w:kern w:val="0"/>
              </w:rPr>
              <w:t>主要人流出入口宜与主要货流出入口分开设置，并应位于厂区主干道通往居住区或城镇的一侧；主要货流出入口应位于主要货流方向，应靠近运输繁忙的仓库、堆场，并应与外部运输线路连接方便。</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rFonts w:hint="eastAsia"/>
                <w:color w:val="auto"/>
              </w:rPr>
              <w:t>5</w:t>
            </w:r>
            <w:r>
              <w:rPr>
                <w:color w:val="auto"/>
              </w:rPr>
              <w:t>.7.4</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厂区设有</w:t>
            </w:r>
            <w:r>
              <w:rPr>
                <w:rFonts w:hint="eastAsia"/>
                <w:color w:val="auto"/>
              </w:rPr>
              <w:t>3</w:t>
            </w:r>
            <w:r>
              <w:rPr>
                <w:rFonts w:hint="eastAsia" w:ascii="宋体" w:hAnsi="宋体"/>
                <w:color w:val="auto"/>
              </w:rPr>
              <w:t>个出入口，人流、物流分开设置。</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widowControl/>
              <w:shd w:val="clear" w:color="auto" w:fill="FFFFFF"/>
              <w:spacing w:line="260" w:lineRule="exact"/>
              <w:rPr>
                <w:color w:val="auto"/>
                <w:kern w:val="0"/>
              </w:rPr>
            </w:pPr>
            <w:r>
              <w:rPr>
                <w:rFonts w:hint="eastAsia" w:ascii="宋体" w:hAnsi="宋体"/>
                <w:color w:val="auto"/>
                <w:kern w:val="0"/>
              </w:rPr>
              <w:t>厂区围墙的结构形式和高度，应根据企业性质、规模确定。围墙至建筑物的距离不小于</w:t>
            </w:r>
            <w:r>
              <w:rPr>
                <w:rFonts w:hint="eastAsia"/>
                <w:color w:val="auto"/>
                <w:kern w:val="0"/>
              </w:rPr>
              <w:t>5m</w:t>
            </w:r>
            <w:r>
              <w:rPr>
                <w:rFonts w:hint="eastAsia" w:ascii="宋体" w:hAnsi="宋体"/>
                <w:color w:val="auto"/>
                <w:kern w:val="0"/>
              </w:rPr>
              <w:t>，距道路不小于</w:t>
            </w:r>
            <w:r>
              <w:rPr>
                <w:rFonts w:hint="eastAsia"/>
                <w:color w:val="auto"/>
                <w:kern w:val="0"/>
              </w:rPr>
              <w:t>1.0m</w:t>
            </w:r>
            <w:r>
              <w:rPr>
                <w:rFonts w:hint="eastAsia" w:ascii="宋体" w:hAnsi="宋体"/>
                <w:color w:val="auto"/>
                <w:kern w:val="0"/>
              </w:rPr>
              <w:t>。</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rFonts w:hint="eastAsia"/>
                <w:color w:val="auto"/>
              </w:rPr>
              <w:t>5</w:t>
            </w:r>
            <w:r>
              <w:rPr>
                <w:color w:val="auto"/>
              </w:rPr>
              <w:t>.7.5</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厂区四周设有围墙，距离建筑物距离大于等于</w:t>
            </w:r>
            <w:r>
              <w:rPr>
                <w:rFonts w:hint="eastAsia"/>
                <w:color w:val="auto"/>
              </w:rPr>
              <w:t>5m</w:t>
            </w:r>
            <w:r>
              <w:rPr>
                <w:rFonts w:hint="eastAsia" w:ascii="宋体" w:hAnsi="宋体"/>
                <w:color w:val="auto"/>
              </w:rPr>
              <w:t>，距离厂区道路不小于</w:t>
            </w:r>
            <w:r>
              <w:rPr>
                <w:rFonts w:hint="eastAsia"/>
                <w:color w:val="auto"/>
              </w:rPr>
              <w:t>1m</w:t>
            </w:r>
            <w:r>
              <w:rPr>
                <w:rFonts w:hint="eastAsia" w:ascii="宋体" w:hAnsi="宋体"/>
                <w:color w:val="auto"/>
              </w:rPr>
              <w:t>。</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ascii="宋体" w:hAnsi="宋体"/>
                <w:color w:val="auto"/>
                <w:kern w:val="0"/>
              </w:rPr>
              <w:t>企业内道路的布置应符合下列规定：</w:t>
            </w:r>
          </w:p>
          <w:p>
            <w:pPr>
              <w:autoSpaceDE w:val="0"/>
              <w:autoSpaceDN w:val="0"/>
              <w:adjustRightInd w:val="0"/>
              <w:spacing w:line="260" w:lineRule="exact"/>
              <w:rPr>
                <w:color w:val="auto"/>
                <w:kern w:val="0"/>
              </w:rPr>
            </w:pPr>
            <w:r>
              <w:rPr>
                <w:color w:val="auto"/>
                <w:kern w:val="0"/>
              </w:rPr>
              <w:t>1</w:t>
            </w:r>
            <w:r>
              <w:rPr>
                <w:rFonts w:ascii="宋体" w:hAnsi="宋体"/>
                <w:color w:val="auto"/>
                <w:kern w:val="0"/>
              </w:rPr>
              <w:t>应满足生产、运输、安装、检修、消防安全和施工的要求。</w:t>
            </w:r>
          </w:p>
          <w:p>
            <w:pPr>
              <w:autoSpaceDE w:val="0"/>
              <w:autoSpaceDN w:val="0"/>
              <w:adjustRightInd w:val="0"/>
              <w:spacing w:line="260" w:lineRule="exact"/>
              <w:rPr>
                <w:color w:val="auto"/>
                <w:kern w:val="0"/>
              </w:rPr>
            </w:pPr>
            <w:r>
              <w:rPr>
                <w:color w:val="auto"/>
                <w:kern w:val="0"/>
              </w:rPr>
              <w:t>2</w:t>
            </w:r>
            <w:r>
              <w:rPr>
                <w:rFonts w:ascii="宋体" w:hAnsi="宋体"/>
                <w:color w:val="auto"/>
                <w:kern w:val="0"/>
              </w:rPr>
              <w:t>应有利于功能分区和街区的划分，并应与总平面布置相协调。</w:t>
            </w:r>
          </w:p>
          <w:p>
            <w:pPr>
              <w:autoSpaceDE w:val="0"/>
              <w:autoSpaceDN w:val="0"/>
              <w:adjustRightInd w:val="0"/>
              <w:spacing w:line="260" w:lineRule="exact"/>
              <w:rPr>
                <w:color w:val="auto"/>
                <w:kern w:val="0"/>
              </w:rPr>
            </w:pPr>
            <w:r>
              <w:rPr>
                <w:color w:val="auto"/>
                <w:kern w:val="0"/>
              </w:rPr>
              <w:t>3</w:t>
            </w:r>
            <w:r>
              <w:rPr>
                <w:rFonts w:ascii="宋体" w:hAnsi="宋体"/>
                <w:color w:val="auto"/>
                <w:kern w:val="0"/>
              </w:rPr>
              <w:t>道路的走向宜与区内主要建筑物、构筑物轴线平行或垂直，并应呈环形布置。</w:t>
            </w:r>
          </w:p>
          <w:p>
            <w:pPr>
              <w:autoSpaceDE w:val="0"/>
              <w:autoSpaceDN w:val="0"/>
              <w:adjustRightInd w:val="0"/>
              <w:spacing w:line="260" w:lineRule="exact"/>
              <w:rPr>
                <w:color w:val="auto"/>
                <w:kern w:val="0"/>
              </w:rPr>
            </w:pPr>
            <w:r>
              <w:rPr>
                <w:color w:val="auto"/>
                <w:kern w:val="0"/>
              </w:rPr>
              <w:t>4</w:t>
            </w:r>
            <w:r>
              <w:rPr>
                <w:rFonts w:ascii="宋体" w:hAnsi="宋体"/>
                <w:color w:val="auto"/>
                <w:kern w:val="0"/>
              </w:rPr>
              <w:t>应与竖向设计相协调，应有利于场地及道路的雨水排除。</w:t>
            </w:r>
          </w:p>
          <w:p>
            <w:pPr>
              <w:autoSpaceDE w:val="0"/>
              <w:autoSpaceDN w:val="0"/>
              <w:adjustRightInd w:val="0"/>
              <w:spacing w:line="260" w:lineRule="exact"/>
              <w:rPr>
                <w:color w:val="auto"/>
                <w:kern w:val="0"/>
              </w:rPr>
            </w:pPr>
            <w:r>
              <w:rPr>
                <w:color w:val="auto"/>
                <w:kern w:val="0"/>
              </w:rPr>
              <w:t>5</w:t>
            </w:r>
            <w:r>
              <w:rPr>
                <w:rFonts w:ascii="宋体" w:hAnsi="宋体"/>
                <w:color w:val="auto"/>
                <w:kern w:val="0"/>
              </w:rPr>
              <w:t>与厂外道路应连接方便、短捷。</w:t>
            </w:r>
          </w:p>
          <w:p>
            <w:pPr>
              <w:autoSpaceDE w:val="0"/>
              <w:autoSpaceDN w:val="0"/>
              <w:adjustRightInd w:val="0"/>
              <w:spacing w:line="260" w:lineRule="exact"/>
              <w:rPr>
                <w:color w:val="auto"/>
                <w:kern w:val="0"/>
              </w:rPr>
            </w:pPr>
            <w:r>
              <w:rPr>
                <w:color w:val="auto"/>
                <w:kern w:val="0"/>
              </w:rPr>
              <w:t>6</w:t>
            </w:r>
            <w:r>
              <w:rPr>
                <w:rFonts w:ascii="宋体" w:hAnsi="宋体"/>
                <w:color w:val="auto"/>
                <w:kern w:val="0"/>
              </w:rPr>
              <w:t>洁净厂房周围宜设置环形消防车道，环形消防车道可利用交通道路设置，有困难时，可沿厂房的两个长边设置消防车道。</w:t>
            </w:r>
          </w:p>
          <w:p>
            <w:pPr>
              <w:autoSpaceDE w:val="0"/>
              <w:autoSpaceDN w:val="0"/>
              <w:adjustRightInd w:val="0"/>
              <w:spacing w:line="260" w:lineRule="exact"/>
              <w:rPr>
                <w:color w:val="auto"/>
                <w:kern w:val="0"/>
              </w:rPr>
            </w:pPr>
            <w:r>
              <w:rPr>
                <w:color w:val="auto"/>
                <w:kern w:val="0"/>
              </w:rPr>
              <w:t>7</w:t>
            </w:r>
            <w:r>
              <w:rPr>
                <w:rFonts w:ascii="宋体" w:hAnsi="宋体"/>
                <w:color w:val="auto"/>
                <w:kern w:val="0"/>
              </w:rPr>
              <w:t>液化烃、可燃液体、可燃气体的罐区内，任何储罐中心与消防车道的距离应符合现行国家标准《石油化工企业设计防火规范》</w:t>
            </w:r>
            <w:r>
              <w:rPr>
                <w:color w:val="auto"/>
                <w:kern w:val="0"/>
              </w:rPr>
              <w:t>GB50160</w:t>
            </w:r>
            <w:r>
              <w:rPr>
                <w:rFonts w:ascii="宋体" w:hAnsi="宋体"/>
                <w:color w:val="auto"/>
                <w:kern w:val="0"/>
              </w:rPr>
              <w:t>的有关规定。</w:t>
            </w:r>
          </w:p>
          <w:p>
            <w:pPr>
              <w:pStyle w:val="86"/>
              <w:snapToGrid w:val="0"/>
              <w:spacing w:line="260" w:lineRule="exact"/>
              <w:jc w:val="both"/>
              <w:rPr>
                <w:rFonts w:ascii="Times New Roman" w:cs="Times New Roman"/>
                <w:color w:val="auto"/>
                <w:sz w:val="21"/>
                <w:szCs w:val="21"/>
              </w:rPr>
            </w:pPr>
            <w:r>
              <w:rPr>
                <w:rFonts w:ascii="Times New Roman" w:cs="Times New Roman"/>
                <w:color w:val="auto"/>
                <w:sz w:val="21"/>
                <w:szCs w:val="21"/>
              </w:rPr>
              <w:t>8</w:t>
            </w:r>
            <w:r>
              <w:rPr>
                <w:rFonts w:hAnsi="宋体" w:cs="Times New Roman"/>
                <w:color w:val="auto"/>
                <w:sz w:val="21"/>
                <w:szCs w:val="21"/>
              </w:rPr>
              <w:t>施工道路应与永久性道路相结合。</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6.4.1</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厂区按功能划分，厂区道路与建筑物构筑物轴线平行或垂直，并呈环形布置。</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hint="eastAsia" w:ascii="宋体" w:hAnsi="宋体"/>
                <w:color w:val="auto"/>
                <w:kern w:val="0"/>
              </w:rPr>
              <w:t>场内道路的形式可分为城市型、公路型和混合型。其类型选择宜符合下列规定：</w:t>
            </w:r>
          </w:p>
          <w:p>
            <w:pPr>
              <w:autoSpaceDE w:val="0"/>
              <w:autoSpaceDN w:val="0"/>
              <w:adjustRightInd w:val="0"/>
              <w:spacing w:line="260" w:lineRule="exact"/>
              <w:rPr>
                <w:color w:val="auto"/>
                <w:kern w:val="0"/>
              </w:rPr>
            </w:pPr>
            <w:r>
              <w:rPr>
                <w:rFonts w:hint="eastAsia"/>
                <w:color w:val="auto"/>
                <w:kern w:val="0"/>
              </w:rPr>
              <w:t>1</w:t>
            </w:r>
            <w:r>
              <w:rPr>
                <w:color w:val="auto"/>
                <w:kern w:val="0"/>
              </w:rPr>
              <w:t>.</w:t>
            </w:r>
            <w:r>
              <w:rPr>
                <w:rFonts w:hint="eastAsia" w:ascii="宋体" w:hAnsi="宋体"/>
                <w:color w:val="auto"/>
                <w:kern w:val="0"/>
              </w:rPr>
              <w:t>全场宜采用同一种类型，也可分区采用不同类型。</w:t>
            </w:r>
          </w:p>
          <w:p>
            <w:pPr>
              <w:autoSpaceDE w:val="0"/>
              <w:autoSpaceDN w:val="0"/>
              <w:adjustRightInd w:val="0"/>
              <w:spacing w:line="260" w:lineRule="exact"/>
              <w:rPr>
                <w:color w:val="auto"/>
                <w:kern w:val="0"/>
              </w:rPr>
            </w:pPr>
            <w:r>
              <w:rPr>
                <w:color w:val="auto"/>
                <w:kern w:val="0"/>
              </w:rPr>
              <w:t>2.</w:t>
            </w:r>
            <w:r>
              <w:rPr>
                <w:rFonts w:hint="eastAsia" w:ascii="宋体" w:hAnsi="宋体"/>
                <w:color w:val="auto"/>
                <w:kern w:val="0"/>
              </w:rPr>
              <w:t>行政办公区及对环境有较高要求的生活设施和生产车间附近的道路、厂区中心地带人流活动较多的地段，宜采用城市型。</w:t>
            </w:r>
          </w:p>
          <w:p>
            <w:pPr>
              <w:autoSpaceDE w:val="0"/>
              <w:autoSpaceDN w:val="0"/>
              <w:adjustRightInd w:val="0"/>
              <w:spacing w:line="260" w:lineRule="exact"/>
              <w:rPr>
                <w:color w:val="auto"/>
                <w:kern w:val="0"/>
              </w:rPr>
            </w:pPr>
            <w:r>
              <w:rPr>
                <w:rFonts w:hint="eastAsia"/>
                <w:color w:val="auto"/>
                <w:kern w:val="0"/>
              </w:rPr>
              <w:t>3</w:t>
            </w:r>
            <w:r>
              <w:rPr>
                <w:color w:val="auto"/>
                <w:kern w:val="0"/>
              </w:rPr>
              <w:t>.</w:t>
            </w:r>
            <w:r>
              <w:rPr>
                <w:rFonts w:hint="eastAsia" w:ascii="宋体" w:hAnsi="宋体"/>
                <w:color w:val="auto"/>
                <w:kern w:val="0"/>
              </w:rPr>
              <w:t>厂区边缘及傍山地带的道路、储罐区、人流较少或场地高差较大的地段，以及与铁路连续平交的道路，宜采用公路型。</w:t>
            </w:r>
          </w:p>
          <w:p>
            <w:pPr>
              <w:autoSpaceDE w:val="0"/>
              <w:autoSpaceDN w:val="0"/>
              <w:adjustRightInd w:val="0"/>
              <w:spacing w:line="260" w:lineRule="exact"/>
              <w:rPr>
                <w:color w:val="auto"/>
                <w:kern w:val="0"/>
              </w:rPr>
            </w:pPr>
            <w:r>
              <w:rPr>
                <w:rFonts w:hint="eastAsia"/>
                <w:color w:val="auto"/>
                <w:kern w:val="0"/>
              </w:rPr>
              <w:t>4</w:t>
            </w:r>
            <w:r>
              <w:rPr>
                <w:color w:val="auto"/>
                <w:kern w:val="0"/>
              </w:rPr>
              <w:t>.</w:t>
            </w:r>
            <w:r>
              <w:rPr>
                <w:rFonts w:hint="eastAsia" w:ascii="宋体" w:hAnsi="宋体"/>
                <w:color w:val="auto"/>
                <w:kern w:val="0"/>
              </w:rPr>
              <w:t>其他不适合采用城市型、公路型的道路，可采用混合型。</w:t>
            </w:r>
          </w:p>
          <w:p>
            <w:pPr>
              <w:autoSpaceDE w:val="0"/>
              <w:autoSpaceDN w:val="0"/>
              <w:adjustRightInd w:val="0"/>
              <w:spacing w:line="260" w:lineRule="exact"/>
              <w:rPr>
                <w:color w:val="auto"/>
                <w:kern w:val="0"/>
              </w:rPr>
            </w:pPr>
            <w:r>
              <w:rPr>
                <w:rFonts w:hint="eastAsia"/>
                <w:color w:val="auto"/>
                <w:kern w:val="0"/>
              </w:rPr>
              <w:t>5</w:t>
            </w:r>
            <w:r>
              <w:rPr>
                <w:color w:val="auto"/>
                <w:kern w:val="0"/>
              </w:rPr>
              <w:t>.</w:t>
            </w:r>
            <w:r>
              <w:rPr>
                <w:rFonts w:hint="eastAsia" w:ascii="宋体" w:hAnsi="宋体"/>
                <w:color w:val="auto"/>
                <w:kern w:val="0"/>
              </w:rPr>
              <w:t>厂区道路的类型还应与城乡现有道路的类型相协调。</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6.4.3</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厂区道路采用城市型道路，</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ascii="宋体" w:hAnsi="宋体"/>
                <w:color w:val="auto"/>
                <w:kern w:val="0"/>
              </w:rPr>
              <w:t>厂内道路路面等级应与道路类型相适应，应根据生产特点、使用要求和当地的气候、路基状况、材料供应和施工条件等因素确定，并应符合下列规定：</w:t>
            </w:r>
          </w:p>
          <w:p>
            <w:pPr>
              <w:autoSpaceDE w:val="0"/>
              <w:autoSpaceDN w:val="0"/>
              <w:adjustRightInd w:val="0"/>
              <w:spacing w:line="260" w:lineRule="exact"/>
              <w:rPr>
                <w:color w:val="auto"/>
                <w:kern w:val="0"/>
              </w:rPr>
            </w:pPr>
            <w:r>
              <w:rPr>
                <w:color w:val="auto"/>
                <w:kern w:val="0"/>
              </w:rPr>
              <w:t>1</w:t>
            </w:r>
            <w:r>
              <w:rPr>
                <w:rFonts w:ascii="宋体" w:hAnsi="宋体"/>
                <w:color w:val="auto"/>
                <w:kern w:val="0"/>
              </w:rPr>
              <w:t>厂内主干道和次干道可采用高级或次高级路面，路面的面层宜采用同一种类型，车间引道可与其相连的道路采用相同面层类型。</w:t>
            </w:r>
          </w:p>
          <w:p>
            <w:pPr>
              <w:autoSpaceDE w:val="0"/>
              <w:autoSpaceDN w:val="0"/>
              <w:adjustRightInd w:val="0"/>
              <w:spacing w:line="260" w:lineRule="exact"/>
              <w:rPr>
                <w:color w:val="auto"/>
                <w:kern w:val="0"/>
              </w:rPr>
            </w:pPr>
            <w:r>
              <w:rPr>
                <w:color w:val="auto"/>
                <w:kern w:val="0"/>
              </w:rPr>
              <w:t>2</w:t>
            </w:r>
            <w:r>
              <w:rPr>
                <w:rFonts w:ascii="宋体" w:hAnsi="宋体"/>
                <w:color w:val="auto"/>
                <w:kern w:val="0"/>
              </w:rPr>
              <w:t>防尘、防振、防噪声要求较高的路段宜选用沥青路面。</w:t>
            </w:r>
          </w:p>
          <w:p>
            <w:pPr>
              <w:autoSpaceDE w:val="0"/>
              <w:autoSpaceDN w:val="0"/>
              <w:adjustRightInd w:val="0"/>
              <w:spacing w:line="260" w:lineRule="exact"/>
              <w:rPr>
                <w:color w:val="auto"/>
                <w:kern w:val="0"/>
              </w:rPr>
            </w:pPr>
            <w:r>
              <w:rPr>
                <w:color w:val="auto"/>
                <w:kern w:val="0"/>
              </w:rPr>
              <w:t>3</w:t>
            </w:r>
            <w:r>
              <w:rPr>
                <w:rFonts w:ascii="宋体" w:hAnsi="宋体"/>
                <w:color w:val="auto"/>
                <w:kern w:val="0"/>
              </w:rPr>
              <w:t>防腐要求较高的路段应选用耐腐蚀的路面。</w:t>
            </w:r>
          </w:p>
          <w:p>
            <w:pPr>
              <w:autoSpaceDE w:val="0"/>
              <w:autoSpaceDN w:val="0"/>
              <w:adjustRightInd w:val="0"/>
              <w:spacing w:line="260" w:lineRule="exact"/>
              <w:rPr>
                <w:color w:val="auto"/>
                <w:kern w:val="0"/>
              </w:rPr>
            </w:pPr>
            <w:r>
              <w:rPr>
                <w:color w:val="auto"/>
                <w:kern w:val="0"/>
              </w:rPr>
              <w:t>4</w:t>
            </w:r>
            <w:r>
              <w:rPr>
                <w:rFonts w:ascii="宋体" w:hAnsi="宋体"/>
                <w:color w:val="auto"/>
                <w:kern w:val="0"/>
              </w:rPr>
              <w:t>对沥青产生侵蚀、溶解作用或有防火要求的路段，不宜采用沥青路面。</w:t>
            </w:r>
          </w:p>
          <w:p>
            <w:pPr>
              <w:autoSpaceDE w:val="0"/>
              <w:autoSpaceDN w:val="0"/>
              <w:adjustRightInd w:val="0"/>
              <w:spacing w:line="260" w:lineRule="exact"/>
              <w:rPr>
                <w:color w:val="auto"/>
                <w:kern w:val="0"/>
              </w:rPr>
            </w:pPr>
            <w:r>
              <w:rPr>
                <w:color w:val="auto"/>
                <w:kern w:val="0"/>
              </w:rPr>
              <w:t>5</w:t>
            </w:r>
            <w:r>
              <w:rPr>
                <w:rFonts w:ascii="宋体" w:hAnsi="宋体"/>
                <w:color w:val="auto"/>
                <w:kern w:val="0"/>
              </w:rPr>
              <w:t>地下管线穿埋较多的路段宜采用混凝土预制块或块石路面。</w:t>
            </w:r>
          </w:p>
          <w:p>
            <w:pPr>
              <w:pStyle w:val="86"/>
              <w:snapToGrid w:val="0"/>
              <w:spacing w:line="260" w:lineRule="exact"/>
              <w:jc w:val="both"/>
              <w:rPr>
                <w:rFonts w:ascii="Times New Roman" w:cs="Times New Roman"/>
                <w:color w:val="auto"/>
                <w:sz w:val="21"/>
                <w:szCs w:val="21"/>
              </w:rPr>
            </w:pPr>
            <w:r>
              <w:rPr>
                <w:rFonts w:ascii="Times New Roman" w:cs="Times New Roman"/>
                <w:color w:val="auto"/>
                <w:sz w:val="21"/>
                <w:szCs w:val="21"/>
              </w:rPr>
              <w:t>6</w:t>
            </w:r>
            <w:r>
              <w:rPr>
                <w:rFonts w:hAnsi="宋体" w:cs="Times New Roman"/>
                <w:color w:val="auto"/>
                <w:sz w:val="21"/>
                <w:szCs w:val="21"/>
              </w:rPr>
              <w:t>所选路面类型不宜过多。</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6.4.4</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厂区主干道和次干道采用同一类型面层，地下管线穿埋较多路面采用混凝土路面。</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hint="eastAsia" w:ascii="宋体" w:hAnsi="宋体"/>
                <w:color w:val="auto"/>
                <w:kern w:val="0"/>
              </w:rPr>
              <w:t>场内道路应设置交通标志，交通标志的形状、尺寸、颜色、图形以及位置应符合现行国家标准《道路交通标志和标线》</w:t>
            </w:r>
            <w:r>
              <w:rPr>
                <w:rFonts w:hint="eastAsia"/>
                <w:color w:val="auto"/>
                <w:kern w:val="0"/>
              </w:rPr>
              <w:t>GB</w:t>
            </w:r>
            <w:r>
              <w:rPr>
                <w:color w:val="auto"/>
                <w:kern w:val="0"/>
              </w:rPr>
              <w:t>5768</w:t>
            </w:r>
            <w:r>
              <w:rPr>
                <w:rFonts w:hint="eastAsia" w:ascii="宋体" w:hAnsi="宋体"/>
                <w:color w:val="auto"/>
                <w:kern w:val="0"/>
              </w:rPr>
              <w:t>的有关规定。</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6.4.7</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厂区道路拟设置交通标志</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ascii="宋体" w:hAnsi="宋体"/>
                <w:color w:val="auto"/>
                <w:kern w:val="0"/>
              </w:rPr>
              <w:t>消防车道的布置应符合下列规定：</w:t>
            </w:r>
          </w:p>
          <w:p>
            <w:pPr>
              <w:autoSpaceDE w:val="0"/>
              <w:autoSpaceDN w:val="0"/>
              <w:adjustRightInd w:val="0"/>
              <w:spacing w:line="260" w:lineRule="exact"/>
              <w:rPr>
                <w:color w:val="auto"/>
                <w:kern w:val="0"/>
              </w:rPr>
            </w:pPr>
            <w:r>
              <w:rPr>
                <w:color w:val="auto"/>
                <w:kern w:val="0"/>
                <w:sz w:val="24"/>
                <w:szCs w:val="24"/>
              </w:rPr>
              <w:t>1</w:t>
            </w:r>
            <w:r>
              <w:rPr>
                <w:rFonts w:ascii="宋体" w:hAnsi="宋体"/>
                <w:color w:val="auto"/>
                <w:kern w:val="0"/>
              </w:rPr>
              <w:t>道路宜呈环形布置。</w:t>
            </w:r>
          </w:p>
          <w:p>
            <w:pPr>
              <w:autoSpaceDE w:val="0"/>
              <w:autoSpaceDN w:val="0"/>
              <w:adjustRightInd w:val="0"/>
              <w:spacing w:line="260" w:lineRule="exact"/>
              <w:rPr>
                <w:color w:val="auto"/>
                <w:kern w:val="0"/>
              </w:rPr>
            </w:pPr>
            <w:r>
              <w:rPr>
                <w:color w:val="auto"/>
                <w:kern w:val="0"/>
              </w:rPr>
              <w:t>2</w:t>
            </w:r>
            <w:r>
              <w:rPr>
                <w:rFonts w:ascii="宋体" w:hAnsi="宋体"/>
                <w:color w:val="auto"/>
                <w:kern w:val="0"/>
              </w:rPr>
              <w:t>车道宽度不应小于</w:t>
            </w:r>
            <w:r>
              <w:rPr>
                <w:color w:val="auto"/>
                <w:kern w:val="0"/>
              </w:rPr>
              <w:t>4.0m</w:t>
            </w:r>
            <w:r>
              <w:rPr>
                <w:rFonts w:ascii="宋体" w:hAnsi="宋体"/>
                <w:color w:val="auto"/>
                <w:kern w:val="0"/>
              </w:rPr>
              <w:t>。</w:t>
            </w:r>
          </w:p>
          <w:p>
            <w:pPr>
              <w:autoSpaceDE w:val="0"/>
              <w:autoSpaceDN w:val="0"/>
              <w:adjustRightInd w:val="0"/>
              <w:spacing w:line="260" w:lineRule="exact"/>
              <w:rPr>
                <w:color w:val="auto"/>
                <w:kern w:val="0"/>
                <w:sz w:val="24"/>
                <w:szCs w:val="24"/>
              </w:rPr>
            </w:pPr>
            <w:r>
              <w:rPr>
                <w:color w:val="auto"/>
                <w:kern w:val="0"/>
              </w:rPr>
              <w:t>3</w:t>
            </w:r>
            <w:r>
              <w:rPr>
                <w:rFonts w:ascii="宋体" w:hAnsi="宋体"/>
                <w:color w:val="auto"/>
                <w:kern w:val="0"/>
              </w:rPr>
              <w:t>应避免与铁路平交。必须平交时，应设备用车道，且两车道之间的距离不应小于进入厂内最长列车的长度。</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6.4.11</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消防车道宽度不小于</w:t>
            </w:r>
            <w:r>
              <w:rPr>
                <w:rFonts w:hint="eastAsia"/>
                <w:color w:val="auto"/>
              </w:rPr>
              <w:t>4m</w:t>
            </w:r>
            <w:r>
              <w:rPr>
                <w:rFonts w:hint="eastAsia" w:ascii="宋体" w:hAnsi="宋体"/>
                <w:color w:val="auto"/>
              </w:rPr>
              <w:t>。</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40" w:lineRule="exact"/>
              <w:ind w:firstLineChars="0"/>
              <w:jc w:val="center"/>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ascii="宋体" w:hAnsi="宋体"/>
                <w:color w:val="auto"/>
                <w:kern w:val="0"/>
              </w:rPr>
              <w:t>厂区内道路的互相交叉宜采用平面交叉。平面交叉应设置在直线路段，并宜正交。当需要斜交时，交叉角不宜小于</w:t>
            </w:r>
            <w:r>
              <w:rPr>
                <w:color w:val="auto"/>
                <w:kern w:val="0"/>
              </w:rPr>
              <w:t>45°</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《工业企业总平面设计规范》</w:t>
            </w:r>
            <w:r>
              <w:rPr>
                <w:rFonts w:hint="eastAsia"/>
                <w:color w:val="auto"/>
              </w:rPr>
              <w:t>GB</w:t>
            </w:r>
            <w:r>
              <w:rPr>
                <w:color w:val="auto"/>
              </w:rPr>
              <w:t>50187-2012</w:t>
            </w:r>
            <w:r>
              <w:rPr>
                <w:rFonts w:hint="eastAsia" w:ascii="宋体" w:hAnsi="宋体"/>
                <w:color w:val="auto"/>
              </w:rPr>
              <w:t>第</w:t>
            </w:r>
            <w:r>
              <w:rPr>
                <w:color w:val="auto"/>
              </w:rPr>
              <w:t>6.4.13</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厂区道路基本采用正交平面交叉</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6" w:hRule="atLeast"/>
          <w:jc w:val="center"/>
        </w:trPr>
        <w:tc>
          <w:tcPr>
            <w:tcW w:w="9141" w:type="dxa"/>
            <w:gridSpan w:val="5"/>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kern w:val="0"/>
              </w:rPr>
              <w:t>四、建（构）筑物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hint="eastAsia" w:ascii="宋体" w:hAnsi="宋体"/>
                <w:color w:val="auto"/>
                <w:kern w:val="0"/>
              </w:rPr>
              <w:t>抗震设防为</w:t>
            </w:r>
            <w:r>
              <w:rPr>
                <w:rFonts w:hint="eastAsia"/>
                <w:color w:val="auto"/>
                <w:kern w:val="0"/>
              </w:rPr>
              <w:t>6</w:t>
            </w:r>
            <w:r>
              <w:rPr>
                <w:rFonts w:hint="eastAsia" w:ascii="宋体" w:hAnsi="宋体"/>
                <w:color w:val="auto"/>
                <w:kern w:val="0"/>
              </w:rPr>
              <w:t>度及以上地区的建筑，必须进行抗震设计。</w:t>
            </w:r>
          </w:p>
        </w:tc>
        <w:tc>
          <w:tcPr>
            <w:tcW w:w="1304" w:type="dxa"/>
            <w:tcBorders>
              <w:top w:val="single" w:color="auto" w:sz="4" w:space="0"/>
              <w:left w:val="nil"/>
              <w:bottom w:val="single" w:color="auto" w:sz="4" w:space="0"/>
              <w:right w:val="single" w:color="auto" w:sz="4" w:space="0"/>
            </w:tcBorders>
          </w:tcPr>
          <w:p>
            <w:pPr>
              <w:spacing w:line="260" w:lineRule="exact"/>
              <w:jc w:val="center"/>
              <w:rPr>
                <w:color w:val="auto"/>
                <w:kern w:val="0"/>
              </w:rPr>
            </w:pPr>
            <w:r>
              <w:rPr>
                <w:rFonts w:hint="eastAsia" w:ascii="宋体" w:hAnsi="宋体"/>
                <w:color w:val="auto"/>
                <w:kern w:val="0"/>
              </w:rPr>
              <w:t>《建筑抗震设计规范》</w:t>
            </w:r>
            <w:r>
              <w:rPr>
                <w:rFonts w:hint="eastAsia"/>
                <w:color w:val="auto"/>
                <w:kern w:val="0"/>
              </w:rPr>
              <w:t>1.0.2</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hint="eastAsia"/>
                <w:color w:val="auto"/>
                <w:kern w:val="0"/>
              </w:rPr>
              <w:t>6</w:t>
            </w:r>
            <w:r>
              <w:rPr>
                <w:rFonts w:hint="eastAsia" w:ascii="宋体" w:hAnsi="宋体"/>
                <w:color w:val="auto"/>
                <w:kern w:val="0"/>
              </w:rPr>
              <w:t>度地区，进行抗震设计。</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kern w:val="0"/>
              </w:rPr>
            </w:pPr>
            <w:r>
              <w:rPr>
                <w:rFonts w:hint="eastAsia" w:ascii="宋体" w:hAnsi="宋体"/>
                <w:color w:val="auto"/>
                <w:kern w:val="0"/>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spacing w:line="260" w:lineRule="exact"/>
              <w:rPr>
                <w:color w:val="auto"/>
                <w:kern w:val="0"/>
              </w:rPr>
            </w:pPr>
            <w:r>
              <w:rPr>
                <w:rFonts w:hint="eastAsia" w:ascii="宋体" w:hAnsi="宋体"/>
                <w:color w:val="auto"/>
                <w:kern w:val="0"/>
              </w:rPr>
              <w:t>所有建筑应按现行国家标准《建筑工程抗震设防分类标准》</w:t>
            </w:r>
            <w:r>
              <w:rPr>
                <w:rFonts w:hint="eastAsia"/>
                <w:color w:val="auto"/>
                <w:kern w:val="0"/>
              </w:rPr>
              <w:t>GB 50223</w:t>
            </w:r>
            <w:r>
              <w:rPr>
                <w:rFonts w:hint="eastAsia" w:ascii="宋体" w:hAnsi="宋体"/>
                <w:color w:val="auto"/>
                <w:kern w:val="0"/>
              </w:rPr>
              <w:t>确定其抗震设防类别。</w:t>
            </w:r>
          </w:p>
          <w:p>
            <w:pPr>
              <w:autoSpaceDE w:val="0"/>
              <w:autoSpaceDN w:val="0"/>
              <w:spacing w:line="260" w:lineRule="exact"/>
              <w:jc w:val="left"/>
              <w:rPr>
                <w:color w:val="auto"/>
                <w:kern w:val="0"/>
              </w:rPr>
            </w:pPr>
          </w:p>
        </w:tc>
        <w:tc>
          <w:tcPr>
            <w:tcW w:w="1304" w:type="dxa"/>
            <w:tcBorders>
              <w:top w:val="single" w:color="auto" w:sz="4" w:space="0"/>
              <w:left w:val="nil"/>
              <w:bottom w:val="single" w:color="auto" w:sz="4" w:space="0"/>
              <w:right w:val="single" w:color="auto" w:sz="4" w:space="0"/>
            </w:tcBorders>
          </w:tcPr>
          <w:p>
            <w:pPr>
              <w:spacing w:line="260" w:lineRule="exact"/>
              <w:jc w:val="center"/>
              <w:rPr>
                <w:color w:val="auto"/>
                <w:kern w:val="0"/>
              </w:rPr>
            </w:pPr>
            <w:r>
              <w:rPr>
                <w:rFonts w:hint="eastAsia" w:ascii="宋体" w:hAnsi="宋体"/>
                <w:color w:val="auto"/>
                <w:kern w:val="0"/>
              </w:rPr>
              <w:t>《</w:t>
            </w:r>
            <w:r>
              <w:rPr>
                <w:rFonts w:ascii="宋体" w:hAnsi="宋体"/>
                <w:color w:val="auto"/>
                <w:kern w:val="0"/>
              </w:rPr>
              <w:t>建筑抗震设计规范</w:t>
            </w:r>
            <w:r>
              <w:rPr>
                <w:rFonts w:hint="eastAsia" w:ascii="宋体" w:hAnsi="宋体"/>
                <w:color w:val="auto"/>
                <w:kern w:val="0"/>
              </w:rPr>
              <w:t>》</w:t>
            </w:r>
          </w:p>
          <w:p>
            <w:pPr>
              <w:spacing w:line="260" w:lineRule="exact"/>
              <w:jc w:val="center"/>
              <w:rPr>
                <w:color w:val="auto"/>
                <w:kern w:val="0"/>
              </w:rPr>
            </w:pPr>
            <w:r>
              <w:rPr>
                <w:rFonts w:hint="eastAsia"/>
                <w:color w:val="auto"/>
                <w:kern w:val="0"/>
              </w:rPr>
              <w:t>3.1.1</w:t>
            </w:r>
            <w:r>
              <w:rPr>
                <w:rFonts w:hint="eastAsia" w:ascii="宋体" w:hAnsi="宋体"/>
                <w:color w:val="auto"/>
                <w:kern w:val="0"/>
              </w:rPr>
              <w:t>表</w:t>
            </w:r>
            <w:r>
              <w:rPr>
                <w:rFonts w:hint="eastAsia"/>
                <w:color w:val="auto"/>
                <w:kern w:val="0"/>
              </w:rPr>
              <w:t>5.0.3</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hint="eastAsia"/>
                <w:color w:val="auto"/>
                <w:kern w:val="0"/>
              </w:rPr>
              <w:t>抗震拟按6度设计，甲、乙类设施拟提高一度设防</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kern w:val="0"/>
              </w:rPr>
            </w:pPr>
            <w:r>
              <w:rPr>
                <w:rFonts w:hint="eastAsia"/>
                <w:color w:val="auto"/>
                <w:kern w:val="0"/>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widowControl/>
              <w:adjustRightInd w:val="0"/>
              <w:snapToGrid w:val="0"/>
              <w:spacing w:line="260" w:lineRule="exact"/>
              <w:rPr>
                <w:color w:val="auto"/>
                <w:kern w:val="0"/>
              </w:rPr>
            </w:pPr>
            <w:r>
              <w:rPr>
                <w:rFonts w:hint="eastAsia" w:ascii="宋体" w:hAnsi="宋体"/>
                <w:color w:val="auto"/>
                <w:kern w:val="0"/>
              </w:rPr>
              <w:t>遇下列情况之一时，应划为二类防雷建筑物：</w:t>
            </w:r>
          </w:p>
          <w:p>
            <w:pPr>
              <w:widowControl/>
              <w:adjustRightInd w:val="0"/>
              <w:snapToGrid w:val="0"/>
              <w:spacing w:line="260" w:lineRule="exact"/>
              <w:rPr>
                <w:color w:val="auto"/>
                <w:kern w:val="0"/>
              </w:rPr>
            </w:pPr>
            <w:r>
              <w:rPr>
                <w:rFonts w:hint="eastAsia" w:ascii="宋体" w:hAnsi="宋体"/>
                <w:color w:val="auto"/>
                <w:kern w:val="0"/>
              </w:rPr>
              <w:t>具有</w:t>
            </w:r>
            <w:r>
              <w:rPr>
                <w:rFonts w:hint="eastAsia"/>
                <w:color w:val="auto"/>
                <w:kern w:val="0"/>
              </w:rPr>
              <w:t>1</w:t>
            </w:r>
            <w:r>
              <w:rPr>
                <w:rFonts w:hint="eastAsia" w:ascii="宋体" w:hAnsi="宋体"/>
                <w:color w:val="auto"/>
                <w:kern w:val="0"/>
              </w:rPr>
              <w:t>区或</w:t>
            </w:r>
            <w:r>
              <w:rPr>
                <w:rFonts w:hint="eastAsia"/>
                <w:color w:val="auto"/>
                <w:kern w:val="0"/>
              </w:rPr>
              <w:t>21</w:t>
            </w:r>
            <w:r>
              <w:rPr>
                <w:rFonts w:hint="eastAsia" w:ascii="宋体" w:hAnsi="宋体"/>
                <w:color w:val="auto"/>
                <w:kern w:val="0"/>
              </w:rPr>
              <w:t>区爆炸危险场所的建筑物，且电火花不易引起爆炸或不致引起巨大破坏和人身伤亡者。</w:t>
            </w:r>
          </w:p>
          <w:p>
            <w:pPr>
              <w:widowControl/>
              <w:adjustRightInd w:val="0"/>
              <w:snapToGrid w:val="0"/>
              <w:spacing w:line="260" w:lineRule="exact"/>
              <w:rPr>
                <w:color w:val="auto"/>
                <w:kern w:val="0"/>
              </w:rPr>
            </w:pPr>
            <w:r>
              <w:rPr>
                <w:rFonts w:hint="eastAsia" w:ascii="宋体" w:hAnsi="宋体"/>
                <w:color w:val="auto"/>
                <w:kern w:val="0"/>
              </w:rPr>
              <w:t>具有</w:t>
            </w:r>
            <w:r>
              <w:rPr>
                <w:rFonts w:hint="eastAsia"/>
                <w:color w:val="auto"/>
                <w:kern w:val="0"/>
              </w:rPr>
              <w:t>2</w:t>
            </w:r>
            <w:r>
              <w:rPr>
                <w:rFonts w:hint="eastAsia" w:ascii="宋体" w:hAnsi="宋体"/>
                <w:color w:val="auto"/>
                <w:kern w:val="0"/>
              </w:rPr>
              <w:t>区或</w:t>
            </w:r>
            <w:r>
              <w:rPr>
                <w:rFonts w:hint="eastAsia"/>
                <w:color w:val="auto"/>
                <w:kern w:val="0"/>
              </w:rPr>
              <w:t>22</w:t>
            </w:r>
            <w:r>
              <w:rPr>
                <w:rFonts w:hint="eastAsia" w:ascii="宋体" w:hAnsi="宋体"/>
                <w:color w:val="auto"/>
                <w:kern w:val="0"/>
              </w:rPr>
              <w:t>区爆炸危险场所的建筑物。</w:t>
            </w:r>
          </w:p>
          <w:p>
            <w:pPr>
              <w:widowControl/>
              <w:adjustRightInd w:val="0"/>
              <w:snapToGrid w:val="0"/>
              <w:spacing w:line="260" w:lineRule="exact"/>
              <w:rPr>
                <w:color w:val="auto"/>
                <w:kern w:val="0"/>
              </w:rPr>
            </w:pPr>
            <w:r>
              <w:rPr>
                <w:rFonts w:hint="eastAsia" w:ascii="宋体" w:hAnsi="宋体"/>
                <w:color w:val="auto"/>
                <w:kern w:val="0"/>
              </w:rPr>
              <w:t>有爆炸危险的露天钢质封闭气罐。</w:t>
            </w:r>
          </w:p>
          <w:p>
            <w:pPr>
              <w:autoSpaceDE w:val="0"/>
              <w:autoSpaceDN w:val="0"/>
              <w:spacing w:line="260" w:lineRule="exact"/>
              <w:jc w:val="left"/>
              <w:rPr>
                <w:color w:val="auto"/>
                <w:kern w:val="0"/>
              </w:rPr>
            </w:pPr>
            <w:r>
              <w:rPr>
                <w:rFonts w:hint="eastAsia" w:ascii="宋体" w:hAnsi="宋体"/>
                <w:color w:val="auto"/>
                <w:kern w:val="0"/>
              </w:rPr>
              <w:t>预计雷击次数大于</w:t>
            </w:r>
            <w:r>
              <w:rPr>
                <w:rFonts w:hint="eastAsia"/>
                <w:color w:val="auto"/>
                <w:kern w:val="0"/>
              </w:rPr>
              <w:t>0.25</w:t>
            </w:r>
            <w:r>
              <w:rPr>
                <w:rFonts w:hint="eastAsia" w:ascii="宋体" w:hAnsi="宋体"/>
                <w:color w:val="auto"/>
                <w:kern w:val="0"/>
              </w:rPr>
              <w:t>次</w:t>
            </w:r>
            <w:r>
              <w:rPr>
                <w:rFonts w:hint="eastAsia"/>
                <w:color w:val="auto"/>
                <w:kern w:val="0"/>
              </w:rPr>
              <w:t>/a</w:t>
            </w:r>
            <w:r>
              <w:rPr>
                <w:rFonts w:hint="eastAsia" w:ascii="宋体" w:hAnsi="宋体"/>
                <w:color w:val="auto"/>
                <w:kern w:val="0"/>
              </w:rPr>
              <w:t>的住宅、办公楼等一般性民用建筑及一般工业性工业建筑。</w:t>
            </w:r>
          </w:p>
        </w:tc>
        <w:tc>
          <w:tcPr>
            <w:tcW w:w="1304" w:type="dxa"/>
            <w:tcBorders>
              <w:top w:val="single" w:color="auto" w:sz="4" w:space="0"/>
              <w:left w:val="nil"/>
              <w:bottom w:val="single" w:color="auto" w:sz="4" w:space="0"/>
              <w:right w:val="single" w:color="auto" w:sz="4" w:space="0"/>
            </w:tcBorders>
          </w:tcPr>
          <w:p>
            <w:pPr>
              <w:spacing w:line="260" w:lineRule="exact"/>
              <w:jc w:val="center"/>
              <w:rPr>
                <w:color w:val="auto"/>
                <w:kern w:val="0"/>
              </w:rPr>
            </w:pPr>
            <w:r>
              <w:rPr>
                <w:rFonts w:hint="eastAsia" w:ascii="宋体" w:hAnsi="宋体"/>
                <w:color w:val="auto"/>
                <w:kern w:val="0"/>
              </w:rPr>
              <w:t>《建筑物防雷设计规范》</w:t>
            </w:r>
            <w:r>
              <w:rPr>
                <w:rFonts w:hint="eastAsia"/>
                <w:color w:val="auto"/>
                <w:kern w:val="0"/>
              </w:rPr>
              <w:t>GB50057-2010</w:t>
            </w:r>
          </w:p>
          <w:p>
            <w:pPr>
              <w:spacing w:line="260" w:lineRule="exact"/>
              <w:jc w:val="center"/>
              <w:rPr>
                <w:color w:val="auto"/>
                <w:kern w:val="0"/>
              </w:rPr>
            </w:pPr>
            <w:r>
              <w:rPr>
                <w:rFonts w:hint="eastAsia"/>
                <w:color w:val="auto"/>
                <w:kern w:val="0"/>
              </w:rPr>
              <w:t>3.0.3</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kern w:val="0"/>
              </w:rPr>
            </w:pPr>
            <w:r>
              <w:rPr>
                <w:rFonts w:hint="eastAsia"/>
                <w:color w:val="auto"/>
                <w:kern w:val="0"/>
              </w:rPr>
              <w:t>该项目甲类车间和仓库</w:t>
            </w:r>
            <w:r>
              <w:rPr>
                <w:rFonts w:hint="eastAsia" w:ascii="宋体" w:hAnsi="宋体"/>
                <w:color w:val="auto"/>
                <w:kern w:val="0"/>
              </w:rPr>
              <w:t>按二类防雷设防</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kern w:val="0"/>
              </w:rPr>
            </w:pPr>
            <w:r>
              <w:rPr>
                <w:rFonts w:hint="eastAsia" w:ascii="宋体" w:hAnsi="宋体"/>
                <w:color w:val="auto"/>
                <w:kern w:val="0"/>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ascii="宋体" w:hAnsi="宋体"/>
                <w:color w:val="auto"/>
                <w:kern w:val="0"/>
              </w:rPr>
              <w:t>建筑物的耐火等级应符合第</w:t>
            </w:r>
            <w:r>
              <w:rPr>
                <w:color w:val="auto"/>
                <w:kern w:val="0"/>
              </w:rPr>
              <w:t>3.2.1</w:t>
            </w:r>
            <w:r>
              <w:rPr>
                <w:rFonts w:ascii="宋体" w:hAnsi="宋体"/>
                <w:color w:val="auto"/>
                <w:kern w:val="0"/>
              </w:rPr>
              <w:t>条的规定</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r>
              <w:rPr>
                <w:rFonts w:ascii="宋体" w:hAnsi="宋体"/>
                <w:color w:val="auto"/>
              </w:rPr>
              <w:t>（</w:t>
            </w:r>
            <w:r>
              <w:rPr>
                <w:color w:val="auto"/>
              </w:rPr>
              <w:t>2018</w:t>
            </w:r>
            <w:r>
              <w:rPr>
                <w:rFonts w:ascii="宋体" w:hAnsi="宋体"/>
                <w:color w:val="auto"/>
              </w:rPr>
              <w:t>年版）</w:t>
            </w:r>
          </w:p>
          <w:p>
            <w:pPr>
              <w:spacing w:line="250" w:lineRule="exact"/>
              <w:jc w:val="center"/>
              <w:rPr>
                <w:color w:val="auto"/>
              </w:rPr>
            </w:pPr>
            <w:r>
              <w:rPr>
                <w:rFonts w:ascii="宋体" w:hAnsi="宋体"/>
                <w:color w:val="auto"/>
              </w:rPr>
              <w:t>第</w:t>
            </w:r>
            <w:r>
              <w:rPr>
                <w:color w:val="auto"/>
              </w:rPr>
              <w:t>3.2.1</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ascii="宋体" w:hAnsi="宋体"/>
                <w:color w:val="auto"/>
              </w:rPr>
              <w:t>建筑物的耐火等级为二级</w:t>
            </w:r>
            <w:r>
              <w:rPr>
                <w:rFonts w:hint="eastAsia" w:ascii="宋体" w:hAnsi="宋体"/>
                <w:color w:val="auto"/>
              </w:rPr>
              <w:t>及以上</w:t>
            </w:r>
            <w:r>
              <w:rPr>
                <w:rFonts w:ascii="宋体" w:hAnsi="宋体"/>
                <w:color w:val="auto"/>
              </w:rPr>
              <w:t>，符合规定的要求</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ascii="宋体" w:hAnsi="宋体"/>
                <w:color w:val="auto"/>
                <w:kern w:val="0"/>
              </w:rPr>
              <w:t>厂房（仓库）的层数和每个防火分区的最大允许建筑面积除该规范另有规定者外，应符合表</w:t>
            </w:r>
            <w:r>
              <w:rPr>
                <w:color w:val="auto"/>
                <w:kern w:val="0"/>
              </w:rPr>
              <w:t>3.3.1</w:t>
            </w:r>
            <w:r>
              <w:rPr>
                <w:rFonts w:ascii="宋体" w:hAnsi="宋体"/>
                <w:color w:val="auto"/>
                <w:kern w:val="0"/>
              </w:rPr>
              <w:t>、</w:t>
            </w:r>
            <w:r>
              <w:rPr>
                <w:color w:val="auto"/>
                <w:kern w:val="0"/>
              </w:rPr>
              <w:t>3.3.2</w:t>
            </w:r>
            <w:r>
              <w:rPr>
                <w:rFonts w:ascii="宋体" w:hAnsi="宋体"/>
                <w:color w:val="auto"/>
                <w:kern w:val="0"/>
              </w:rPr>
              <w:t>的规定。</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r>
              <w:rPr>
                <w:rFonts w:ascii="宋体" w:hAnsi="宋体"/>
                <w:color w:val="auto"/>
              </w:rPr>
              <w:t>（</w:t>
            </w:r>
            <w:r>
              <w:rPr>
                <w:color w:val="auto"/>
              </w:rPr>
              <w:t>2018</w:t>
            </w:r>
            <w:r>
              <w:rPr>
                <w:rFonts w:ascii="宋体" w:hAnsi="宋体"/>
                <w:color w:val="auto"/>
              </w:rPr>
              <w:t>年版）</w:t>
            </w:r>
          </w:p>
          <w:p>
            <w:pPr>
              <w:spacing w:line="250" w:lineRule="exact"/>
              <w:jc w:val="center"/>
              <w:rPr>
                <w:color w:val="auto"/>
              </w:rPr>
            </w:pPr>
            <w:r>
              <w:rPr>
                <w:rFonts w:ascii="宋体" w:hAnsi="宋体"/>
                <w:color w:val="auto"/>
              </w:rPr>
              <w:t>第</w:t>
            </w:r>
            <w:r>
              <w:rPr>
                <w:color w:val="auto"/>
              </w:rPr>
              <w:t>3.3.1</w:t>
            </w:r>
            <w:r>
              <w:rPr>
                <w:rFonts w:hint="eastAsia" w:ascii="宋体" w:hAnsi="宋体"/>
                <w:color w:val="auto"/>
              </w:rPr>
              <w:t>、</w:t>
            </w:r>
            <w:r>
              <w:rPr>
                <w:rFonts w:hint="eastAsia"/>
                <w:color w:val="auto"/>
              </w:rPr>
              <w:t>3</w:t>
            </w:r>
            <w:r>
              <w:rPr>
                <w:color w:val="auto"/>
              </w:rPr>
              <w:t>.3.2</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hint="eastAsia" w:ascii="宋体" w:hAnsi="宋体"/>
                <w:color w:val="auto"/>
              </w:rPr>
              <w:t>见表C</w:t>
            </w:r>
            <w:r>
              <w:rPr>
                <w:rFonts w:ascii="宋体" w:hAnsi="宋体"/>
                <w:color w:val="auto"/>
              </w:rPr>
              <w:t>.1.6</w:t>
            </w:r>
            <w:r>
              <w:rPr>
                <w:rFonts w:hint="eastAsia" w:ascii="宋体" w:hAnsi="宋体"/>
                <w:color w:val="auto"/>
              </w:rPr>
              <w:t>。</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rFonts w:ascii="宋体" w:hAnsi="宋体"/>
                <w:color w:val="auto"/>
              </w:rPr>
            </w:pPr>
            <w:r>
              <w:rPr>
                <w:rFonts w:hint="eastAsia" w:ascii="宋体" w:hAnsi="宋体"/>
                <w:color w:val="auto"/>
              </w:rPr>
              <w:t>符合</w:t>
            </w:r>
          </w:p>
          <w:p>
            <w:pPr>
              <w:spacing w:line="25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rFonts w:ascii="宋体" w:hAnsi="宋体"/>
                <w:color w:val="auto"/>
                <w:kern w:val="0"/>
              </w:rPr>
            </w:pPr>
            <w:r>
              <w:rPr>
                <w:rFonts w:ascii="宋体" w:hAnsi="宋体"/>
                <w:color w:val="auto"/>
                <w:kern w:val="0"/>
              </w:rPr>
              <w:t>厂房内严禁设置员工宿舍。</w:t>
            </w:r>
          </w:p>
          <w:p>
            <w:pPr>
              <w:autoSpaceDE w:val="0"/>
              <w:autoSpaceDN w:val="0"/>
              <w:spacing w:line="250" w:lineRule="exact"/>
              <w:jc w:val="left"/>
              <w:rPr>
                <w:color w:val="auto"/>
                <w:kern w:val="0"/>
              </w:rPr>
            </w:pPr>
            <w:r>
              <w:rPr>
                <w:rFonts w:ascii="宋体" w:hAnsi="宋体"/>
                <w:color w:val="auto"/>
                <w:kern w:val="0"/>
              </w:rPr>
              <w:t>办公室、休息室等不应设置在甲、乙类厂房内。</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p>
          <w:p>
            <w:pPr>
              <w:spacing w:line="250" w:lineRule="exact"/>
              <w:jc w:val="center"/>
              <w:rPr>
                <w:color w:val="auto"/>
              </w:rPr>
            </w:pPr>
            <w:r>
              <w:rPr>
                <w:rFonts w:ascii="宋体" w:hAnsi="宋体"/>
                <w:color w:val="auto"/>
              </w:rPr>
              <w:t>（</w:t>
            </w:r>
            <w:r>
              <w:rPr>
                <w:color w:val="auto"/>
              </w:rPr>
              <w:t>2018</w:t>
            </w:r>
            <w:r>
              <w:rPr>
                <w:rFonts w:ascii="宋体" w:hAnsi="宋体"/>
                <w:color w:val="auto"/>
              </w:rPr>
              <w:t>年版）</w:t>
            </w:r>
          </w:p>
          <w:p>
            <w:pPr>
              <w:spacing w:line="250" w:lineRule="exact"/>
              <w:jc w:val="center"/>
              <w:rPr>
                <w:color w:val="auto"/>
              </w:rPr>
            </w:pPr>
            <w:r>
              <w:rPr>
                <w:rFonts w:ascii="宋体" w:hAnsi="宋体"/>
                <w:color w:val="auto"/>
              </w:rPr>
              <w:t>第</w:t>
            </w:r>
            <w:r>
              <w:rPr>
                <w:color w:val="auto"/>
              </w:rPr>
              <w:t>3.3.5</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ascii="宋体" w:hAnsi="宋体"/>
                <w:color w:val="auto"/>
              </w:rPr>
              <w:t>厂房内无员工宿舍，</w:t>
            </w:r>
            <w:r>
              <w:rPr>
                <w:rFonts w:hint="eastAsia" w:ascii="宋体" w:hAnsi="宋体"/>
                <w:color w:val="auto"/>
              </w:rPr>
              <w:t>办公室、休息室等</w:t>
            </w:r>
            <w:r>
              <w:rPr>
                <w:color w:val="auto"/>
              </w:rPr>
              <w:t xml:space="preserve"> </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ascii="宋体" w:hAnsi="宋体"/>
                <w:color w:val="auto"/>
                <w:kern w:val="0"/>
              </w:rPr>
              <w:t>变、配电所不应设置在甲、乙类厂房内或贴邻建造，且不应设置在爆炸性气体、粉尘环境的危险区域内。</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p>
          <w:p>
            <w:pPr>
              <w:spacing w:line="250" w:lineRule="exact"/>
              <w:jc w:val="center"/>
              <w:rPr>
                <w:color w:val="auto"/>
              </w:rPr>
            </w:pPr>
            <w:r>
              <w:rPr>
                <w:rFonts w:ascii="宋体" w:hAnsi="宋体"/>
                <w:color w:val="auto"/>
              </w:rPr>
              <w:t>（</w:t>
            </w:r>
            <w:r>
              <w:rPr>
                <w:color w:val="auto"/>
              </w:rPr>
              <w:t>2018</w:t>
            </w:r>
            <w:r>
              <w:rPr>
                <w:rFonts w:ascii="宋体" w:hAnsi="宋体"/>
                <w:color w:val="auto"/>
              </w:rPr>
              <w:t>年版）</w:t>
            </w:r>
          </w:p>
          <w:p>
            <w:pPr>
              <w:spacing w:line="250" w:lineRule="exact"/>
              <w:jc w:val="center"/>
              <w:rPr>
                <w:color w:val="auto"/>
              </w:rPr>
            </w:pPr>
            <w:r>
              <w:rPr>
                <w:rFonts w:ascii="宋体" w:hAnsi="宋体"/>
                <w:color w:val="auto"/>
              </w:rPr>
              <w:t>第</w:t>
            </w:r>
            <w:r>
              <w:rPr>
                <w:color w:val="auto"/>
              </w:rPr>
              <w:t>3.3.8</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hint="eastAsia" w:ascii="宋体" w:hAnsi="宋体"/>
                <w:color w:val="auto"/>
              </w:rPr>
              <w:t>变配电所未</w:t>
            </w:r>
            <w:r>
              <w:rPr>
                <w:rFonts w:ascii="宋体" w:hAnsi="宋体"/>
                <w:color w:val="auto"/>
              </w:rPr>
              <w:t>设置在甲、乙类厂房内或贴邻建造。</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ascii="宋体" w:hAnsi="宋体"/>
                <w:color w:val="auto"/>
                <w:kern w:val="0"/>
              </w:rPr>
              <w:t>仓库内严禁设置员工宿舍。</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p>
          <w:p>
            <w:pPr>
              <w:spacing w:line="250" w:lineRule="exact"/>
              <w:jc w:val="center"/>
              <w:rPr>
                <w:color w:val="auto"/>
              </w:rPr>
            </w:pPr>
            <w:r>
              <w:rPr>
                <w:rFonts w:ascii="宋体" w:hAnsi="宋体"/>
                <w:color w:val="auto"/>
              </w:rPr>
              <w:t>（</w:t>
            </w:r>
            <w:r>
              <w:rPr>
                <w:color w:val="auto"/>
              </w:rPr>
              <w:t>2018</w:t>
            </w:r>
            <w:r>
              <w:rPr>
                <w:rFonts w:ascii="宋体" w:hAnsi="宋体"/>
                <w:color w:val="auto"/>
              </w:rPr>
              <w:t>年版）</w:t>
            </w:r>
          </w:p>
          <w:p>
            <w:pPr>
              <w:spacing w:line="250" w:lineRule="exact"/>
              <w:jc w:val="center"/>
              <w:rPr>
                <w:color w:val="auto"/>
              </w:rPr>
            </w:pPr>
            <w:r>
              <w:rPr>
                <w:rFonts w:ascii="宋体" w:hAnsi="宋体"/>
                <w:color w:val="auto"/>
              </w:rPr>
              <w:t>第</w:t>
            </w:r>
            <w:r>
              <w:rPr>
                <w:color w:val="auto"/>
              </w:rPr>
              <w:t>3.3.9</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ascii="宋体" w:hAnsi="宋体"/>
                <w:color w:val="auto"/>
              </w:rPr>
              <w:t>仓库内无员工宿舍。</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ascii="宋体" w:hAnsi="宋体"/>
                <w:color w:val="auto"/>
                <w:kern w:val="0"/>
              </w:rPr>
              <w:t>厂区围墙与厂区内建筑的间距不宜小于</w:t>
            </w:r>
            <w:r>
              <w:rPr>
                <w:color w:val="auto"/>
                <w:kern w:val="0"/>
              </w:rPr>
              <w:t xml:space="preserve"> 5m</w:t>
            </w:r>
            <w:r>
              <w:rPr>
                <w:rFonts w:ascii="宋体" w:hAnsi="宋体"/>
                <w:color w:val="auto"/>
                <w:kern w:val="0"/>
              </w:rPr>
              <w:t>， 围墙两侧建筑的间距应满足相应建筑的防火间距要求。</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《建筑设计防火规范》</w:t>
            </w:r>
            <w:r>
              <w:rPr>
                <w:color w:val="auto"/>
              </w:rPr>
              <w:t>GB50016-2014</w:t>
            </w:r>
          </w:p>
          <w:p>
            <w:pPr>
              <w:spacing w:line="250" w:lineRule="exact"/>
              <w:jc w:val="center"/>
              <w:rPr>
                <w:color w:val="auto"/>
              </w:rPr>
            </w:pPr>
            <w:r>
              <w:rPr>
                <w:rFonts w:hint="eastAsia" w:ascii="宋体" w:hAnsi="宋体"/>
                <w:color w:val="auto"/>
              </w:rPr>
              <w:t>（</w:t>
            </w:r>
            <w:r>
              <w:rPr>
                <w:rFonts w:hint="eastAsia"/>
                <w:color w:val="auto"/>
              </w:rPr>
              <w:t>2018</w:t>
            </w:r>
            <w:r>
              <w:rPr>
                <w:rFonts w:hint="eastAsia" w:ascii="宋体" w:hAnsi="宋体"/>
                <w:color w:val="auto"/>
              </w:rPr>
              <w:t>年版）</w:t>
            </w:r>
          </w:p>
          <w:p>
            <w:pPr>
              <w:spacing w:line="250" w:lineRule="exact"/>
              <w:jc w:val="center"/>
              <w:rPr>
                <w:color w:val="auto"/>
              </w:rPr>
            </w:pPr>
            <w:r>
              <w:rPr>
                <w:rFonts w:ascii="宋体" w:hAnsi="宋体"/>
                <w:color w:val="auto"/>
              </w:rPr>
              <w:t>第</w:t>
            </w:r>
            <w:r>
              <w:rPr>
                <w:color w:val="auto"/>
              </w:rPr>
              <w:t>3.4.12</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ascii="宋体" w:hAnsi="宋体"/>
                <w:color w:val="auto"/>
              </w:rPr>
              <w:t>见本报告表</w:t>
            </w:r>
            <w:r>
              <w:rPr>
                <w:color w:val="auto"/>
              </w:rPr>
              <w:t>2.6-2</w:t>
            </w:r>
            <w:r>
              <w:rPr>
                <w:rFonts w:ascii="宋体" w:hAnsi="宋体"/>
                <w:color w:val="auto"/>
              </w:rPr>
              <w:t>。</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p>
          <w:p>
            <w:pPr>
              <w:spacing w:line="250" w:lineRule="exact"/>
              <w:jc w:val="center"/>
              <w:rPr>
                <w:color w:val="auto"/>
              </w:rPr>
            </w:pPr>
            <w:r>
              <w:rPr>
                <w:rFonts w:ascii="宋体" w:hAnsi="宋体"/>
                <w:color w:val="auto"/>
              </w:rPr>
              <w:t>符合</w:t>
            </w:r>
          </w:p>
          <w:p>
            <w:pPr>
              <w:spacing w:line="250" w:lineRule="exact"/>
              <w:jc w:val="center"/>
              <w:rPr>
                <w:color w:val="auto"/>
              </w:rPr>
            </w:pPr>
            <w:r>
              <w:rPr>
                <w:rFonts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hint="eastAsia" w:ascii="宋体" w:hAnsi="宋体"/>
                <w:color w:val="auto"/>
                <w:kern w:val="0"/>
              </w:rPr>
              <w:t>具有化学灼伤危险的生产装置，其设备布置应保证作业场所有足够空间，并保证作业场所畅通，避免交叉作业。如果交叉作业不可避免，在危险作业点应采取避免化学灼伤危险的防护措施。</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《化工企业安全卫生设计规范》</w:t>
            </w:r>
            <w:r>
              <w:rPr>
                <w:rFonts w:hint="eastAsia"/>
                <w:color w:val="auto"/>
              </w:rPr>
              <w:t>HG</w:t>
            </w:r>
            <w:r>
              <w:rPr>
                <w:color w:val="auto"/>
              </w:rPr>
              <w:t>20571-2014</w:t>
            </w:r>
            <w:r>
              <w:rPr>
                <w:rFonts w:hint="eastAsia" w:ascii="宋体" w:hAnsi="宋体"/>
                <w:color w:val="auto"/>
              </w:rPr>
              <w:t>第</w:t>
            </w:r>
            <w:r>
              <w:rPr>
                <w:rFonts w:hint="eastAsia"/>
                <w:color w:val="auto"/>
              </w:rPr>
              <w:t>5</w:t>
            </w:r>
            <w:r>
              <w:rPr>
                <w:color w:val="auto"/>
              </w:rPr>
              <w:t>.6.3</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hint="eastAsia" w:ascii="宋体" w:hAnsi="宋体"/>
                <w:color w:val="auto"/>
              </w:rPr>
              <w:t>具有化学灼烫物质场所设置洗眼喷淋器</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rFonts w:ascii="宋体" w:hAnsi="宋体"/>
                <w:color w:val="auto"/>
              </w:rPr>
            </w:pPr>
            <w:r>
              <w:rPr>
                <w:rFonts w:hint="eastAsia" w:ascii="宋体" w:hAnsi="宋体"/>
                <w:color w:val="auto"/>
              </w:rPr>
              <w:t>符合</w:t>
            </w:r>
          </w:p>
          <w:p>
            <w:pPr>
              <w:spacing w:line="25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spacing w:line="250" w:lineRule="exact"/>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50" w:lineRule="exact"/>
              <w:jc w:val="left"/>
              <w:rPr>
                <w:color w:val="auto"/>
                <w:kern w:val="0"/>
              </w:rPr>
            </w:pPr>
            <w:r>
              <w:rPr>
                <w:rFonts w:hint="eastAsia" w:ascii="宋体" w:hAnsi="宋体"/>
                <w:color w:val="auto"/>
                <w:kern w:val="0"/>
              </w:rPr>
              <w:t>具有化学灼伤危险的作业场所，应设计洗眼器、淋洗器等安全防护措施，洗眼器、淋洗器的服务半径应不大于</w:t>
            </w:r>
            <w:r>
              <w:rPr>
                <w:rFonts w:hint="eastAsia"/>
                <w:color w:val="auto"/>
                <w:kern w:val="0"/>
              </w:rPr>
              <w:t>1</w:t>
            </w:r>
            <w:r>
              <w:rPr>
                <w:color w:val="auto"/>
                <w:kern w:val="0"/>
              </w:rPr>
              <w:t>5</w:t>
            </w:r>
            <w:r>
              <w:rPr>
                <w:rFonts w:hint="eastAsia"/>
                <w:color w:val="auto"/>
                <w:kern w:val="0"/>
              </w:rPr>
              <w:t>m</w:t>
            </w:r>
            <w:r>
              <w:rPr>
                <w:rFonts w:hint="eastAsia" w:ascii="宋体" w:hAnsi="宋体"/>
                <w:color w:val="auto"/>
                <w:kern w:val="0"/>
              </w:rPr>
              <w:t>。</w:t>
            </w:r>
            <w:r>
              <w:rPr>
                <w:rFonts w:ascii="宋体" w:hAnsi="宋体"/>
                <w:color w:val="auto"/>
                <w:kern w:val="0"/>
              </w:rPr>
              <w:t>淋洗器、洗眼器的冲洗水上水水质应符合现行国家标准《生活饮用水卫生标准》</w:t>
            </w:r>
            <w:r>
              <w:rPr>
                <w:color w:val="auto"/>
                <w:kern w:val="0"/>
              </w:rPr>
              <w:t>GB5749</w:t>
            </w:r>
            <w:r>
              <w:rPr>
                <w:rFonts w:ascii="宋体" w:hAnsi="宋体"/>
                <w:color w:val="auto"/>
                <w:kern w:val="0"/>
              </w:rPr>
              <w:t>的规定，并应为不间断供水；淋洗器、洗眼器的排水应纳入工厂污水管网，并在装置区安全位置设置救护箱。工作人员配备必要的个人防护用品。</w:t>
            </w:r>
          </w:p>
        </w:tc>
        <w:tc>
          <w:tcPr>
            <w:tcW w:w="1304" w:type="dxa"/>
            <w:tcBorders>
              <w:top w:val="single" w:color="auto" w:sz="4" w:space="0"/>
              <w:left w:val="nil"/>
              <w:bottom w:val="single" w:color="auto" w:sz="4" w:space="0"/>
              <w:right w:val="single" w:color="auto" w:sz="4" w:space="0"/>
            </w:tcBorders>
            <w:vAlign w:val="center"/>
          </w:tcPr>
          <w:p>
            <w:pPr>
              <w:spacing w:line="250" w:lineRule="exact"/>
              <w:jc w:val="center"/>
              <w:rPr>
                <w:color w:val="auto"/>
              </w:rPr>
            </w:pPr>
            <w:r>
              <w:rPr>
                <w:rFonts w:hint="eastAsia" w:ascii="宋体" w:hAnsi="宋体"/>
                <w:color w:val="auto"/>
              </w:rPr>
              <w:t>《化工企业安全卫生设计规范》</w:t>
            </w:r>
            <w:r>
              <w:rPr>
                <w:rFonts w:hint="eastAsia"/>
                <w:color w:val="auto"/>
              </w:rPr>
              <w:t>HG</w:t>
            </w:r>
            <w:r>
              <w:rPr>
                <w:color w:val="auto"/>
              </w:rPr>
              <w:t>20571-2014</w:t>
            </w:r>
            <w:r>
              <w:rPr>
                <w:rFonts w:hint="eastAsia" w:ascii="宋体" w:hAnsi="宋体"/>
                <w:color w:val="auto"/>
              </w:rPr>
              <w:t>第</w:t>
            </w:r>
            <w:r>
              <w:rPr>
                <w:rFonts w:hint="eastAsia"/>
                <w:color w:val="auto"/>
              </w:rPr>
              <w:t>5</w:t>
            </w:r>
            <w:r>
              <w:rPr>
                <w:color w:val="auto"/>
              </w:rPr>
              <w:t>.6.4</w:t>
            </w:r>
            <w:r>
              <w:rPr>
                <w:rFonts w:hint="eastAsia"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50" w:lineRule="exact"/>
              <w:rPr>
                <w:color w:val="auto"/>
              </w:rPr>
            </w:pPr>
            <w:r>
              <w:rPr>
                <w:rFonts w:hint="eastAsia" w:ascii="宋体" w:hAnsi="宋体"/>
                <w:color w:val="auto"/>
              </w:rPr>
              <w:t>具有化学灼烫物质场所设置洗眼喷淋器</w:t>
            </w:r>
          </w:p>
        </w:tc>
        <w:tc>
          <w:tcPr>
            <w:tcW w:w="741" w:type="dxa"/>
            <w:tcBorders>
              <w:top w:val="single" w:color="auto" w:sz="4" w:space="0"/>
              <w:left w:val="nil"/>
              <w:bottom w:val="single" w:color="auto" w:sz="4" w:space="0"/>
              <w:right w:val="single" w:color="auto" w:sz="4" w:space="0"/>
            </w:tcBorders>
            <w:vAlign w:val="center"/>
          </w:tcPr>
          <w:p>
            <w:pPr>
              <w:spacing w:line="250" w:lineRule="exact"/>
              <w:jc w:val="center"/>
              <w:rPr>
                <w:rFonts w:ascii="宋体" w:hAnsi="宋体"/>
                <w:color w:val="auto"/>
              </w:rPr>
            </w:pPr>
            <w:r>
              <w:rPr>
                <w:rFonts w:hint="eastAsia" w:ascii="宋体" w:hAnsi="宋体"/>
                <w:color w:val="auto"/>
              </w:rPr>
              <w:t>符合</w:t>
            </w:r>
          </w:p>
          <w:p>
            <w:pPr>
              <w:spacing w:line="250" w:lineRule="exact"/>
              <w:jc w:val="center"/>
              <w:rPr>
                <w:color w:val="auto"/>
              </w:rPr>
            </w:pPr>
            <w:r>
              <w:rPr>
                <w:rFonts w:hint="eastAsia" w:ascii="宋体" w:hAnsi="宋体"/>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9141" w:type="dxa"/>
            <w:gridSpan w:val="5"/>
            <w:tcBorders>
              <w:top w:val="single" w:color="auto" w:sz="4" w:space="0"/>
              <w:left w:val="single" w:color="auto" w:sz="4" w:space="0"/>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kern w:val="0"/>
              </w:rPr>
              <w:t>四、消防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pStyle w:val="93"/>
              <w:numPr>
                <w:ilvl w:val="0"/>
                <w:numId w:val="36"/>
              </w:numPr>
              <w:ind w:firstLineChars="0"/>
              <w:rPr>
                <w:color w:val="auto"/>
                <w:sz w:val="21"/>
                <w:szCs w:val="21"/>
              </w:rPr>
            </w:pPr>
          </w:p>
        </w:tc>
        <w:tc>
          <w:tcPr>
            <w:tcW w:w="4745" w:type="dxa"/>
            <w:tcBorders>
              <w:top w:val="single" w:color="auto" w:sz="4" w:space="0"/>
              <w:left w:val="nil"/>
              <w:bottom w:val="single" w:color="auto" w:sz="4" w:space="0"/>
              <w:right w:val="single" w:color="auto" w:sz="4" w:space="0"/>
            </w:tcBorders>
            <w:vAlign w:val="center"/>
          </w:tcPr>
          <w:p>
            <w:pPr>
              <w:autoSpaceDE w:val="0"/>
              <w:autoSpaceDN w:val="0"/>
              <w:spacing w:line="260" w:lineRule="exact"/>
              <w:jc w:val="left"/>
              <w:rPr>
                <w:color w:val="auto"/>
                <w:kern w:val="0"/>
              </w:rPr>
            </w:pPr>
            <w:r>
              <w:rPr>
                <w:rFonts w:hint="eastAsia" w:ascii="宋体" w:hAnsi="宋体"/>
                <w:color w:val="auto"/>
                <w:kern w:val="0"/>
              </w:rPr>
              <w:t>城镇（包括居住区、商业区、开发区、工业区等）应沿可通行消防车的街道设置市政消火栓系统。民用建筑、厂房、仓库、储罐（区）和堆场周围应设置室外消火栓系统。用于消防救援和消防车停靠的屋面上，应设置室外消火栓系统。注：耐火等级不低于二级且建筑体积不大于</w:t>
            </w:r>
            <w:r>
              <w:rPr>
                <w:rFonts w:hint="eastAsia"/>
                <w:color w:val="auto"/>
                <w:kern w:val="0"/>
              </w:rPr>
              <w:t>3000m3</w:t>
            </w:r>
            <w:r>
              <w:rPr>
                <w:rFonts w:hint="eastAsia" w:ascii="宋体" w:hAnsi="宋体"/>
                <w:color w:val="auto"/>
                <w:kern w:val="0"/>
              </w:rPr>
              <w:t>的戊类厂房，居住区人数不超过</w:t>
            </w:r>
            <w:r>
              <w:rPr>
                <w:rFonts w:hint="eastAsia"/>
                <w:color w:val="auto"/>
                <w:kern w:val="0"/>
              </w:rPr>
              <w:t>500</w:t>
            </w:r>
            <w:r>
              <w:rPr>
                <w:rFonts w:hint="eastAsia" w:ascii="宋体" w:hAnsi="宋体"/>
                <w:color w:val="auto"/>
                <w:kern w:val="0"/>
              </w:rPr>
              <w:t>人且建筑层数不超过两层的居住区，可不设置室外消火栓系统。</w:t>
            </w:r>
          </w:p>
        </w:tc>
        <w:tc>
          <w:tcPr>
            <w:tcW w:w="1304"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《建筑设计防火规范》</w:t>
            </w:r>
            <w:r>
              <w:rPr>
                <w:color w:val="auto"/>
              </w:rPr>
              <w:t>GB50016-2014</w:t>
            </w:r>
          </w:p>
          <w:p>
            <w:pPr>
              <w:spacing w:line="260" w:lineRule="exact"/>
              <w:jc w:val="center"/>
              <w:rPr>
                <w:color w:val="auto"/>
              </w:rPr>
            </w:pPr>
            <w:r>
              <w:rPr>
                <w:rFonts w:hint="eastAsia" w:ascii="宋体" w:hAnsi="宋体"/>
                <w:color w:val="auto"/>
              </w:rPr>
              <w:t>（</w:t>
            </w:r>
            <w:r>
              <w:rPr>
                <w:rFonts w:hint="eastAsia"/>
                <w:color w:val="auto"/>
              </w:rPr>
              <w:t>2018</w:t>
            </w:r>
            <w:r>
              <w:rPr>
                <w:rFonts w:hint="eastAsia" w:ascii="宋体" w:hAnsi="宋体"/>
                <w:color w:val="auto"/>
              </w:rPr>
              <w:t>年版）</w:t>
            </w:r>
          </w:p>
          <w:p>
            <w:pPr>
              <w:spacing w:line="260" w:lineRule="exact"/>
              <w:jc w:val="center"/>
              <w:rPr>
                <w:color w:val="auto"/>
              </w:rPr>
            </w:pPr>
            <w:r>
              <w:rPr>
                <w:rFonts w:ascii="宋体" w:hAnsi="宋体"/>
                <w:color w:val="auto"/>
              </w:rPr>
              <w:t>第</w:t>
            </w:r>
            <w:r>
              <w:rPr>
                <w:rFonts w:hint="eastAsia"/>
                <w:color w:val="auto"/>
              </w:rPr>
              <w:t>8.1.2</w:t>
            </w:r>
            <w:r>
              <w:rPr>
                <w:rFonts w:ascii="宋体" w:hAnsi="宋体"/>
                <w:color w:val="auto"/>
              </w:rPr>
              <w:t>条</w:t>
            </w:r>
          </w:p>
        </w:tc>
        <w:tc>
          <w:tcPr>
            <w:tcW w:w="1843" w:type="dxa"/>
            <w:tcBorders>
              <w:top w:val="single" w:color="auto" w:sz="4" w:space="0"/>
              <w:left w:val="nil"/>
              <w:bottom w:val="single" w:color="auto" w:sz="4" w:space="0"/>
              <w:right w:val="single" w:color="auto" w:sz="4" w:space="0"/>
            </w:tcBorders>
            <w:vAlign w:val="center"/>
          </w:tcPr>
          <w:p>
            <w:pPr>
              <w:autoSpaceDE w:val="0"/>
              <w:autoSpaceDN w:val="0"/>
              <w:adjustRightInd w:val="0"/>
              <w:spacing w:line="260" w:lineRule="exact"/>
              <w:rPr>
                <w:color w:val="auto"/>
              </w:rPr>
            </w:pPr>
            <w:r>
              <w:rPr>
                <w:rFonts w:hint="eastAsia" w:ascii="宋体" w:hAnsi="宋体"/>
                <w:color w:val="auto"/>
              </w:rPr>
              <w:t>可研已考虑</w:t>
            </w:r>
          </w:p>
        </w:tc>
        <w:tc>
          <w:tcPr>
            <w:tcW w:w="741" w:type="dxa"/>
            <w:tcBorders>
              <w:top w:val="single" w:color="auto" w:sz="4" w:space="0"/>
              <w:left w:val="nil"/>
              <w:bottom w:val="single" w:color="auto" w:sz="4" w:space="0"/>
              <w:right w:val="single" w:color="auto" w:sz="4" w:space="0"/>
            </w:tcBorders>
            <w:vAlign w:val="center"/>
          </w:tcPr>
          <w:p>
            <w:pPr>
              <w:spacing w:line="260" w:lineRule="exact"/>
              <w:jc w:val="center"/>
              <w:rPr>
                <w:color w:val="auto"/>
              </w:rPr>
            </w:pPr>
            <w:r>
              <w:rPr>
                <w:rFonts w:hint="eastAsia" w:ascii="宋体" w:hAnsi="宋体"/>
                <w:color w:val="auto"/>
              </w:rPr>
              <w:t>符合</w:t>
            </w:r>
          </w:p>
          <w:p>
            <w:pPr>
              <w:spacing w:line="260" w:lineRule="exact"/>
              <w:jc w:val="center"/>
              <w:rPr>
                <w:color w:val="auto"/>
              </w:rPr>
            </w:pPr>
            <w:r>
              <w:rPr>
                <w:rFonts w:hint="eastAsia" w:ascii="宋体" w:hAnsi="宋体"/>
                <w:color w:val="auto"/>
              </w:rPr>
              <w:t>要求</w:t>
            </w:r>
          </w:p>
        </w:tc>
      </w:tr>
    </w:tbl>
    <w:p>
      <w:pPr>
        <w:spacing w:line="600" w:lineRule="exact"/>
        <w:ind w:firstLine="560" w:firstLineChars="200"/>
        <w:rPr>
          <w:rFonts w:ascii="宋体" w:hAnsi="宋体"/>
          <w:color w:val="auto"/>
          <w:sz w:val="28"/>
          <w:szCs w:val="28"/>
        </w:rPr>
      </w:pPr>
      <w:r>
        <w:rPr>
          <w:rFonts w:hint="eastAsia" w:ascii="宋体" w:hAnsi="宋体"/>
          <w:color w:val="auto"/>
          <w:sz w:val="28"/>
          <w:szCs w:val="28"/>
        </w:rPr>
        <w:t>评价小结：</w:t>
      </w:r>
    </w:p>
    <w:p>
      <w:pPr>
        <w:ind w:firstLine="560" w:firstLineChars="200"/>
        <w:rPr>
          <w:rFonts w:ascii="宋体" w:hAnsi="宋体"/>
          <w:color w:val="auto"/>
          <w:sz w:val="28"/>
          <w:szCs w:val="28"/>
        </w:rPr>
      </w:pPr>
      <w:r>
        <w:rPr>
          <w:rFonts w:hint="eastAsia" w:ascii="宋体" w:hAnsi="宋体"/>
          <w:color w:val="auto"/>
          <w:sz w:val="28"/>
          <w:szCs w:val="28"/>
        </w:rPr>
        <w:t>本安全检查表共检查36项，均符合要求</w:t>
      </w:r>
      <w:r>
        <w:rPr>
          <w:rFonts w:ascii="宋体" w:hAnsi="宋体"/>
          <w:color w:val="auto"/>
          <w:kern w:val="0"/>
          <w:sz w:val="28"/>
          <w:szCs w:val="28"/>
        </w:rPr>
        <w:t>。</w:t>
      </w:r>
    </w:p>
    <w:p>
      <w:pPr>
        <w:pStyle w:val="2"/>
        <w:spacing w:line="360" w:lineRule="auto"/>
        <w:ind w:firstLine="560" w:firstLineChars="200"/>
        <w:rPr>
          <w:color w:val="auto"/>
          <w:sz w:val="28"/>
          <w:szCs w:val="28"/>
        </w:rPr>
      </w:pPr>
      <w:bookmarkStart w:id="272" w:name="_Toc12487"/>
      <w:bookmarkStart w:id="273" w:name="_Toc35435441"/>
    </w:p>
    <w:p>
      <w:pPr>
        <w:pStyle w:val="2"/>
        <w:spacing w:line="360" w:lineRule="auto"/>
        <w:ind w:firstLine="560" w:firstLineChars="200"/>
        <w:rPr>
          <w:color w:val="auto"/>
          <w:sz w:val="28"/>
          <w:szCs w:val="28"/>
        </w:rPr>
      </w:pPr>
      <w:r>
        <w:rPr>
          <w:color w:val="auto"/>
          <w:sz w:val="28"/>
          <w:szCs w:val="28"/>
        </w:rPr>
        <w:t>3</w:t>
      </w:r>
      <w:r>
        <w:rPr>
          <w:rFonts w:hint="eastAsia"/>
          <w:color w:val="auto"/>
          <w:sz w:val="28"/>
          <w:szCs w:val="28"/>
        </w:rPr>
        <w:t>）</w:t>
      </w:r>
      <w:r>
        <w:rPr>
          <w:color w:val="auto"/>
          <w:sz w:val="28"/>
          <w:szCs w:val="28"/>
        </w:rPr>
        <w:t>建（构）筑物防火安全评价</w:t>
      </w:r>
      <w:bookmarkEnd w:id="272"/>
      <w:bookmarkEnd w:id="273"/>
    </w:p>
    <w:p>
      <w:pPr>
        <w:spacing w:line="360" w:lineRule="auto"/>
        <w:ind w:firstLine="560" w:firstLineChars="200"/>
        <w:rPr>
          <w:color w:val="auto"/>
          <w:sz w:val="28"/>
        </w:rPr>
      </w:pPr>
      <w:r>
        <w:rPr>
          <w:color w:val="auto"/>
          <w:sz w:val="28"/>
          <w:szCs w:val="28"/>
        </w:rPr>
        <w:t>对照《建筑设计防火规范》（GB50016-2014）</w:t>
      </w:r>
      <w:r>
        <w:rPr>
          <w:rFonts w:hint="eastAsia"/>
          <w:color w:val="auto"/>
          <w:sz w:val="28"/>
          <w:szCs w:val="28"/>
        </w:rPr>
        <w:t>（2018年版）</w:t>
      </w:r>
      <w:r>
        <w:rPr>
          <w:color w:val="auto"/>
          <w:sz w:val="28"/>
          <w:szCs w:val="28"/>
        </w:rPr>
        <w:t>对</w:t>
      </w:r>
      <w:r>
        <w:rPr>
          <w:color w:val="auto"/>
          <w:sz w:val="28"/>
        </w:rPr>
        <w:t>本项目</w:t>
      </w:r>
      <w:r>
        <w:rPr>
          <w:color w:val="auto"/>
          <w:sz w:val="28"/>
          <w:szCs w:val="28"/>
        </w:rPr>
        <w:t>建筑物内火灾危险性分类和</w:t>
      </w:r>
      <w:r>
        <w:rPr>
          <w:color w:val="auto"/>
          <w:kern w:val="0"/>
          <w:sz w:val="28"/>
          <w:szCs w:val="28"/>
        </w:rPr>
        <w:t>建筑物的</w:t>
      </w:r>
      <w:r>
        <w:rPr>
          <w:color w:val="auto"/>
          <w:sz w:val="28"/>
          <w:szCs w:val="28"/>
          <w:lang w:val="zh-CN"/>
        </w:rPr>
        <w:t>每个防火分区</w:t>
      </w:r>
      <w:r>
        <w:rPr>
          <w:color w:val="auto"/>
          <w:kern w:val="0"/>
          <w:sz w:val="28"/>
          <w:szCs w:val="28"/>
        </w:rPr>
        <w:t>最大允许面积</w:t>
      </w:r>
      <w:r>
        <w:rPr>
          <w:color w:val="auto"/>
          <w:sz w:val="28"/>
          <w:szCs w:val="28"/>
          <w:lang w:val="zh-CN"/>
        </w:rPr>
        <w:t>符合性进行评价，评价</w:t>
      </w:r>
      <w:r>
        <w:rPr>
          <w:color w:val="auto"/>
          <w:sz w:val="28"/>
        </w:rPr>
        <w:t>见表</w:t>
      </w:r>
      <w:r>
        <w:rPr>
          <w:rFonts w:hint="eastAsia"/>
          <w:color w:val="auto"/>
          <w:sz w:val="28"/>
        </w:rPr>
        <w:t>C</w:t>
      </w:r>
      <w:r>
        <w:rPr>
          <w:color w:val="auto"/>
          <w:sz w:val="28"/>
        </w:rPr>
        <w:t>.1-6。</w:t>
      </w:r>
    </w:p>
    <w:p>
      <w:pPr>
        <w:spacing w:line="600" w:lineRule="exact"/>
        <w:ind w:firstLine="555"/>
        <w:jc w:val="center"/>
        <w:rPr>
          <w:rFonts w:hint="eastAsia" w:ascii="宋体" w:hAnsi="宋体"/>
          <w:color w:val="auto"/>
          <w:sz w:val="24"/>
          <w:szCs w:val="24"/>
        </w:rPr>
      </w:pPr>
    </w:p>
    <w:p>
      <w:pPr>
        <w:spacing w:line="600" w:lineRule="exact"/>
        <w:ind w:firstLine="555"/>
        <w:jc w:val="center"/>
        <w:rPr>
          <w:rFonts w:hint="eastAsia" w:ascii="宋体" w:hAnsi="宋体"/>
          <w:color w:val="auto"/>
          <w:sz w:val="24"/>
          <w:szCs w:val="24"/>
        </w:rPr>
      </w:pPr>
    </w:p>
    <w:p>
      <w:pPr>
        <w:spacing w:line="600" w:lineRule="exact"/>
        <w:ind w:firstLine="555"/>
        <w:jc w:val="center"/>
        <w:rPr>
          <w:rFonts w:hint="eastAsia" w:ascii="宋体" w:hAnsi="宋体"/>
          <w:color w:val="auto"/>
          <w:sz w:val="24"/>
          <w:szCs w:val="24"/>
        </w:rPr>
      </w:pPr>
    </w:p>
    <w:p>
      <w:pPr>
        <w:spacing w:line="600" w:lineRule="exact"/>
        <w:ind w:firstLine="555"/>
        <w:jc w:val="center"/>
        <w:rPr>
          <w:color w:val="auto"/>
          <w:sz w:val="24"/>
          <w:szCs w:val="24"/>
        </w:rPr>
      </w:pPr>
      <w:r>
        <w:rPr>
          <w:rFonts w:hint="eastAsia" w:ascii="宋体" w:hAnsi="宋体"/>
          <w:color w:val="auto"/>
          <w:sz w:val="24"/>
          <w:szCs w:val="24"/>
        </w:rPr>
        <w:t>表</w:t>
      </w:r>
      <w:r>
        <w:rPr>
          <w:color w:val="auto"/>
          <w:sz w:val="24"/>
          <w:szCs w:val="24"/>
        </w:rPr>
        <w:t>C.1-6</w:t>
      </w:r>
      <w:r>
        <w:rPr>
          <w:rFonts w:hint="eastAsia"/>
          <w:color w:val="auto"/>
          <w:sz w:val="24"/>
          <w:szCs w:val="24"/>
        </w:rPr>
        <w:t xml:space="preserve"> </w:t>
      </w:r>
      <w:r>
        <w:rPr>
          <w:rFonts w:hint="eastAsia" w:ascii="宋体" w:hAnsi="宋体"/>
          <w:color w:val="auto"/>
          <w:sz w:val="24"/>
          <w:szCs w:val="24"/>
        </w:rPr>
        <w:t>厂房（仓库）的耐火等级、层数、面积检查表</w:t>
      </w:r>
    </w:p>
    <w:tbl>
      <w:tblPr>
        <w:tblStyle w:val="31"/>
        <w:tblW w:w="9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435"/>
        <w:gridCol w:w="435"/>
        <w:gridCol w:w="436"/>
        <w:gridCol w:w="1079"/>
        <w:gridCol w:w="958"/>
        <w:gridCol w:w="436"/>
        <w:gridCol w:w="1528"/>
        <w:gridCol w:w="543"/>
        <w:gridCol w:w="550"/>
        <w:gridCol w:w="684"/>
        <w:gridCol w:w="773"/>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建(构)筑物名称</w:t>
            </w:r>
          </w:p>
        </w:tc>
        <w:tc>
          <w:tcPr>
            <w:tcW w:w="435"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火险类别</w:t>
            </w:r>
          </w:p>
        </w:tc>
        <w:tc>
          <w:tcPr>
            <w:tcW w:w="3344" w:type="dxa"/>
            <w:gridSpan w:val="5"/>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实际情况</w:t>
            </w:r>
          </w:p>
        </w:tc>
        <w:tc>
          <w:tcPr>
            <w:tcW w:w="4078" w:type="dxa"/>
            <w:gridSpan w:val="5"/>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 xml:space="preserve"> 规范要求</w:t>
            </w:r>
          </w:p>
        </w:tc>
        <w:tc>
          <w:tcPr>
            <w:tcW w:w="64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检查结果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结构</w:t>
            </w:r>
          </w:p>
        </w:tc>
        <w:tc>
          <w:tcPr>
            <w:tcW w:w="43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层数</w:t>
            </w:r>
          </w:p>
        </w:tc>
        <w:tc>
          <w:tcPr>
            <w:tcW w:w="1079"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建筑面积</w:t>
            </w:r>
            <w:r>
              <w:rPr>
                <w:rFonts w:hint="eastAsia" w:ascii="宋体" w:hAnsi="宋体"/>
                <w:color w:val="auto"/>
                <w:kern w:val="21"/>
              </w:rPr>
              <w:t>m</w:t>
            </w:r>
            <w:r>
              <w:rPr>
                <w:rFonts w:hint="eastAsia" w:ascii="宋体" w:hAnsi="宋体"/>
                <w:color w:val="auto"/>
                <w:kern w:val="21"/>
                <w:vertAlign w:val="superscript"/>
              </w:rPr>
              <w:t>2</w:t>
            </w:r>
          </w:p>
        </w:tc>
        <w:tc>
          <w:tcPr>
            <w:tcW w:w="958"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最大防火分区面积(m</w:t>
            </w:r>
            <w:r>
              <w:rPr>
                <w:rFonts w:hint="eastAsia" w:ascii="宋体" w:hAnsi="宋体"/>
                <w:color w:val="auto"/>
                <w:vertAlign w:val="superscript"/>
              </w:rPr>
              <w:t>2</w:t>
            </w:r>
            <w:r>
              <w:rPr>
                <w:rFonts w:hint="eastAsia" w:ascii="宋体" w:hAnsi="宋体"/>
                <w:color w:val="auto"/>
              </w:rPr>
              <w:t>)</w:t>
            </w:r>
          </w:p>
        </w:tc>
        <w:tc>
          <w:tcPr>
            <w:tcW w:w="43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耐火</w:t>
            </w:r>
          </w:p>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等级</w:t>
            </w:r>
          </w:p>
        </w:tc>
        <w:tc>
          <w:tcPr>
            <w:tcW w:w="1528"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检查依据</w:t>
            </w:r>
          </w:p>
        </w:tc>
        <w:tc>
          <w:tcPr>
            <w:tcW w:w="543"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耐火等级</w:t>
            </w:r>
          </w:p>
        </w:tc>
        <w:tc>
          <w:tcPr>
            <w:tcW w:w="550"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最多允许层数</w:t>
            </w:r>
          </w:p>
        </w:tc>
        <w:tc>
          <w:tcPr>
            <w:tcW w:w="1457" w:type="dxa"/>
            <w:gridSpan w:val="2"/>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防火分区最大允许建筑面积(m2)</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079"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95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52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4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50"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车间单层</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车间多层</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079"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95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52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4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50"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457" w:type="dxa"/>
            <w:gridSpan w:val="2"/>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每座</w:t>
            </w:r>
          </w:p>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防火分区</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ascii="宋体" w:hAnsi="宋体"/>
                <w:color w:val="auto"/>
                <w:kern w:val="21"/>
              </w:rPr>
              <w:t>101</w:t>
            </w:r>
            <w:r>
              <w:rPr>
                <w:rFonts w:hint="eastAsia" w:ascii="宋体" w:hAnsi="宋体"/>
                <w:color w:val="auto"/>
                <w:kern w:val="21"/>
              </w:rPr>
              <w:t>甲类车间一</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甲类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kern w:val="21"/>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ascii="宋体" w:hAnsi="宋体"/>
                <w:color w:val="auto"/>
              </w:rPr>
              <w:t>3</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399.96</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7</w:t>
            </w:r>
            <w:r>
              <w:rPr>
                <w:rFonts w:ascii="宋体" w:hAnsi="宋体"/>
                <w:color w:val="auto"/>
              </w:rPr>
              <w:t>99.987</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1528"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《建筑设计防火规范》(2018版）GB50016-2014第3.3.1条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宜采用单层</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ascii="宋体" w:hAnsi="宋体"/>
                <w:color w:val="auto"/>
              </w:rPr>
              <w:t>3000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ascii="宋体" w:hAnsi="宋体"/>
                <w:color w:val="auto"/>
              </w:rPr>
              <w:t>2000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1</w:t>
            </w:r>
            <w:r>
              <w:rPr>
                <w:rFonts w:ascii="宋体" w:hAnsi="宋体"/>
                <w:color w:val="auto"/>
                <w:kern w:val="21"/>
              </w:rPr>
              <w:t>03</w:t>
            </w:r>
            <w:r>
              <w:rPr>
                <w:rFonts w:hint="eastAsia" w:ascii="宋体" w:hAnsi="宋体"/>
                <w:color w:val="auto"/>
                <w:kern w:val="21"/>
              </w:rPr>
              <w:t>液体制剂车间</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丙类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kern w:val="21"/>
              </w:rPr>
            </w:pPr>
            <w:r>
              <w:rPr>
                <w:rFonts w:hint="eastAsia" w:ascii="宋体" w:hAnsi="宋体"/>
                <w:color w:val="auto"/>
                <w:kern w:val="21"/>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ascii="宋体" w:hAnsi="宋体"/>
                <w:color w:val="auto"/>
              </w:rPr>
              <w:t>5</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6</w:t>
            </w:r>
            <w:r>
              <w:rPr>
                <w:rFonts w:ascii="宋体" w:hAnsi="宋体"/>
                <w:color w:val="auto"/>
                <w:kern w:val="21"/>
              </w:rPr>
              <w:t>302.47</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1</w:t>
            </w:r>
            <w:r>
              <w:rPr>
                <w:rFonts w:ascii="宋体" w:hAnsi="宋体"/>
                <w:color w:val="auto"/>
              </w:rPr>
              <w:t>260.494</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1528"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《建筑设计防火规范》(2018版）GB50016-2014第3.3.1条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不限</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8000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4000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1</w:t>
            </w:r>
            <w:r>
              <w:rPr>
                <w:rFonts w:ascii="宋体" w:hAnsi="宋体"/>
                <w:color w:val="auto"/>
                <w:kern w:val="21"/>
              </w:rPr>
              <w:t>04</w:t>
            </w:r>
            <w:r>
              <w:rPr>
                <w:rFonts w:hint="eastAsia" w:ascii="宋体" w:hAnsi="宋体"/>
                <w:color w:val="auto"/>
                <w:kern w:val="21"/>
              </w:rPr>
              <w:t>颗粒剂车间</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丙类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kern w:val="21"/>
              </w:rPr>
            </w:pPr>
            <w:r>
              <w:rPr>
                <w:rFonts w:hint="eastAsia" w:ascii="宋体" w:hAnsi="宋体"/>
                <w:color w:val="auto"/>
                <w:kern w:val="21"/>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1</w:t>
            </w:r>
            <w:r>
              <w:rPr>
                <w:rFonts w:ascii="宋体" w:hAnsi="宋体"/>
                <w:color w:val="auto"/>
                <w:kern w:val="21"/>
              </w:rPr>
              <w:t>104.4</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1</w:t>
            </w:r>
            <w:r>
              <w:rPr>
                <w:rFonts w:ascii="宋体" w:hAnsi="宋体"/>
                <w:color w:val="auto"/>
              </w:rPr>
              <w:t>104.4</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1528"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《建筑设计防火规范》(2018版）GB50016-2014第3.3.1条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不限</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8000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4000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建(构)筑物名称</w:t>
            </w:r>
          </w:p>
        </w:tc>
        <w:tc>
          <w:tcPr>
            <w:tcW w:w="435"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火险类别</w:t>
            </w:r>
          </w:p>
        </w:tc>
        <w:tc>
          <w:tcPr>
            <w:tcW w:w="3344" w:type="dxa"/>
            <w:gridSpan w:val="5"/>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实际情况</w:t>
            </w:r>
          </w:p>
        </w:tc>
        <w:tc>
          <w:tcPr>
            <w:tcW w:w="4078" w:type="dxa"/>
            <w:gridSpan w:val="5"/>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规范要求</w:t>
            </w:r>
          </w:p>
        </w:tc>
        <w:tc>
          <w:tcPr>
            <w:tcW w:w="64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检查结果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结构</w:t>
            </w:r>
          </w:p>
        </w:tc>
        <w:tc>
          <w:tcPr>
            <w:tcW w:w="43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层数</w:t>
            </w:r>
          </w:p>
        </w:tc>
        <w:tc>
          <w:tcPr>
            <w:tcW w:w="1079"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占地面积</w:t>
            </w:r>
            <w:r>
              <w:rPr>
                <w:rFonts w:hint="eastAsia" w:ascii="宋体" w:hAnsi="宋体"/>
                <w:color w:val="auto"/>
                <w:kern w:val="21"/>
              </w:rPr>
              <w:t>m</w:t>
            </w:r>
            <w:r>
              <w:rPr>
                <w:rFonts w:hint="eastAsia" w:ascii="宋体" w:hAnsi="宋体"/>
                <w:color w:val="auto"/>
                <w:kern w:val="21"/>
                <w:vertAlign w:val="superscript"/>
              </w:rPr>
              <w:t>2</w:t>
            </w:r>
          </w:p>
        </w:tc>
        <w:tc>
          <w:tcPr>
            <w:tcW w:w="958"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最大防火分区面积(m</w:t>
            </w:r>
            <w:r>
              <w:rPr>
                <w:rFonts w:hint="eastAsia" w:ascii="宋体" w:hAnsi="宋体"/>
                <w:color w:val="auto"/>
                <w:vertAlign w:val="superscript"/>
              </w:rPr>
              <w:t>2</w:t>
            </w:r>
            <w:r>
              <w:rPr>
                <w:rFonts w:hint="eastAsia" w:ascii="宋体" w:hAnsi="宋体"/>
                <w:color w:val="auto"/>
              </w:rPr>
              <w:t>)</w:t>
            </w:r>
          </w:p>
        </w:tc>
        <w:tc>
          <w:tcPr>
            <w:tcW w:w="436"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耐火</w:t>
            </w:r>
          </w:p>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等级</w:t>
            </w:r>
          </w:p>
        </w:tc>
        <w:tc>
          <w:tcPr>
            <w:tcW w:w="1528"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检查依据</w:t>
            </w:r>
          </w:p>
        </w:tc>
        <w:tc>
          <w:tcPr>
            <w:tcW w:w="543"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耐火等级</w:t>
            </w:r>
          </w:p>
        </w:tc>
        <w:tc>
          <w:tcPr>
            <w:tcW w:w="550" w:type="dxa"/>
            <w:vMerge w:val="restart"/>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最多允许层数</w:t>
            </w:r>
          </w:p>
        </w:tc>
        <w:tc>
          <w:tcPr>
            <w:tcW w:w="1457" w:type="dxa"/>
            <w:gridSpan w:val="2"/>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最大允许占地面积和每个防火分区最大建筑面积(m</w:t>
            </w:r>
            <w:r>
              <w:rPr>
                <w:rFonts w:hint="eastAsia" w:ascii="宋体" w:hAnsi="宋体"/>
                <w:color w:val="auto"/>
                <w:vertAlign w:val="superscript"/>
              </w:rPr>
              <w:t>2</w:t>
            </w:r>
            <w:r>
              <w:rPr>
                <w:rFonts w:hint="eastAsia" w:ascii="宋体" w:hAnsi="宋体"/>
                <w:color w:val="auto"/>
              </w:rPr>
              <w:t>)</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079"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95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52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4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50"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每座仓库</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防火分区</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5"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079"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95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43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528"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43"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550"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c>
          <w:tcPr>
            <w:tcW w:w="1457" w:type="dxa"/>
            <w:gridSpan w:val="2"/>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每座</w:t>
            </w:r>
          </w:p>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防火分区</w:t>
            </w:r>
          </w:p>
        </w:tc>
        <w:tc>
          <w:tcPr>
            <w:tcW w:w="646" w:type="dxa"/>
            <w:vMerge w:val="continue"/>
            <w:vAlign w:val="center"/>
          </w:tcPr>
          <w:p>
            <w:pPr>
              <w:keepNext w:val="0"/>
              <w:keepLines w:val="0"/>
              <w:pageBreakBefore w:val="0"/>
              <w:widowControl/>
              <w:kinsoku/>
              <w:wordWrap/>
              <w:overflowPunct/>
              <w:topLinePunct w:val="0"/>
              <w:bidi w:val="0"/>
              <w:snapToGrid/>
              <w:spacing w:line="240" w:lineRule="exact"/>
              <w:jc w:val="left"/>
              <w:textAlignment w:val="auto"/>
              <w:rPr>
                <w:rFonts w:ascii="宋体" w:hAnsi="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01</w:t>
            </w:r>
            <w:r>
              <w:rPr>
                <w:rFonts w:hint="eastAsia" w:ascii="宋体" w:hAnsi="宋体"/>
                <w:color w:val="auto"/>
              </w:rPr>
              <w:t>甲类仓库一</w:t>
            </w:r>
          </w:p>
        </w:tc>
        <w:tc>
          <w:tcPr>
            <w:tcW w:w="435" w:type="dxa"/>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甲类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6</w:t>
            </w:r>
            <w:r>
              <w:rPr>
                <w:rFonts w:ascii="宋体" w:hAnsi="宋体"/>
                <w:color w:val="auto"/>
              </w:rPr>
              <w:t>91.2</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27.2</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1528"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《建筑设计防火规范》(2018版）GB50016-2014第3.3.2条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7</w:t>
            </w:r>
            <w:r>
              <w:rPr>
                <w:rFonts w:ascii="宋体" w:hAnsi="宋体"/>
                <w:color w:val="auto"/>
              </w:rPr>
              <w:t>50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50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02</w:t>
            </w:r>
            <w:r>
              <w:rPr>
                <w:rFonts w:hint="eastAsia" w:ascii="宋体" w:hAnsi="宋体"/>
                <w:color w:val="auto"/>
              </w:rPr>
              <w:t>甲类仓库二</w:t>
            </w:r>
          </w:p>
        </w:tc>
        <w:tc>
          <w:tcPr>
            <w:tcW w:w="435" w:type="dxa"/>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甲类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6</w:t>
            </w:r>
            <w:r>
              <w:rPr>
                <w:rFonts w:ascii="宋体" w:hAnsi="宋体"/>
                <w:color w:val="auto"/>
              </w:rPr>
              <w:t>91.2</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27.2</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1528" w:type="dxa"/>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《建筑设计防火规范》(2018版）GB50016-2014第3.3.2条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7</w:t>
            </w:r>
            <w:r>
              <w:rPr>
                <w:rFonts w:ascii="宋体" w:hAnsi="宋体"/>
                <w:color w:val="auto"/>
              </w:rPr>
              <w:t>50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2</w:t>
            </w:r>
            <w:r>
              <w:rPr>
                <w:rFonts w:ascii="宋体" w:hAnsi="宋体"/>
                <w:color w:val="auto"/>
              </w:rPr>
              <w:t>50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2</w:t>
            </w:r>
            <w:r>
              <w:rPr>
                <w:rFonts w:ascii="宋体" w:hAnsi="宋体"/>
                <w:color w:val="auto"/>
                <w:kern w:val="21"/>
              </w:rPr>
              <w:t>03</w:t>
            </w:r>
            <w:r>
              <w:rPr>
                <w:rFonts w:hint="eastAsia" w:ascii="宋体" w:hAnsi="宋体"/>
                <w:color w:val="auto"/>
                <w:kern w:val="21"/>
              </w:rPr>
              <w:t>丙类仓库一</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丙类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kern w:val="21"/>
              </w:rPr>
            </w:pPr>
            <w:r>
              <w:rPr>
                <w:rFonts w:hint="eastAsia" w:ascii="宋体" w:hAnsi="宋体"/>
                <w:color w:val="auto"/>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hint="eastAsia" w:ascii="宋体" w:hAnsi="宋体" w:eastAsia="宋体"/>
                <w:color w:val="auto"/>
                <w:lang w:eastAsia="zh-CN"/>
              </w:rPr>
            </w:pPr>
            <w:r>
              <w:rPr>
                <w:rFonts w:hint="eastAsia" w:ascii="宋体" w:hAnsi="宋体"/>
                <w:color w:val="auto"/>
                <w:lang w:val="en-US" w:eastAsia="zh-CN"/>
              </w:rPr>
              <w:t>2</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8</w:t>
            </w:r>
            <w:r>
              <w:rPr>
                <w:rFonts w:ascii="宋体" w:hAnsi="宋体"/>
                <w:color w:val="auto"/>
              </w:rPr>
              <w:t>13.24</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8</w:t>
            </w:r>
            <w:r>
              <w:rPr>
                <w:rFonts w:ascii="宋体" w:hAnsi="宋体"/>
                <w:color w:val="auto"/>
              </w:rPr>
              <w:t>13.24</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1528" w:type="dxa"/>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《建筑设计防火规范》(2018版）GB50016-2014第3.3.2条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二级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5</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4</w:t>
            </w:r>
            <w:r>
              <w:rPr>
                <w:rFonts w:ascii="宋体" w:hAnsi="宋体"/>
                <w:color w:val="auto"/>
              </w:rPr>
              <w:t>000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r>
              <w:rPr>
                <w:rFonts w:ascii="宋体" w:hAnsi="宋体"/>
                <w:color w:val="auto"/>
              </w:rPr>
              <w:t>000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53"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kern w:val="21"/>
              </w:rPr>
            </w:pPr>
            <w:r>
              <w:rPr>
                <w:rFonts w:hint="eastAsia" w:ascii="宋体" w:hAnsi="宋体"/>
                <w:color w:val="auto"/>
                <w:kern w:val="21"/>
              </w:rPr>
              <w:t>2</w:t>
            </w:r>
            <w:r>
              <w:rPr>
                <w:rFonts w:ascii="宋体" w:hAnsi="宋体"/>
                <w:color w:val="auto"/>
                <w:kern w:val="21"/>
              </w:rPr>
              <w:t>05</w:t>
            </w:r>
            <w:r>
              <w:rPr>
                <w:rFonts w:hint="eastAsia" w:ascii="宋体" w:hAnsi="宋体"/>
                <w:color w:val="auto"/>
                <w:kern w:val="21"/>
              </w:rPr>
              <w:t>甲类仓库三</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甲类</w:t>
            </w:r>
          </w:p>
        </w:tc>
        <w:tc>
          <w:tcPr>
            <w:tcW w:w="435"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kern w:val="21"/>
              </w:rPr>
            </w:pPr>
            <w:r>
              <w:rPr>
                <w:rFonts w:hint="eastAsia" w:ascii="宋体" w:hAnsi="宋体"/>
                <w:color w:val="auto"/>
              </w:rPr>
              <w:t>框架</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1079"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9</w:t>
            </w:r>
            <w:r>
              <w:rPr>
                <w:rFonts w:ascii="宋体" w:hAnsi="宋体"/>
                <w:color w:val="auto"/>
              </w:rPr>
              <w:t>4.24</w:t>
            </w:r>
          </w:p>
        </w:tc>
        <w:tc>
          <w:tcPr>
            <w:tcW w:w="958" w:type="dxa"/>
            <w:vAlign w:val="center"/>
          </w:tcPr>
          <w:p>
            <w:pPr>
              <w:keepNext w:val="0"/>
              <w:keepLines w:val="0"/>
              <w:pageBreakBefore w:val="0"/>
              <w:kinsoku/>
              <w:wordWrap/>
              <w:overflowPunct/>
              <w:topLinePunct w:val="0"/>
              <w:bidi w:val="0"/>
              <w:snapToGrid/>
              <w:spacing w:line="240" w:lineRule="exact"/>
              <w:jc w:val="center"/>
              <w:textAlignment w:val="auto"/>
              <w:rPr>
                <w:rFonts w:ascii="宋体" w:hAnsi="宋体"/>
                <w:color w:val="auto"/>
              </w:rPr>
            </w:pPr>
            <w:r>
              <w:rPr>
                <w:rFonts w:hint="eastAsia" w:ascii="宋体" w:hAnsi="宋体"/>
                <w:color w:val="auto"/>
              </w:rPr>
              <w:t>4</w:t>
            </w:r>
            <w:r>
              <w:rPr>
                <w:rFonts w:ascii="宋体" w:hAnsi="宋体"/>
                <w:color w:val="auto"/>
              </w:rPr>
              <w:t>7.12</w:t>
            </w:r>
          </w:p>
        </w:tc>
        <w:tc>
          <w:tcPr>
            <w:tcW w:w="43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1528" w:type="dxa"/>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《建筑设计防火规范》(2018版）GB50016-2014第3.3.2条</w:t>
            </w:r>
          </w:p>
        </w:tc>
        <w:tc>
          <w:tcPr>
            <w:tcW w:w="54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一级</w:t>
            </w:r>
          </w:p>
        </w:tc>
        <w:tc>
          <w:tcPr>
            <w:tcW w:w="550"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p>
        </w:tc>
        <w:tc>
          <w:tcPr>
            <w:tcW w:w="684"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1</w:t>
            </w:r>
            <w:r>
              <w:rPr>
                <w:rFonts w:ascii="宋体" w:hAnsi="宋体"/>
                <w:color w:val="auto"/>
              </w:rPr>
              <w:t>80</w:t>
            </w:r>
          </w:p>
        </w:tc>
        <w:tc>
          <w:tcPr>
            <w:tcW w:w="773"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6</w:t>
            </w:r>
            <w:r>
              <w:rPr>
                <w:rFonts w:ascii="宋体" w:hAnsi="宋体"/>
                <w:color w:val="auto"/>
              </w:rPr>
              <w:t>0</w:t>
            </w:r>
          </w:p>
        </w:tc>
        <w:tc>
          <w:tcPr>
            <w:tcW w:w="646" w:type="dxa"/>
            <w:vAlign w:val="center"/>
          </w:tcPr>
          <w:p>
            <w:pPr>
              <w:keepNext w:val="0"/>
              <w:keepLines w:val="0"/>
              <w:pageBreakBefore w:val="0"/>
              <w:kinsoku/>
              <w:wordWrap/>
              <w:overflowPunct/>
              <w:topLinePunct w:val="0"/>
              <w:autoSpaceDE w:val="0"/>
              <w:autoSpaceDN w:val="0"/>
              <w:bidi w:val="0"/>
              <w:adjustRightInd w:val="0"/>
              <w:snapToGrid/>
              <w:spacing w:line="240" w:lineRule="exact"/>
              <w:jc w:val="center"/>
              <w:textAlignment w:val="auto"/>
              <w:rPr>
                <w:rFonts w:ascii="宋体" w:hAnsi="宋体"/>
                <w:color w:val="auto"/>
              </w:rPr>
            </w:pPr>
            <w:r>
              <w:rPr>
                <w:rFonts w:hint="eastAsia" w:ascii="宋体" w:hAnsi="宋体"/>
                <w:color w:val="auto"/>
              </w:rPr>
              <w:t>符合要求</w:t>
            </w:r>
          </w:p>
        </w:tc>
      </w:tr>
    </w:tbl>
    <w:p>
      <w:pPr>
        <w:keepNext/>
        <w:keepLines/>
        <w:spacing w:line="580" w:lineRule="exact"/>
        <w:jc w:val="left"/>
        <w:outlineLvl w:val="1"/>
        <w:rPr>
          <w:rFonts w:ascii="Calibri Light" w:hAnsi="Calibri Light"/>
          <w:b/>
          <w:color w:val="auto"/>
          <w:sz w:val="30"/>
          <w:szCs w:val="30"/>
        </w:rPr>
      </w:pPr>
      <w:bookmarkStart w:id="274" w:name="_Toc144109255"/>
      <w:r>
        <w:rPr>
          <w:rFonts w:hint="eastAsia" w:ascii="Calibri Light" w:hAnsi="Calibri Light"/>
          <w:b/>
          <w:color w:val="auto"/>
          <w:sz w:val="30"/>
          <w:szCs w:val="30"/>
        </w:rPr>
        <w:t>C.</w:t>
      </w:r>
      <w:r>
        <w:rPr>
          <w:rFonts w:ascii="Calibri Light" w:hAnsi="Calibri Light"/>
          <w:b/>
          <w:color w:val="auto"/>
          <w:sz w:val="30"/>
          <w:szCs w:val="30"/>
        </w:rPr>
        <w:t>1.3</w:t>
      </w:r>
      <w:r>
        <w:rPr>
          <w:rFonts w:hint="eastAsia" w:ascii="Calibri Light" w:hAnsi="Calibri Light"/>
          <w:b/>
          <w:color w:val="auto"/>
          <w:sz w:val="30"/>
          <w:szCs w:val="30"/>
        </w:rPr>
        <w:t xml:space="preserve"> 生产工艺装置单元评价</w:t>
      </w:r>
      <w:bookmarkEnd w:id="274"/>
    </w:p>
    <w:p>
      <w:pPr>
        <w:keepNext/>
        <w:keepLines/>
        <w:spacing w:line="600" w:lineRule="exact"/>
        <w:jc w:val="left"/>
        <w:outlineLvl w:val="2"/>
        <w:rPr>
          <w:rFonts w:ascii="Calibri" w:hAnsi="Calibri"/>
          <w:b/>
          <w:color w:val="auto"/>
          <w:sz w:val="28"/>
          <w:szCs w:val="32"/>
        </w:rPr>
      </w:pPr>
      <w:bookmarkStart w:id="275" w:name="_Toc144109256"/>
      <w:r>
        <w:rPr>
          <w:rFonts w:hint="eastAsia" w:ascii="Calibri" w:hAnsi="Calibri"/>
          <w:b/>
          <w:color w:val="auto"/>
          <w:sz w:val="28"/>
          <w:szCs w:val="32"/>
        </w:rPr>
        <w:t>C.</w:t>
      </w:r>
      <w:r>
        <w:rPr>
          <w:rFonts w:ascii="Calibri" w:hAnsi="Calibri"/>
          <w:b/>
          <w:color w:val="auto"/>
          <w:sz w:val="28"/>
          <w:szCs w:val="32"/>
        </w:rPr>
        <w:t>1.3.1</w:t>
      </w:r>
      <w:r>
        <w:rPr>
          <w:rFonts w:hint="eastAsia" w:ascii="Calibri" w:hAnsi="Calibri"/>
          <w:b/>
          <w:color w:val="auto"/>
          <w:sz w:val="28"/>
          <w:szCs w:val="32"/>
        </w:rPr>
        <w:t xml:space="preserve"> </w:t>
      </w:r>
      <w:r>
        <w:rPr>
          <w:rFonts w:ascii="Calibri" w:hAnsi="Calibri"/>
          <w:b/>
          <w:color w:val="auto"/>
          <w:sz w:val="28"/>
          <w:szCs w:val="32"/>
        </w:rPr>
        <w:t xml:space="preserve"> </w:t>
      </w:r>
      <w:r>
        <w:rPr>
          <w:b/>
          <w:color w:val="auto"/>
          <w:sz w:val="28"/>
          <w:szCs w:val="32"/>
        </w:rPr>
        <w:t>101</w:t>
      </w:r>
      <w:r>
        <w:rPr>
          <w:rFonts w:hint="eastAsia" w:ascii="Calibri" w:hAnsi="Calibri"/>
          <w:b/>
          <w:color w:val="auto"/>
          <w:sz w:val="28"/>
          <w:szCs w:val="32"/>
        </w:rPr>
        <w:t>甲类车间一子单元评价</w:t>
      </w:r>
      <w:bookmarkEnd w:id="275"/>
    </w:p>
    <w:p>
      <w:pPr>
        <w:ind w:firstLine="560" w:firstLineChars="200"/>
        <w:rPr>
          <w:rFonts w:ascii="宋体" w:hAnsi="宋体"/>
          <w:color w:val="auto"/>
          <w:sz w:val="28"/>
          <w:szCs w:val="28"/>
        </w:rPr>
      </w:pPr>
      <w:r>
        <w:rPr>
          <w:rFonts w:hint="eastAsia" w:ascii="宋体" w:hAnsi="宋体"/>
          <w:color w:val="auto"/>
          <w:sz w:val="28"/>
          <w:szCs w:val="28"/>
        </w:rPr>
        <w:t xml:space="preserve">1.预先危险性分析 </w:t>
      </w:r>
    </w:p>
    <w:p>
      <w:pPr>
        <w:autoSpaceDE w:val="0"/>
        <w:autoSpaceDN w:val="0"/>
        <w:adjustRightInd w:val="0"/>
        <w:ind w:firstLine="560" w:firstLineChars="200"/>
        <w:rPr>
          <w:rFonts w:hAnsi="宋体"/>
          <w:color w:val="auto"/>
          <w:sz w:val="28"/>
          <w:szCs w:val="28"/>
        </w:rPr>
      </w:pPr>
      <w:r>
        <w:rPr>
          <w:rFonts w:ascii="宋体" w:hAnsi="宋体"/>
          <w:color w:val="auto"/>
          <w:sz w:val="28"/>
          <w:szCs w:val="28"/>
        </w:rPr>
        <w:t>本报告对</w:t>
      </w:r>
      <w:r>
        <w:rPr>
          <w:rFonts w:hint="eastAsia" w:ascii="宋体" w:hAnsi="宋体"/>
          <w:color w:val="auto"/>
          <w:sz w:val="28"/>
          <w:szCs w:val="28"/>
        </w:rPr>
        <w:t>生产单元</w:t>
      </w:r>
      <w:r>
        <w:rPr>
          <w:rFonts w:ascii="宋体" w:hAnsi="宋体"/>
          <w:color w:val="auto"/>
          <w:sz w:val="28"/>
          <w:szCs w:val="28"/>
        </w:rPr>
        <w:t>有可能造成人员伤亡</w:t>
      </w:r>
      <w:r>
        <w:rPr>
          <w:rFonts w:hint="eastAsia" w:ascii="宋体" w:hAnsi="宋体"/>
          <w:color w:val="auto"/>
          <w:sz w:val="28"/>
          <w:szCs w:val="28"/>
        </w:rPr>
        <w:t>的主要危险</w:t>
      </w:r>
      <w:r>
        <w:rPr>
          <w:rFonts w:ascii="宋体" w:hAnsi="宋体"/>
          <w:color w:val="auto"/>
          <w:sz w:val="28"/>
          <w:szCs w:val="28"/>
        </w:rPr>
        <w:t>因素采用预先危险性分析法进行分析评价，具体见表</w:t>
      </w:r>
      <w:r>
        <w:rPr>
          <w:color w:val="auto"/>
          <w:sz w:val="28"/>
          <w:szCs w:val="28"/>
        </w:rPr>
        <w:t>C.1-7</w:t>
      </w:r>
      <w:r>
        <w:rPr>
          <w:rFonts w:ascii="宋体" w:hAnsi="宋体"/>
          <w:color w:val="auto"/>
          <w:sz w:val="28"/>
          <w:szCs w:val="28"/>
        </w:rPr>
        <w:t>。</w:t>
      </w:r>
    </w:p>
    <w:p>
      <w:pPr>
        <w:spacing w:line="600" w:lineRule="exact"/>
        <w:ind w:firstLine="555"/>
        <w:jc w:val="center"/>
        <w:rPr>
          <w:color w:val="auto"/>
          <w:sz w:val="24"/>
          <w:szCs w:val="24"/>
        </w:rPr>
      </w:pPr>
      <w:r>
        <w:rPr>
          <w:rFonts w:hint="eastAsia" w:ascii="宋体" w:hAnsi="宋体"/>
          <w:color w:val="auto"/>
          <w:sz w:val="24"/>
          <w:szCs w:val="24"/>
        </w:rPr>
        <w:t>表</w:t>
      </w:r>
      <w:r>
        <w:rPr>
          <w:color w:val="auto"/>
          <w:sz w:val="24"/>
          <w:szCs w:val="24"/>
        </w:rPr>
        <w:t>C.1-7</w:t>
      </w:r>
      <w:r>
        <w:rPr>
          <w:rFonts w:hint="eastAsia"/>
          <w:color w:val="auto"/>
          <w:sz w:val="24"/>
          <w:szCs w:val="24"/>
        </w:rPr>
        <w:t xml:space="preserve"> </w:t>
      </w:r>
      <w:r>
        <w:rPr>
          <w:rFonts w:hint="eastAsia" w:ascii="宋体" w:hAnsi="宋体"/>
          <w:color w:val="auto"/>
          <w:sz w:val="24"/>
          <w:szCs w:val="24"/>
        </w:rPr>
        <w:t>101甲类车间一子单元预先危险性分析</w:t>
      </w:r>
    </w:p>
    <w:tbl>
      <w:tblPr>
        <w:tblStyle w:val="31"/>
        <w:tblW w:w="9496"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776"/>
        <w:gridCol w:w="3196"/>
        <w:gridCol w:w="636"/>
        <w:gridCol w:w="667"/>
        <w:gridCol w:w="3585"/>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w:t>
            </w:r>
          </w:p>
        </w:tc>
        <w:tc>
          <w:tcPr>
            <w:tcW w:w="77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bCs/>
                <w:color w:val="auto"/>
              </w:rPr>
              <w:t>触发事件</w:t>
            </w:r>
          </w:p>
        </w:tc>
        <w:tc>
          <w:tcPr>
            <w:tcW w:w="319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事故原因</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事故后果</w:t>
            </w:r>
          </w:p>
        </w:tc>
        <w:tc>
          <w:tcPr>
            <w:tcW w:w="667"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危险等级</w:t>
            </w:r>
          </w:p>
        </w:tc>
        <w:tc>
          <w:tcPr>
            <w:tcW w:w="3585" w:type="dxa"/>
            <w:tcBorders>
              <w:top w:val="single" w:color="000000" w:sz="4" w:space="0"/>
              <w:left w:val="nil"/>
              <w:bottom w:val="single" w:color="000000" w:sz="4" w:space="0"/>
              <w:right w:val="single" w:color="000000" w:sz="4" w:space="0"/>
            </w:tcBorders>
            <w:vAlign w:val="center"/>
          </w:tcPr>
          <w:p>
            <w:pPr>
              <w:jc w:val="center"/>
              <w:rPr>
                <w:rFonts w:ascii="宋体" w:hAnsi="宋体"/>
                <w:bCs/>
                <w:color w:val="auto"/>
              </w:rPr>
            </w:pPr>
            <w:r>
              <w:rPr>
                <w:rFonts w:hint="eastAsia" w:ascii="宋体" w:hAnsi="宋体"/>
                <w:color w:val="auto"/>
              </w:rPr>
              <w:t>措施建议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火灾、爆炸</w:t>
            </w:r>
          </w:p>
        </w:tc>
        <w:tc>
          <w:tcPr>
            <w:tcW w:w="776" w:type="dxa"/>
            <w:tcBorders>
              <w:top w:val="single" w:color="000000" w:sz="4" w:space="0"/>
              <w:left w:val="nil"/>
              <w:bottom w:val="single" w:color="000000" w:sz="4" w:space="0"/>
              <w:right w:val="single" w:color="000000" w:sz="6" w:space="0"/>
            </w:tcBorders>
          </w:tcPr>
          <w:p>
            <w:pPr>
              <w:jc w:val="left"/>
              <w:rPr>
                <w:rFonts w:ascii="宋体" w:hAnsi="宋体"/>
                <w:color w:val="auto"/>
              </w:rPr>
            </w:pPr>
            <w:r>
              <w:rPr>
                <w:rFonts w:hint="eastAsia" w:ascii="宋体" w:hAnsi="宋体"/>
                <w:bCs/>
                <w:color w:val="auto"/>
              </w:rPr>
              <w:t>1.可燃物质</w:t>
            </w:r>
            <w:r>
              <w:rPr>
                <w:rFonts w:hint="eastAsia" w:ascii="宋体" w:hAnsi="宋体"/>
                <w:color w:val="auto"/>
              </w:rPr>
              <w:t>泄漏，遇火源发火灾</w:t>
            </w:r>
          </w:p>
          <w:p>
            <w:pPr>
              <w:jc w:val="left"/>
              <w:rPr>
                <w:rFonts w:ascii="宋体" w:hAnsi="宋体"/>
                <w:bCs/>
                <w:color w:val="auto"/>
              </w:rPr>
            </w:pPr>
            <w:r>
              <w:rPr>
                <w:rFonts w:hint="eastAsia" w:ascii="宋体" w:hAnsi="宋体"/>
                <w:color w:val="auto"/>
              </w:rPr>
              <w:t>2.超压</w:t>
            </w:r>
          </w:p>
          <w:p>
            <w:pPr>
              <w:jc w:val="center"/>
              <w:rPr>
                <w:rFonts w:ascii="宋体" w:hAnsi="宋体"/>
                <w:bCs/>
                <w:color w:val="auto"/>
              </w:rPr>
            </w:pPr>
          </w:p>
        </w:tc>
        <w:tc>
          <w:tcPr>
            <w:tcW w:w="3196" w:type="dxa"/>
            <w:tcBorders>
              <w:top w:val="single" w:color="000000" w:sz="4" w:space="0"/>
              <w:left w:val="nil"/>
              <w:bottom w:val="single" w:color="000000" w:sz="4" w:space="0"/>
              <w:right w:val="single" w:color="000000" w:sz="6" w:space="0"/>
            </w:tcBorders>
          </w:tcPr>
          <w:p>
            <w:pPr>
              <w:rPr>
                <w:rFonts w:ascii="宋体" w:hAnsi="宋体"/>
                <w:color w:val="auto"/>
              </w:rPr>
            </w:pPr>
            <w:r>
              <w:rPr>
                <w:rFonts w:hint="eastAsia" w:ascii="宋体" w:hAnsi="宋体"/>
                <w:color w:val="auto"/>
              </w:rPr>
              <w:t>1.设备、管道等材质选用不当；</w:t>
            </w:r>
          </w:p>
          <w:p>
            <w:pPr>
              <w:pStyle w:val="10"/>
              <w:spacing w:after="0"/>
              <w:rPr>
                <w:rFonts w:ascii="宋体" w:hAnsi="宋体"/>
                <w:color w:val="auto"/>
                <w:sz w:val="21"/>
                <w:szCs w:val="21"/>
              </w:rPr>
            </w:pPr>
            <w:r>
              <w:rPr>
                <w:rFonts w:hint="eastAsia" w:ascii="宋体" w:hAnsi="宋体"/>
                <w:color w:val="auto"/>
                <w:sz w:val="21"/>
                <w:szCs w:val="21"/>
              </w:rPr>
              <w:t>2.</w:t>
            </w:r>
            <w:r>
              <w:rPr>
                <w:rFonts w:hint="eastAsia" w:ascii="宋体" w:hAnsi="宋体"/>
                <w:bCs/>
                <w:color w:val="auto"/>
                <w:sz w:val="21"/>
                <w:szCs w:val="21"/>
              </w:rPr>
              <w:t xml:space="preserve"> </w:t>
            </w:r>
            <w:r>
              <w:rPr>
                <w:rFonts w:hint="eastAsia" w:ascii="宋体" w:hAnsi="宋体"/>
                <w:color w:val="auto"/>
                <w:sz w:val="21"/>
                <w:szCs w:val="21"/>
              </w:rPr>
              <w:t>设备设计不合理，施工有缺陷；设备、管道、阀门材质不符合或有缺陷；</w:t>
            </w:r>
          </w:p>
          <w:p>
            <w:pPr>
              <w:rPr>
                <w:rFonts w:ascii="宋体" w:hAnsi="宋体"/>
                <w:color w:val="auto"/>
              </w:rPr>
            </w:pPr>
            <w:r>
              <w:rPr>
                <w:rFonts w:hint="eastAsia" w:ascii="宋体" w:hAnsi="宋体"/>
                <w:color w:val="auto"/>
              </w:rPr>
              <w:t>3.设备相连接的法兰、阀门、管件等处密封件老化泄漏</w:t>
            </w:r>
          </w:p>
          <w:p>
            <w:pPr>
              <w:rPr>
                <w:rFonts w:ascii="宋体" w:hAnsi="宋体"/>
                <w:color w:val="auto"/>
              </w:rPr>
            </w:pPr>
            <w:r>
              <w:rPr>
                <w:rFonts w:hint="eastAsia" w:ascii="宋体" w:hAnsi="宋体"/>
                <w:color w:val="auto"/>
              </w:rPr>
              <w:t>4.暂存罐、高位槽等物料溢出，液位等控制系统失效；</w:t>
            </w:r>
          </w:p>
          <w:p>
            <w:pPr>
              <w:rPr>
                <w:rFonts w:ascii="宋体" w:hAnsi="宋体"/>
                <w:color w:val="auto"/>
              </w:rPr>
            </w:pPr>
            <w:r>
              <w:rPr>
                <w:rFonts w:hint="eastAsia" w:ascii="宋体" w:hAnsi="宋体"/>
                <w:color w:val="auto"/>
              </w:rPr>
              <w:t>5.磺酰化、氧化反应过程中物流比例不当，</w:t>
            </w:r>
            <w:r>
              <w:rPr>
                <w:rFonts w:ascii="宋体" w:hAnsi="宋体"/>
                <w:color w:val="auto"/>
              </w:rPr>
              <w:t>反应釜中反应速度过快，热量不能及时导除，造成釜内温度急剧升高、压力升高引起容器破裂或爆炸</w:t>
            </w:r>
          </w:p>
          <w:p>
            <w:pPr>
              <w:rPr>
                <w:rFonts w:ascii="宋体" w:hAnsi="宋体"/>
                <w:color w:val="auto"/>
                <w:spacing w:val="-4"/>
              </w:rPr>
            </w:pPr>
            <w:r>
              <w:rPr>
                <w:rFonts w:hint="eastAsia" w:ascii="宋体" w:hAnsi="宋体"/>
                <w:color w:val="auto"/>
              </w:rPr>
              <w:t>6.</w:t>
            </w:r>
            <w:r>
              <w:rPr>
                <w:rFonts w:hint="eastAsia" w:ascii="宋体" w:hAnsi="宋体"/>
                <w:color w:val="auto"/>
                <w:spacing w:val="-4"/>
              </w:rPr>
              <w:t>蒸汽流量控制不当，导致大量气体产生，内压增大。</w:t>
            </w:r>
            <w:r>
              <w:rPr>
                <w:rFonts w:hint="eastAsia" w:ascii="宋体" w:hAnsi="宋体"/>
                <w:color w:val="auto"/>
              </w:rPr>
              <w:t>反应过程中断冷却水或冷却能力不足，加热时温度过高，反应温度控制过高，反应速度过快，造成反物料急剧气化喷出</w:t>
            </w:r>
          </w:p>
          <w:p>
            <w:pPr>
              <w:rPr>
                <w:rFonts w:ascii="宋体" w:hAnsi="宋体"/>
                <w:color w:val="auto"/>
                <w:spacing w:val="-4"/>
              </w:rPr>
            </w:pPr>
            <w:r>
              <w:rPr>
                <w:rFonts w:hint="eastAsia" w:ascii="宋体" w:hAnsi="宋体"/>
                <w:color w:val="auto"/>
                <w:spacing w:val="-4"/>
              </w:rPr>
              <w:t>7. 高低压互串</w:t>
            </w:r>
          </w:p>
          <w:p>
            <w:pPr>
              <w:rPr>
                <w:rFonts w:ascii="宋体" w:hAnsi="宋体"/>
                <w:color w:val="auto"/>
                <w:spacing w:val="-4"/>
              </w:rPr>
            </w:pPr>
            <w:r>
              <w:rPr>
                <w:rFonts w:hint="eastAsia" w:ascii="宋体" w:hAnsi="宋体"/>
                <w:color w:val="auto"/>
              </w:rPr>
              <w:t>8.系统开车</w:t>
            </w:r>
            <w:r>
              <w:rPr>
                <w:rFonts w:hint="eastAsia" w:ascii="宋体" w:hAnsi="宋体"/>
                <w:color w:val="auto"/>
                <w:spacing w:val="-4"/>
              </w:rPr>
              <w:t>前存在</w:t>
            </w:r>
            <w:r>
              <w:rPr>
                <w:rFonts w:hint="eastAsia" w:ascii="宋体" w:hAnsi="宋体"/>
                <w:bCs/>
                <w:color w:val="auto"/>
              </w:rPr>
              <w:t>易燃易爆物质</w:t>
            </w:r>
            <w:r>
              <w:rPr>
                <w:rFonts w:hint="eastAsia" w:ascii="宋体" w:hAnsi="宋体"/>
                <w:color w:val="auto"/>
                <w:spacing w:val="-4"/>
              </w:rPr>
              <w:t>等装置未进行氮气置换或置换不合格，系统内氧含量超标；</w:t>
            </w:r>
          </w:p>
          <w:p>
            <w:pPr>
              <w:rPr>
                <w:rFonts w:ascii="宋体" w:hAnsi="宋体"/>
                <w:color w:val="auto"/>
                <w:spacing w:val="-4"/>
              </w:rPr>
            </w:pPr>
            <w:r>
              <w:rPr>
                <w:rFonts w:hint="eastAsia" w:ascii="宋体" w:hAnsi="宋体"/>
                <w:color w:val="auto"/>
                <w:spacing w:val="-4"/>
              </w:rPr>
              <w:t>9.</w:t>
            </w:r>
            <w:r>
              <w:rPr>
                <w:rFonts w:hint="eastAsia" w:ascii="宋体" w:hAnsi="宋体"/>
                <w:color w:val="auto"/>
              </w:rPr>
              <w:t>蒸馏、萃取系统</w:t>
            </w:r>
            <w:r>
              <w:rPr>
                <w:rFonts w:hint="eastAsia" w:ascii="宋体" w:hAnsi="宋体"/>
                <w:color w:val="auto"/>
                <w:spacing w:val="-4"/>
              </w:rPr>
              <w:t>密封不良，易燃物质泄漏或系统内空气进入氧含量超标；</w:t>
            </w:r>
          </w:p>
          <w:p>
            <w:pPr>
              <w:rPr>
                <w:rFonts w:ascii="宋体" w:hAnsi="宋体"/>
                <w:color w:val="auto"/>
              </w:rPr>
            </w:pPr>
            <w:r>
              <w:rPr>
                <w:rFonts w:hint="eastAsia" w:ascii="宋体" w:hAnsi="宋体"/>
                <w:color w:val="auto"/>
                <w:spacing w:val="-4"/>
              </w:rPr>
              <w:t>10.</w:t>
            </w:r>
            <w:r>
              <w:rPr>
                <w:rFonts w:hint="eastAsia" w:ascii="宋体" w:hAnsi="宋体"/>
                <w:color w:val="auto"/>
              </w:rPr>
              <w:t xml:space="preserve"> 蒸馏过程中温度过高，冷凝效果不良造成排放泄漏、着火。</w:t>
            </w:r>
          </w:p>
          <w:p>
            <w:pPr>
              <w:rPr>
                <w:rFonts w:ascii="宋体" w:hAnsi="宋体"/>
                <w:color w:val="auto"/>
                <w:spacing w:val="-4"/>
              </w:rPr>
            </w:pPr>
            <w:r>
              <w:rPr>
                <w:rFonts w:hint="eastAsia" w:ascii="宋体" w:hAnsi="宋体"/>
                <w:color w:val="auto"/>
                <w:spacing w:val="-4"/>
              </w:rPr>
              <w:t>11.</w:t>
            </w:r>
            <w:r>
              <w:rPr>
                <w:color w:val="auto"/>
              </w:rPr>
              <w:t xml:space="preserve"> </w:t>
            </w:r>
            <w:r>
              <w:rPr>
                <w:rFonts w:hint="eastAsia" w:ascii="宋体" w:hAnsi="宋体"/>
                <w:color w:val="auto"/>
                <w:spacing w:val="-4"/>
              </w:rPr>
              <w:t>尾气排放可燃气体超标，发生燃爆；</w:t>
            </w:r>
          </w:p>
          <w:p>
            <w:pPr>
              <w:rPr>
                <w:rFonts w:ascii="宋体" w:hAnsi="宋体"/>
                <w:color w:val="auto"/>
              </w:rPr>
            </w:pPr>
            <w:r>
              <w:rPr>
                <w:rFonts w:hint="eastAsia" w:ascii="宋体" w:hAnsi="宋体"/>
                <w:color w:val="auto"/>
                <w:spacing w:val="-4"/>
              </w:rPr>
              <w:t>12.</w:t>
            </w:r>
            <w:r>
              <w:rPr>
                <w:rFonts w:hint="eastAsia" w:ascii="宋体" w:hAnsi="宋体"/>
                <w:color w:val="auto"/>
              </w:rPr>
              <w:t>人为损坏造成器、罐、阀、管道泄漏</w:t>
            </w:r>
          </w:p>
          <w:p>
            <w:pPr>
              <w:rPr>
                <w:rFonts w:ascii="宋体" w:hAnsi="宋体"/>
                <w:color w:val="auto"/>
                <w:spacing w:val="-4"/>
              </w:rPr>
            </w:pPr>
            <w:r>
              <w:rPr>
                <w:rFonts w:hint="eastAsia" w:ascii="宋体" w:hAnsi="宋体"/>
                <w:color w:val="auto"/>
                <w:spacing w:val="-4"/>
              </w:rPr>
              <w:t>13.违章操作</w:t>
            </w:r>
          </w:p>
          <w:p>
            <w:pPr>
              <w:rPr>
                <w:rFonts w:ascii="宋体" w:hAnsi="宋体"/>
                <w:color w:val="auto"/>
              </w:rPr>
            </w:pPr>
            <w:r>
              <w:rPr>
                <w:rFonts w:hint="eastAsia" w:ascii="宋体" w:hAnsi="宋体"/>
                <w:color w:val="auto"/>
              </w:rPr>
              <w:t>14.安全附件失效或未装</w:t>
            </w:r>
          </w:p>
          <w:p>
            <w:pPr>
              <w:rPr>
                <w:rFonts w:ascii="宋体" w:hAnsi="宋体"/>
                <w:color w:val="auto"/>
              </w:rPr>
            </w:pPr>
            <w:r>
              <w:rPr>
                <w:rFonts w:hint="eastAsia" w:ascii="宋体" w:hAnsi="宋体"/>
                <w:color w:val="auto"/>
              </w:rPr>
              <w:t>15.电气不符合防爆要求；</w:t>
            </w:r>
          </w:p>
          <w:p>
            <w:pPr>
              <w:rPr>
                <w:rFonts w:ascii="宋体" w:hAnsi="宋体"/>
                <w:color w:val="auto"/>
              </w:rPr>
            </w:pPr>
            <w:r>
              <w:rPr>
                <w:rFonts w:hint="eastAsia" w:ascii="宋体" w:hAnsi="宋体"/>
                <w:color w:val="auto"/>
              </w:rPr>
              <w:t>16.控制系统故障；可燃气体报警器失灵。</w:t>
            </w:r>
          </w:p>
          <w:p>
            <w:pPr>
              <w:rPr>
                <w:rFonts w:ascii="宋体" w:hAnsi="宋体"/>
                <w:color w:val="auto"/>
              </w:rPr>
            </w:pPr>
            <w:r>
              <w:rPr>
                <w:rFonts w:hint="eastAsia" w:ascii="宋体" w:hAnsi="宋体"/>
                <w:color w:val="auto"/>
              </w:rPr>
              <w:t>17.用非防爆工具操作、打击等造成火花</w:t>
            </w:r>
          </w:p>
          <w:p>
            <w:pPr>
              <w:rPr>
                <w:rFonts w:ascii="宋体" w:hAnsi="宋体"/>
                <w:color w:val="auto"/>
              </w:rPr>
            </w:pPr>
            <w:r>
              <w:rPr>
                <w:rFonts w:hint="eastAsia" w:ascii="宋体" w:hAnsi="宋体"/>
                <w:color w:val="auto"/>
                <w:spacing w:val="-4"/>
              </w:rPr>
              <w:t>18.</w:t>
            </w:r>
            <w:r>
              <w:rPr>
                <w:rFonts w:hint="eastAsia" w:ascii="宋体" w:hAnsi="宋体"/>
                <w:color w:val="auto"/>
              </w:rPr>
              <w:t>电气火花、静电放电、雷击</w:t>
            </w:r>
            <w:r>
              <w:rPr>
                <w:rFonts w:hint="eastAsia"/>
                <w:color w:val="auto"/>
              </w:rPr>
              <w:t>.</w:t>
            </w:r>
          </w:p>
          <w:p>
            <w:pPr>
              <w:jc w:val="center"/>
              <w:rPr>
                <w:rFonts w:ascii="宋体" w:hAnsi="宋体"/>
                <w:color w:val="auto"/>
              </w:rPr>
            </w:pP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人员伤亡、设备损坏</w:t>
            </w:r>
          </w:p>
        </w:tc>
        <w:tc>
          <w:tcPr>
            <w:tcW w:w="667"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Ⅲ</w:t>
            </w:r>
          </w:p>
        </w:tc>
        <w:tc>
          <w:tcPr>
            <w:tcW w:w="3585" w:type="dxa"/>
            <w:tcBorders>
              <w:top w:val="single" w:color="000000" w:sz="4" w:space="0"/>
              <w:left w:val="nil"/>
              <w:bottom w:val="single" w:color="000000" w:sz="4" w:space="0"/>
              <w:right w:val="single" w:color="000000" w:sz="4" w:space="0"/>
            </w:tcBorders>
          </w:tcPr>
          <w:p>
            <w:pPr>
              <w:spacing w:line="320" w:lineRule="exact"/>
              <w:rPr>
                <w:rFonts w:ascii="宋体" w:hAnsi="宋体"/>
                <w:color w:val="auto"/>
              </w:rPr>
            </w:pPr>
            <w:r>
              <w:rPr>
                <w:rFonts w:hint="eastAsia" w:ascii="宋体" w:hAnsi="宋体"/>
                <w:color w:val="auto"/>
              </w:rPr>
              <w:t>1．设备的工程设计、专业制造厂及施工、安装、检修单位必须具有相应的资质及许可证；施工、安装、检修完毕，应做好安全、质量检查和验收交接；</w:t>
            </w:r>
          </w:p>
          <w:p>
            <w:pPr>
              <w:spacing w:line="320" w:lineRule="exact"/>
              <w:rPr>
                <w:rFonts w:ascii="宋体" w:hAnsi="宋体"/>
                <w:color w:val="auto"/>
              </w:rPr>
            </w:pPr>
            <w:r>
              <w:rPr>
                <w:rFonts w:hint="eastAsia" w:ascii="宋体" w:hAnsi="宋体"/>
                <w:color w:val="auto"/>
              </w:rPr>
              <w:t>2．加强现场检查维护，减缓设备或管道等腐蚀、老化程度；</w:t>
            </w:r>
          </w:p>
          <w:p>
            <w:pPr>
              <w:spacing w:line="320" w:lineRule="exact"/>
              <w:rPr>
                <w:rFonts w:ascii="宋体" w:hAnsi="宋体"/>
                <w:color w:val="auto"/>
              </w:rPr>
            </w:pPr>
            <w:r>
              <w:rPr>
                <w:rFonts w:hint="eastAsia" w:ascii="宋体" w:hAnsi="宋体"/>
                <w:color w:val="auto"/>
              </w:rPr>
              <w:t xml:space="preserve">3.暂存罐、高位槽等设置液位高低报警，信号并与输送泵联锁； </w:t>
            </w:r>
          </w:p>
          <w:p>
            <w:pPr>
              <w:spacing w:line="320" w:lineRule="exact"/>
              <w:rPr>
                <w:rFonts w:ascii="宋体" w:hAnsi="宋体"/>
                <w:color w:val="auto"/>
              </w:rPr>
            </w:pPr>
            <w:r>
              <w:rPr>
                <w:rFonts w:hint="eastAsia" w:ascii="宋体" w:hAnsi="宋体"/>
                <w:color w:val="auto"/>
              </w:rPr>
              <w:t>4.严格执行安全操作规程，禁止违章作业，发现隐患及时整改；</w:t>
            </w:r>
          </w:p>
          <w:p>
            <w:pPr>
              <w:spacing w:line="320" w:lineRule="exact"/>
              <w:rPr>
                <w:rFonts w:ascii="宋体" w:hAnsi="宋体"/>
                <w:color w:val="auto"/>
              </w:rPr>
            </w:pPr>
            <w:r>
              <w:rPr>
                <w:rFonts w:hint="eastAsia" w:ascii="宋体" w:hAnsi="宋体"/>
                <w:color w:val="auto"/>
              </w:rPr>
              <w:t xml:space="preserve">5. 将反应釜内温度、压力与釜内搅拌、物料流量、冷却水进水阀形成联锁关系，设置紧急停车系统； </w:t>
            </w:r>
          </w:p>
          <w:p>
            <w:pPr>
              <w:spacing w:line="320" w:lineRule="exact"/>
              <w:rPr>
                <w:rFonts w:ascii="宋体" w:hAnsi="宋体"/>
                <w:color w:val="auto"/>
              </w:rPr>
            </w:pPr>
            <w:r>
              <w:rPr>
                <w:rFonts w:hint="eastAsia" w:ascii="宋体" w:hAnsi="宋体"/>
                <w:color w:val="auto"/>
              </w:rPr>
              <w:t>6.设置反应釜温度和压力的报警，并与蒸汽、冷却水形成联锁；</w:t>
            </w:r>
          </w:p>
          <w:p>
            <w:pPr>
              <w:spacing w:line="320" w:lineRule="exact"/>
              <w:rPr>
                <w:rFonts w:ascii="宋体" w:hAnsi="宋体"/>
                <w:color w:val="auto"/>
                <w:shd w:val="clear" w:color="auto" w:fill="FFFFFF"/>
              </w:rPr>
            </w:pPr>
            <w:r>
              <w:rPr>
                <w:rFonts w:hint="eastAsia" w:ascii="宋体" w:hAnsi="宋体"/>
                <w:color w:val="auto"/>
              </w:rPr>
              <w:t>7.</w:t>
            </w:r>
            <w:r>
              <w:rPr>
                <w:color w:val="auto"/>
                <w:sz w:val="18"/>
                <w:szCs w:val="18"/>
                <w:shd w:val="clear" w:color="auto" w:fill="FFFFFF"/>
              </w:rPr>
              <w:t xml:space="preserve"> </w:t>
            </w:r>
            <w:r>
              <w:rPr>
                <w:rFonts w:hint="eastAsia" w:ascii="宋体" w:hAnsi="宋体"/>
                <w:color w:val="auto"/>
                <w:shd w:val="clear" w:color="auto" w:fill="FFFFFF"/>
              </w:rPr>
              <w:t>应根据具体情况设置自动切断阀、止回阀或中间容器等，低压端设置安全阀等紧急泄压设施</w:t>
            </w:r>
          </w:p>
          <w:p>
            <w:pPr>
              <w:spacing w:line="320" w:lineRule="exact"/>
              <w:rPr>
                <w:rFonts w:ascii="宋体" w:hAnsi="宋体"/>
                <w:color w:val="auto"/>
              </w:rPr>
            </w:pPr>
            <w:r>
              <w:rPr>
                <w:rFonts w:hint="eastAsia" w:ascii="宋体" w:hAnsi="宋体"/>
                <w:color w:val="auto"/>
              </w:rPr>
              <w:t>8.开车前进行置换并合格后进行投料；</w:t>
            </w:r>
          </w:p>
          <w:p>
            <w:pPr>
              <w:spacing w:line="320" w:lineRule="exact"/>
              <w:rPr>
                <w:rFonts w:ascii="宋体" w:hAnsi="宋体"/>
                <w:color w:val="auto"/>
              </w:rPr>
            </w:pPr>
            <w:r>
              <w:rPr>
                <w:rFonts w:hint="eastAsia" w:ascii="宋体" w:hAnsi="宋体"/>
                <w:color w:val="auto"/>
              </w:rPr>
              <w:t>9.设置压力报警，系统在线氧含量报警设施并与系统紧急停车联锁；</w:t>
            </w:r>
          </w:p>
          <w:p>
            <w:pPr>
              <w:spacing w:line="320" w:lineRule="exact"/>
              <w:rPr>
                <w:rFonts w:ascii="宋体" w:hAnsi="宋体"/>
                <w:color w:val="auto"/>
              </w:rPr>
            </w:pPr>
            <w:r>
              <w:rPr>
                <w:rFonts w:hint="eastAsia"/>
                <w:color w:val="auto"/>
              </w:rPr>
              <w:t>10.</w:t>
            </w:r>
            <w:r>
              <w:rPr>
                <w:rFonts w:hint="eastAsia" w:ascii="宋体" w:hAnsi="宋体"/>
                <w:color w:val="auto"/>
              </w:rPr>
              <w:t>设置冷凝器温度与冷却水自动调节系统；</w:t>
            </w:r>
          </w:p>
          <w:p>
            <w:pPr>
              <w:spacing w:line="320" w:lineRule="exact"/>
              <w:rPr>
                <w:rFonts w:ascii="宋体" w:hAnsi="宋体"/>
                <w:color w:val="auto"/>
              </w:rPr>
            </w:pPr>
            <w:r>
              <w:rPr>
                <w:rFonts w:hint="eastAsia"/>
                <w:color w:val="auto"/>
              </w:rPr>
              <w:t>11.</w:t>
            </w:r>
            <w:r>
              <w:rPr>
                <w:rFonts w:hint="eastAsia" w:ascii="宋体" w:hAnsi="宋体"/>
                <w:color w:val="auto"/>
              </w:rPr>
              <w:t>尾气管道设置阻火器、静电接地设施；</w:t>
            </w:r>
          </w:p>
          <w:p>
            <w:pPr>
              <w:spacing w:line="320" w:lineRule="exact"/>
              <w:rPr>
                <w:rFonts w:ascii="宋体" w:hAnsi="宋体"/>
                <w:color w:val="auto"/>
              </w:rPr>
            </w:pPr>
            <w:r>
              <w:rPr>
                <w:rFonts w:hint="eastAsia"/>
                <w:color w:val="auto"/>
              </w:rPr>
              <w:t>12.</w:t>
            </w:r>
            <w:r>
              <w:rPr>
                <w:rFonts w:hint="eastAsia" w:ascii="宋体" w:hAnsi="宋体"/>
                <w:color w:val="auto"/>
              </w:rPr>
              <w:t>定期巡检，加强培训教育，无关人员不应进入生产现场；</w:t>
            </w:r>
          </w:p>
          <w:p>
            <w:pPr>
              <w:spacing w:line="320" w:lineRule="exact"/>
              <w:rPr>
                <w:rFonts w:ascii="宋体" w:hAnsi="宋体"/>
                <w:color w:val="auto"/>
              </w:rPr>
            </w:pPr>
            <w:r>
              <w:rPr>
                <w:rFonts w:hint="eastAsia"/>
                <w:color w:val="auto"/>
              </w:rPr>
              <w:t>13.</w:t>
            </w:r>
            <w:r>
              <w:rPr>
                <w:rFonts w:hint="eastAsia" w:ascii="宋体" w:hAnsi="宋体"/>
                <w:color w:val="auto"/>
              </w:rPr>
              <w:t>严格执行操作规程，平稳操作，保持系统运行平稳；加强安全管理，杜绝</w:t>
            </w:r>
            <w:r>
              <w:rPr>
                <w:color w:val="auto"/>
              </w:rPr>
              <w:t>“</w:t>
            </w:r>
            <w:r>
              <w:rPr>
                <w:rFonts w:hint="eastAsia" w:ascii="宋体" w:hAnsi="宋体"/>
                <w:color w:val="auto"/>
              </w:rPr>
              <w:t>三违</w:t>
            </w:r>
            <w:r>
              <w:rPr>
                <w:color w:val="auto"/>
              </w:rPr>
              <w:t>”</w:t>
            </w:r>
            <w:r>
              <w:rPr>
                <w:rFonts w:hint="eastAsia" w:ascii="宋体" w:hAnsi="宋体"/>
                <w:color w:val="auto"/>
              </w:rPr>
              <w:t>（违章作业、违章指挥、违反劳纪），严守工艺规定，防止工艺参数发生变化</w:t>
            </w:r>
          </w:p>
          <w:p>
            <w:pPr>
              <w:spacing w:line="320" w:lineRule="exact"/>
              <w:rPr>
                <w:rFonts w:ascii="宋体" w:hAnsi="宋体"/>
                <w:color w:val="auto"/>
              </w:rPr>
            </w:pPr>
            <w:r>
              <w:rPr>
                <w:rFonts w:hint="eastAsia"/>
                <w:color w:val="auto"/>
              </w:rPr>
              <w:t>14.</w:t>
            </w:r>
            <w:r>
              <w:rPr>
                <w:rFonts w:hint="eastAsia" w:ascii="宋体" w:hAnsi="宋体"/>
                <w:color w:val="auto"/>
              </w:rPr>
              <w:t>安全阀等附件定期检验，保持灵活可靠，不超温超压，对发生蠕变的螺栓进行更换加强设备安全附件管理，保证灵敏好用；</w:t>
            </w:r>
          </w:p>
          <w:p>
            <w:pPr>
              <w:spacing w:line="320" w:lineRule="exact"/>
              <w:rPr>
                <w:rFonts w:ascii="宋体" w:hAnsi="宋体"/>
                <w:color w:val="auto"/>
              </w:rPr>
            </w:pPr>
            <w:r>
              <w:rPr>
                <w:rFonts w:hint="eastAsia"/>
                <w:color w:val="auto"/>
              </w:rPr>
              <w:t>15.</w:t>
            </w:r>
            <w:r>
              <w:rPr>
                <w:rFonts w:hint="eastAsia" w:ascii="宋体" w:hAnsi="宋体"/>
                <w:color w:val="auto"/>
              </w:rPr>
              <w:t>按设计要求进行现场电气设备选型、安装；定期对电气设施进行保养维护和检测；</w:t>
            </w:r>
          </w:p>
          <w:p>
            <w:pPr>
              <w:spacing w:line="320" w:lineRule="exact"/>
              <w:rPr>
                <w:rFonts w:ascii="宋体" w:hAnsi="宋体"/>
                <w:color w:val="auto"/>
              </w:rPr>
            </w:pPr>
            <w:r>
              <w:rPr>
                <w:rFonts w:hint="eastAsia"/>
                <w:color w:val="auto"/>
              </w:rPr>
              <w:t>16.</w:t>
            </w:r>
            <w:r>
              <w:rPr>
                <w:rFonts w:hint="eastAsia" w:ascii="宋体" w:hAnsi="宋体"/>
                <w:color w:val="auto"/>
              </w:rPr>
              <w:t>定期维护和保养；按计划停车检修；</w:t>
            </w:r>
          </w:p>
          <w:p>
            <w:pPr>
              <w:spacing w:line="320" w:lineRule="exact"/>
              <w:rPr>
                <w:rFonts w:ascii="宋体" w:hAnsi="宋体"/>
                <w:color w:val="auto"/>
              </w:rPr>
            </w:pPr>
            <w:r>
              <w:rPr>
                <w:rFonts w:hint="eastAsia" w:ascii="宋体" w:hAnsi="宋体"/>
                <w:color w:val="auto"/>
              </w:rPr>
              <w:t>仪表、控制系统，联锁、报警装置应保护控制动作灵敏、可靠；。</w:t>
            </w:r>
          </w:p>
          <w:p>
            <w:pPr>
              <w:spacing w:line="320" w:lineRule="exact"/>
              <w:rPr>
                <w:rFonts w:ascii="宋体" w:hAnsi="宋体"/>
                <w:color w:val="auto"/>
              </w:rPr>
            </w:pPr>
            <w:r>
              <w:rPr>
                <w:rFonts w:hint="eastAsia"/>
                <w:color w:val="auto"/>
              </w:rPr>
              <w:t>17.</w:t>
            </w:r>
            <w:r>
              <w:rPr>
                <w:rFonts w:hint="eastAsia" w:ascii="宋体" w:hAnsi="宋体"/>
                <w:color w:val="auto"/>
              </w:rPr>
              <w:t>制定相关规定，配备不发火花工器具；</w:t>
            </w:r>
          </w:p>
          <w:p>
            <w:pPr>
              <w:spacing w:line="320" w:lineRule="exact"/>
              <w:rPr>
                <w:rFonts w:ascii="宋体" w:hAnsi="宋体"/>
                <w:color w:val="auto"/>
              </w:rPr>
            </w:pPr>
            <w:r>
              <w:rPr>
                <w:rFonts w:hint="eastAsia" w:ascii="宋体" w:hAnsi="宋体"/>
                <w:color w:val="auto"/>
              </w:rPr>
              <w:t>18.</w:t>
            </w:r>
            <w:r>
              <w:rPr>
                <w:rFonts w:hint="eastAsia" w:ascii="宋体" w:hAnsi="宋体"/>
                <w:bCs/>
                <w:color w:val="auto"/>
              </w:rPr>
              <w:t>按规范进行防雷、防静电设施的设计安装和检测。</w:t>
            </w:r>
          </w:p>
          <w:p>
            <w:pPr>
              <w:spacing w:line="320" w:lineRule="exact"/>
              <w:rPr>
                <w:rFonts w:ascii="宋体" w:hAnsi="宋体"/>
                <w:color w:val="auto"/>
              </w:rPr>
            </w:pPr>
            <w:r>
              <w:rPr>
                <w:rFonts w:ascii="宋体" w:hAnsi="宋体"/>
                <w:bCs/>
                <w:color w:val="auto"/>
              </w:rPr>
              <w:t>19</w:t>
            </w:r>
            <w:r>
              <w:rPr>
                <w:rFonts w:hint="eastAsia" w:ascii="宋体" w:hAnsi="宋体"/>
                <w:bCs/>
                <w:color w:val="auto"/>
              </w:rPr>
              <w:t>.</w:t>
            </w:r>
            <w:r>
              <w:rPr>
                <w:rFonts w:hint="eastAsia" w:ascii="宋体" w:hAnsi="宋体"/>
                <w:color w:val="auto"/>
              </w:rPr>
              <w:t>制定系统超压、超温、物料泄漏等应急预案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中毒和窒息</w:t>
            </w:r>
          </w:p>
        </w:tc>
        <w:tc>
          <w:tcPr>
            <w:tcW w:w="77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有毒性物料、</w:t>
            </w:r>
            <w:r>
              <w:rPr>
                <w:rFonts w:hint="eastAsia" w:ascii="宋体" w:hAnsi="宋体"/>
                <w:bCs/>
                <w:color w:val="auto"/>
              </w:rPr>
              <w:t>窒息性气体泄漏</w:t>
            </w:r>
          </w:p>
        </w:tc>
        <w:tc>
          <w:tcPr>
            <w:tcW w:w="3196" w:type="dxa"/>
            <w:tcBorders>
              <w:top w:val="single" w:color="000000" w:sz="4" w:space="0"/>
              <w:left w:val="nil"/>
              <w:bottom w:val="single" w:color="000000" w:sz="4" w:space="0"/>
              <w:right w:val="single" w:color="000000" w:sz="6" w:space="0"/>
            </w:tcBorders>
            <w:vAlign w:val="center"/>
          </w:tcPr>
          <w:p>
            <w:pPr>
              <w:rPr>
                <w:rFonts w:ascii="宋体" w:hAnsi="宋体"/>
                <w:color w:val="auto"/>
              </w:rPr>
            </w:pPr>
            <w:r>
              <w:rPr>
                <w:rFonts w:hint="eastAsia" w:ascii="宋体" w:hAnsi="宋体"/>
                <w:color w:val="auto"/>
              </w:rPr>
              <w:t>一、运行泄漏：</w:t>
            </w:r>
          </w:p>
          <w:p>
            <w:pPr>
              <w:rPr>
                <w:rFonts w:ascii="宋体" w:hAnsi="宋体"/>
                <w:color w:val="auto"/>
              </w:rPr>
            </w:pPr>
            <w:r>
              <w:rPr>
                <w:rFonts w:hint="eastAsia"/>
                <w:color w:val="auto"/>
              </w:rPr>
              <w:t>1.</w:t>
            </w:r>
            <w:r>
              <w:rPr>
                <w:rFonts w:hint="eastAsia" w:ascii="宋体" w:hAnsi="宋体"/>
                <w:color w:val="auto"/>
              </w:rPr>
              <w:t>阀门、法兰等泄漏；</w:t>
            </w:r>
          </w:p>
          <w:p>
            <w:pPr>
              <w:rPr>
                <w:rFonts w:ascii="宋体" w:hAnsi="宋体"/>
                <w:color w:val="auto"/>
              </w:rPr>
            </w:pPr>
            <w:r>
              <w:rPr>
                <w:rFonts w:hint="eastAsia"/>
                <w:color w:val="auto"/>
              </w:rPr>
              <w:t>2.</w:t>
            </w:r>
            <w:r>
              <w:rPr>
                <w:rFonts w:hint="eastAsia" w:ascii="宋体" w:hAnsi="宋体"/>
                <w:color w:val="auto"/>
              </w:rPr>
              <w:t>泵破裂或泵、转动设备等动密封处泄漏；</w:t>
            </w:r>
          </w:p>
          <w:p>
            <w:pPr>
              <w:rPr>
                <w:rFonts w:ascii="宋体" w:hAnsi="宋体"/>
                <w:color w:val="auto"/>
              </w:rPr>
            </w:pPr>
            <w:r>
              <w:rPr>
                <w:rFonts w:hint="eastAsia"/>
                <w:color w:val="auto"/>
              </w:rPr>
              <w:t>3.</w:t>
            </w:r>
            <w:r>
              <w:rPr>
                <w:rFonts w:hint="eastAsia" w:ascii="宋体" w:hAnsi="宋体"/>
                <w:color w:val="auto"/>
              </w:rPr>
              <w:t>阀门、泵、管道、流量计、仪表等因质量或安装不当泄漏；</w:t>
            </w:r>
          </w:p>
          <w:p>
            <w:pPr>
              <w:rPr>
                <w:rFonts w:ascii="宋体" w:hAnsi="宋体"/>
                <w:color w:val="auto"/>
              </w:rPr>
            </w:pPr>
            <w:r>
              <w:rPr>
                <w:rFonts w:hint="eastAsia" w:ascii="宋体" w:hAnsi="宋体"/>
                <w:color w:val="auto"/>
              </w:rPr>
              <w:t>4.设备或管道遭受腐蚀强度下降，发生破裂泄漏</w:t>
            </w:r>
          </w:p>
          <w:p>
            <w:pPr>
              <w:rPr>
                <w:rFonts w:ascii="宋体" w:hAnsi="宋体"/>
                <w:color w:val="auto"/>
              </w:rPr>
            </w:pPr>
            <w:r>
              <w:rPr>
                <w:rFonts w:hint="eastAsia" w:ascii="宋体" w:hAnsi="宋体"/>
                <w:color w:val="auto"/>
              </w:rPr>
              <w:t>5.系统超压，有毒物料等泄露。</w:t>
            </w:r>
          </w:p>
          <w:p>
            <w:pPr>
              <w:rPr>
                <w:rFonts w:ascii="宋体" w:hAnsi="宋体"/>
                <w:color w:val="auto"/>
              </w:rPr>
            </w:pPr>
            <w:r>
              <w:rPr>
                <w:rFonts w:hint="eastAsia" w:ascii="宋体" w:hAnsi="宋体"/>
                <w:color w:val="auto"/>
              </w:rPr>
              <w:t>二.作业场所通风不良；</w:t>
            </w:r>
          </w:p>
          <w:p>
            <w:pPr>
              <w:rPr>
                <w:rFonts w:ascii="宋体" w:hAnsi="宋体"/>
                <w:color w:val="auto"/>
              </w:rPr>
            </w:pPr>
            <w:r>
              <w:rPr>
                <w:rFonts w:hint="eastAsia" w:ascii="宋体" w:hAnsi="宋体"/>
                <w:color w:val="auto"/>
              </w:rPr>
              <w:t>三.未设置事故通风设施</w:t>
            </w:r>
          </w:p>
          <w:p>
            <w:pPr>
              <w:rPr>
                <w:rFonts w:ascii="宋体" w:hAnsi="宋体"/>
                <w:color w:val="auto"/>
              </w:rPr>
            </w:pPr>
            <w:r>
              <w:rPr>
                <w:rFonts w:hint="eastAsia" w:ascii="宋体" w:hAnsi="宋体"/>
                <w:color w:val="auto"/>
              </w:rPr>
              <w:t>四．报警器失灵。</w:t>
            </w:r>
          </w:p>
          <w:p>
            <w:pPr>
              <w:rPr>
                <w:rFonts w:ascii="宋体" w:hAnsi="宋体"/>
                <w:color w:val="auto"/>
              </w:rPr>
            </w:pPr>
            <w:r>
              <w:rPr>
                <w:rFonts w:hint="eastAsia" w:ascii="宋体" w:hAnsi="宋体"/>
                <w:color w:val="auto"/>
              </w:rPr>
              <w:t>五．维修、抢修时，罐、管、阀等中的有毒有害物料未彻底清洗干净，未采取有效的隔绝措施；</w:t>
            </w:r>
          </w:p>
          <w:p>
            <w:pPr>
              <w:rPr>
                <w:rFonts w:ascii="宋体" w:hAnsi="宋体"/>
                <w:color w:val="auto"/>
              </w:rPr>
            </w:pPr>
            <w:r>
              <w:rPr>
                <w:rFonts w:hint="eastAsia" w:ascii="宋体" w:hAnsi="宋体"/>
                <w:color w:val="auto"/>
              </w:rPr>
              <w:t>六．违章操作</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人员伤亡</w:t>
            </w:r>
          </w:p>
        </w:tc>
        <w:tc>
          <w:tcPr>
            <w:tcW w:w="667"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Ⅲ</w:t>
            </w:r>
          </w:p>
          <w:p>
            <w:pPr>
              <w:jc w:val="center"/>
              <w:rPr>
                <w:rFonts w:ascii="宋体" w:hAnsi="宋体"/>
                <w:color w:val="auto"/>
              </w:rPr>
            </w:pPr>
          </w:p>
        </w:tc>
        <w:tc>
          <w:tcPr>
            <w:tcW w:w="3585" w:type="dxa"/>
            <w:tcBorders>
              <w:top w:val="single" w:color="000000" w:sz="4" w:space="0"/>
              <w:left w:val="nil"/>
              <w:bottom w:val="single" w:color="000000" w:sz="4" w:space="0"/>
              <w:right w:val="single" w:color="000000" w:sz="4" w:space="0"/>
            </w:tcBorders>
            <w:vAlign w:val="center"/>
          </w:tcPr>
          <w:p>
            <w:pPr>
              <w:spacing w:line="320" w:lineRule="exact"/>
              <w:rPr>
                <w:rFonts w:ascii="宋体" w:hAnsi="宋体"/>
                <w:bCs/>
                <w:color w:val="auto"/>
              </w:rPr>
            </w:pPr>
            <w:r>
              <w:rPr>
                <w:rFonts w:hint="eastAsia" w:ascii="宋体" w:hAnsi="宋体"/>
                <w:bCs/>
                <w:color w:val="auto"/>
              </w:rPr>
              <w:t>1．应对管线、法兰、阀门、附件等经常进行检查，防止气体泄漏。</w:t>
            </w:r>
          </w:p>
          <w:p>
            <w:pPr>
              <w:spacing w:line="320" w:lineRule="exact"/>
              <w:rPr>
                <w:rFonts w:ascii="宋体" w:hAnsi="宋体"/>
                <w:color w:val="auto"/>
              </w:rPr>
            </w:pPr>
            <w:r>
              <w:rPr>
                <w:rFonts w:hint="eastAsia" w:ascii="宋体" w:hAnsi="宋体"/>
                <w:color w:val="auto"/>
              </w:rPr>
              <w:t>2．加强作业场所的通风；</w:t>
            </w:r>
          </w:p>
          <w:p>
            <w:pPr>
              <w:spacing w:line="320" w:lineRule="exact"/>
              <w:rPr>
                <w:rFonts w:ascii="宋体" w:hAnsi="宋体"/>
                <w:color w:val="auto"/>
              </w:rPr>
            </w:pPr>
            <w:r>
              <w:rPr>
                <w:rFonts w:hint="eastAsia" w:ascii="宋体" w:hAnsi="宋体"/>
                <w:color w:val="auto"/>
              </w:rPr>
              <w:t>3．保证报警装置好用。</w:t>
            </w:r>
          </w:p>
          <w:p>
            <w:pPr>
              <w:spacing w:line="320" w:lineRule="exact"/>
              <w:rPr>
                <w:rFonts w:ascii="宋体" w:hAnsi="宋体"/>
                <w:color w:val="auto"/>
              </w:rPr>
            </w:pPr>
            <w:r>
              <w:rPr>
                <w:rFonts w:hint="eastAsia" w:ascii="宋体" w:hAnsi="宋体"/>
                <w:color w:val="auto"/>
              </w:rPr>
              <w:t>4.可能存在大量泄漏场所，设置事故通风系统；紧急排放时应排放至安全场所</w:t>
            </w:r>
          </w:p>
          <w:p>
            <w:pPr>
              <w:spacing w:line="320" w:lineRule="exact"/>
              <w:rPr>
                <w:rFonts w:ascii="宋体" w:hAnsi="宋体"/>
                <w:bCs/>
                <w:color w:val="auto"/>
              </w:rPr>
            </w:pPr>
            <w:r>
              <w:rPr>
                <w:rFonts w:hint="eastAsia" w:ascii="宋体" w:hAnsi="宋体"/>
                <w:color w:val="auto"/>
              </w:rPr>
              <w:t>5.</w:t>
            </w:r>
            <w:r>
              <w:rPr>
                <w:rFonts w:hint="eastAsia" w:ascii="宋体" w:hAnsi="宋体"/>
                <w:bCs/>
                <w:color w:val="auto"/>
              </w:rPr>
              <w:t xml:space="preserve"> 未经置换或置换不完全不准进入现场。</w:t>
            </w:r>
          </w:p>
          <w:p>
            <w:pPr>
              <w:spacing w:line="320" w:lineRule="exact"/>
              <w:rPr>
                <w:rFonts w:ascii="宋体" w:hAnsi="宋体"/>
                <w:color w:val="auto"/>
              </w:rPr>
            </w:pPr>
            <w:r>
              <w:rPr>
                <w:rFonts w:hint="eastAsia" w:ascii="宋体" w:hAnsi="宋体"/>
                <w:bCs/>
                <w:color w:val="auto"/>
              </w:rPr>
              <w:t>6.</w:t>
            </w:r>
            <w:r>
              <w:rPr>
                <w:rFonts w:hint="eastAsia" w:ascii="宋体" w:hAnsi="宋体"/>
                <w:color w:val="auto"/>
              </w:rPr>
              <w:t>配备相应的防护器材；</w:t>
            </w:r>
          </w:p>
          <w:p>
            <w:pPr>
              <w:spacing w:line="320" w:lineRule="exact"/>
              <w:rPr>
                <w:rFonts w:ascii="宋体" w:hAnsi="宋体"/>
                <w:color w:val="auto"/>
              </w:rPr>
            </w:pPr>
            <w:r>
              <w:rPr>
                <w:rFonts w:hint="eastAsia" w:ascii="宋体" w:hAnsi="宋体"/>
                <w:color w:val="auto"/>
              </w:rPr>
              <w:t>7.定期检修、维护保养，保持设备完好；检修时，应与其他设备或管道隔断，彻底清洗干净，并检测有毒有害物质浓度、含氧量（</w:t>
            </w:r>
            <w:r>
              <w:rPr>
                <w:color w:val="auto"/>
              </w:rPr>
              <w:t>19.5</w:t>
            </w:r>
            <w:r>
              <w:rPr>
                <w:rFonts w:hint="eastAsia" w:ascii="宋体" w:hAnsi="宋体"/>
                <w:color w:val="auto"/>
              </w:rPr>
              <w:t>～</w:t>
            </w:r>
            <w:r>
              <w:rPr>
                <w:color w:val="auto"/>
              </w:rPr>
              <w:t>23.5%</w:t>
            </w:r>
            <w:r>
              <w:rPr>
                <w:rFonts w:hint="eastAsia" w:ascii="宋体" w:hAnsi="宋体"/>
                <w:color w:val="auto"/>
              </w:rPr>
              <w:t>），合格后方可作业；作业时，穿戴劳动防护用品，有人监护并有抢救后备措施</w:t>
            </w:r>
          </w:p>
          <w:p>
            <w:pPr>
              <w:spacing w:line="320" w:lineRule="exact"/>
              <w:rPr>
                <w:rFonts w:ascii="宋体" w:hAnsi="宋体"/>
                <w:bCs/>
                <w:color w:val="auto"/>
              </w:rPr>
            </w:pPr>
            <w:r>
              <w:rPr>
                <w:rFonts w:hint="eastAsia"/>
                <w:color w:val="auto"/>
              </w:rPr>
              <w:t>8.</w:t>
            </w:r>
            <w:r>
              <w:rPr>
                <w:rFonts w:hAnsi="宋体"/>
                <w:color w:val="auto"/>
              </w:rPr>
              <w:t xml:space="preserve"> </w:t>
            </w:r>
            <w:r>
              <w:rPr>
                <w:rFonts w:hint="eastAsia" w:ascii="宋体" w:hAnsi="宋体"/>
                <w:color w:val="auto"/>
              </w:rPr>
              <w:t>要有应急预案，抢救时勿忘正确使用防毒面具及其它防护用品。</w:t>
            </w:r>
          </w:p>
          <w:p>
            <w:pPr>
              <w:spacing w:line="320" w:lineRule="exact"/>
              <w:rPr>
                <w:rFonts w:ascii="宋体" w:hAnsi="宋体"/>
                <w:bCs/>
                <w:color w:val="auto"/>
              </w:rPr>
            </w:pPr>
            <w:r>
              <w:rPr>
                <w:rFonts w:hint="eastAsia"/>
                <w:color w:val="auto"/>
              </w:rPr>
              <w:t>9.</w:t>
            </w:r>
            <w:r>
              <w:rPr>
                <w:rFonts w:hAnsi="宋体"/>
                <w:color w:val="auto"/>
              </w:rPr>
              <w:t xml:space="preserve"> </w:t>
            </w:r>
            <w:r>
              <w:rPr>
                <w:rFonts w:hint="eastAsia" w:ascii="宋体" w:hAnsi="宋体"/>
                <w:color w:val="auto"/>
              </w:rPr>
              <w:t>设立危险、有毒、窒息性标志；设立急救点，配备相应的防护用品、急救药品、器材；</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灼烫</w:t>
            </w:r>
          </w:p>
        </w:tc>
        <w:tc>
          <w:tcPr>
            <w:tcW w:w="776" w:type="dxa"/>
            <w:tcBorders>
              <w:top w:val="single" w:color="000000" w:sz="4" w:space="0"/>
              <w:left w:val="nil"/>
              <w:bottom w:val="single" w:color="000000" w:sz="4" w:space="0"/>
              <w:right w:val="single" w:color="000000" w:sz="6" w:space="0"/>
            </w:tcBorders>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腐蚀性物料、高温部件或物料与人体直接接触</w:t>
            </w:r>
          </w:p>
        </w:tc>
        <w:tc>
          <w:tcPr>
            <w:tcW w:w="319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1.腐蚀性物料等故障喷出；</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2.高温介质等管道、设备、机泵、阀门破裂。</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3.温控系统失效，系统超压破裂</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4. 液位等控制系统失效。</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5.装置、管道密封件、垫片失效引起泄露。</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6.清洗、检修塔、管等设备时泄漏，未使用防护用品，接触到高温介质；</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7.没有按照要求穿戴劳动防护用品；</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8.违规违章操作；</w:t>
            </w:r>
          </w:p>
        </w:tc>
        <w:tc>
          <w:tcPr>
            <w:tcW w:w="63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人员灼伤、甚至死亡</w:t>
            </w:r>
          </w:p>
        </w:tc>
        <w:tc>
          <w:tcPr>
            <w:tcW w:w="667"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Ⅱ</w:t>
            </w:r>
          </w:p>
        </w:tc>
        <w:tc>
          <w:tcPr>
            <w:tcW w:w="3585" w:type="dxa"/>
            <w:tcBorders>
              <w:top w:val="single" w:color="000000" w:sz="4" w:space="0"/>
              <w:left w:val="nil"/>
              <w:bottom w:val="single" w:color="000000" w:sz="4" w:space="0"/>
              <w:right w:val="single" w:color="000000" w:sz="4"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1.处理腐蚀性物料泄漏故障时，建议工作人员佩戴防护用品；</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2.严格控制设备质量，加强设备维护保养；</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3.坚持巡回检查，发现问题及时处理；</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4.检修存在物料设备、管线时，应将设备、管线内物料排空完，应关闭阀门，并对管线加堵盲板；</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5.可能存在物理烫伤性的部件设置隔热材料或防护措施</w:t>
            </w:r>
          </w:p>
          <w:p>
            <w:pPr>
              <w:keepNext w:val="0"/>
              <w:keepLines w:val="0"/>
              <w:pageBreakBefore w:val="0"/>
              <w:widowControl w:val="0"/>
              <w:kinsoku/>
              <w:wordWrap/>
              <w:overflowPunct/>
              <w:topLinePunct w:val="0"/>
              <w:autoSpaceDE w:val="0"/>
              <w:autoSpaceDN w:val="0"/>
              <w:bidi w:val="0"/>
              <w:adjustRightInd/>
              <w:snapToGrid/>
              <w:spacing w:line="290" w:lineRule="exact"/>
              <w:textAlignment w:val="auto"/>
              <w:rPr>
                <w:rFonts w:ascii="宋体" w:hAnsi="宋体"/>
                <w:color w:val="auto"/>
              </w:rPr>
            </w:pPr>
            <w:r>
              <w:rPr>
                <w:rFonts w:hint="eastAsia" w:ascii="宋体" w:hAnsi="宋体"/>
                <w:color w:val="auto"/>
              </w:rPr>
              <w:t>6.配置淋洗器、洗眼器等；</w:t>
            </w:r>
          </w:p>
          <w:p>
            <w:pPr>
              <w:keepNext w:val="0"/>
              <w:keepLines w:val="0"/>
              <w:pageBreakBefore w:val="0"/>
              <w:widowControl w:val="0"/>
              <w:kinsoku/>
              <w:wordWrap/>
              <w:overflowPunct/>
              <w:topLinePunct w:val="0"/>
              <w:autoSpaceDE w:val="0"/>
              <w:autoSpaceDN w:val="0"/>
              <w:bidi w:val="0"/>
              <w:adjustRightInd/>
              <w:snapToGrid/>
              <w:spacing w:line="290" w:lineRule="exact"/>
              <w:textAlignment w:val="auto"/>
              <w:rPr>
                <w:rFonts w:ascii="宋体" w:hAnsi="宋体"/>
                <w:color w:val="auto"/>
              </w:rPr>
            </w:pPr>
            <w:r>
              <w:rPr>
                <w:rFonts w:hint="eastAsia" w:ascii="宋体" w:hAnsi="宋体"/>
                <w:color w:val="auto"/>
              </w:rPr>
              <w:t>7.配备相应的防护用品和急救用品；</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8.设置危险、高温、灼烫性标志。</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bCs/>
                <w:color w:val="auto"/>
              </w:rPr>
            </w:pPr>
            <w:r>
              <w:rPr>
                <w:rFonts w:hint="eastAsia" w:ascii="宋体" w:hAnsi="宋体"/>
                <w:color w:val="auto"/>
              </w:rPr>
              <w:t>9. 按操作规程进行；</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触电</w:t>
            </w:r>
          </w:p>
        </w:tc>
        <w:tc>
          <w:tcPr>
            <w:tcW w:w="77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接触带电体</w:t>
            </w:r>
          </w:p>
        </w:tc>
        <w:tc>
          <w:tcPr>
            <w:tcW w:w="319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rFonts w:ascii="Calibri" w:hAnsi="Calibri"/>
                <w:color w:val="auto"/>
              </w:rPr>
            </w:pPr>
            <w:r>
              <w:rPr>
                <w:rFonts w:hint="eastAsia"/>
                <w:color w:val="auto"/>
              </w:rPr>
              <w:t>1.</w:t>
            </w:r>
            <w:r>
              <w:rPr>
                <w:rFonts w:hint="eastAsia" w:ascii="宋体" w:hAnsi="宋体"/>
                <w:color w:val="auto"/>
              </w:rPr>
              <w:t>未穿戴合格的劳动防护用品；</w:t>
            </w:r>
          </w:p>
          <w:p>
            <w:pPr>
              <w:keepNext w:val="0"/>
              <w:keepLines w:val="0"/>
              <w:pageBreakBefore w:val="0"/>
              <w:widowControl w:val="0"/>
              <w:kinsoku/>
              <w:wordWrap/>
              <w:overflowPunct/>
              <w:topLinePunct w:val="0"/>
              <w:bidi w:val="0"/>
              <w:adjustRightInd/>
              <w:snapToGrid/>
              <w:spacing w:line="290" w:lineRule="exact"/>
              <w:textAlignment w:val="auto"/>
              <w:rPr>
                <w:color w:val="auto"/>
              </w:rPr>
            </w:pPr>
            <w:r>
              <w:rPr>
                <w:color w:val="auto"/>
              </w:rPr>
              <w:t>2</w:t>
            </w:r>
            <w:r>
              <w:rPr>
                <w:rFonts w:hint="eastAsia"/>
                <w:color w:val="auto"/>
              </w:rPr>
              <w:t>.</w:t>
            </w:r>
            <w:r>
              <w:rPr>
                <w:rFonts w:hint="eastAsia" w:ascii="宋体" w:hAnsi="宋体"/>
                <w:color w:val="auto"/>
              </w:rPr>
              <w:t>身体不慎接触带电导体；</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color w:val="auto"/>
              </w:rPr>
              <w:t>3</w:t>
            </w:r>
            <w:r>
              <w:rPr>
                <w:rFonts w:hint="eastAsia"/>
                <w:color w:val="auto"/>
              </w:rPr>
              <w:t>.</w:t>
            </w:r>
            <w:r>
              <w:rPr>
                <w:rFonts w:hint="eastAsia" w:ascii="宋体" w:hAnsi="宋体"/>
                <w:color w:val="auto"/>
              </w:rPr>
              <w:t>监护措施不力或没有监护。</w:t>
            </w:r>
          </w:p>
        </w:tc>
        <w:tc>
          <w:tcPr>
            <w:tcW w:w="63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人员伤亡</w:t>
            </w:r>
          </w:p>
        </w:tc>
        <w:tc>
          <w:tcPr>
            <w:tcW w:w="667"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Ⅲ</w:t>
            </w:r>
          </w:p>
        </w:tc>
        <w:tc>
          <w:tcPr>
            <w:tcW w:w="3585"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1.带电作业时要按安全工作要求并填写工作票，并制订可靠的安全防护措施；</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2.做好监护工作；</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3.操作人员要穿戴好劳动防护用品，使用安全防护用具；</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4.操作时严格遵守安全操作。</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机械伤害</w:t>
            </w:r>
          </w:p>
        </w:tc>
        <w:tc>
          <w:tcPr>
            <w:tcW w:w="77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与动设备直接接触</w:t>
            </w:r>
          </w:p>
        </w:tc>
        <w:tc>
          <w:tcPr>
            <w:tcW w:w="319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1.机械设备缺乏安全防护装置，本身的结构、强度等不合理；</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2.运行部件飞出；旋转、往复、滑动物撞击人体；</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3.安装维修不当，使设备的安全性能不佳；</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4.工作场所环境不良，如空间狭窄，设备布局不合理等；</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5.违反操作规程；</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ascii="宋体" w:hAnsi="宋体"/>
                <w:color w:val="auto"/>
              </w:rPr>
              <w:t>6</w:t>
            </w:r>
            <w:r>
              <w:rPr>
                <w:rFonts w:hint="eastAsia" w:ascii="宋体" w:hAnsi="宋体"/>
                <w:color w:val="auto"/>
              </w:rPr>
              <w:t>.运行状态时打扫卫生；</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ascii="宋体" w:hAnsi="宋体"/>
                <w:color w:val="auto"/>
              </w:rPr>
              <w:t>7</w:t>
            </w:r>
            <w:r>
              <w:rPr>
                <w:rFonts w:hint="eastAsia" w:ascii="宋体" w:hAnsi="宋体"/>
                <w:color w:val="auto"/>
              </w:rPr>
              <w:t>.设备有故障</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ascii="宋体" w:hAnsi="宋体"/>
                <w:color w:val="auto"/>
              </w:rPr>
              <w:t>8</w:t>
            </w:r>
            <w:r>
              <w:rPr>
                <w:rFonts w:hint="eastAsia" w:ascii="宋体" w:hAnsi="宋体"/>
                <w:color w:val="auto"/>
              </w:rPr>
              <w:t>.机械设备安全防护装置缺乏或损坏、被拆除等；</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ascii="宋体" w:hAnsi="宋体"/>
                <w:color w:val="auto"/>
              </w:rPr>
              <w:t>9</w:t>
            </w:r>
            <w:r>
              <w:rPr>
                <w:rFonts w:hint="eastAsia" w:ascii="宋体" w:hAnsi="宋体"/>
                <w:color w:val="auto"/>
              </w:rPr>
              <w:t>.操作人员疏忽大意，身体进入机械危险部位；</w:t>
            </w:r>
          </w:p>
          <w:p>
            <w:pPr>
              <w:keepNext w:val="0"/>
              <w:keepLines w:val="0"/>
              <w:pageBreakBefore w:val="0"/>
              <w:widowControl w:val="0"/>
              <w:kinsoku/>
              <w:wordWrap/>
              <w:overflowPunct/>
              <w:topLinePunct w:val="0"/>
              <w:bidi w:val="0"/>
              <w:adjustRightInd/>
              <w:snapToGrid/>
              <w:spacing w:line="290" w:lineRule="exact"/>
              <w:textAlignment w:val="auto"/>
              <w:rPr>
                <w:color w:val="auto"/>
              </w:rPr>
            </w:pPr>
            <w:r>
              <w:rPr>
                <w:rFonts w:hint="eastAsia" w:ascii="宋体" w:hAnsi="宋体"/>
                <w:color w:val="auto"/>
              </w:rPr>
              <w:t>1</w:t>
            </w:r>
            <w:r>
              <w:rPr>
                <w:rFonts w:ascii="宋体" w:hAnsi="宋体"/>
                <w:color w:val="auto"/>
              </w:rPr>
              <w:t>0</w:t>
            </w:r>
            <w:r>
              <w:rPr>
                <w:rFonts w:hint="eastAsia" w:ascii="宋体" w:hAnsi="宋体"/>
                <w:color w:val="auto"/>
              </w:rPr>
              <w:t>.安全管理上存在不足。</w:t>
            </w:r>
          </w:p>
        </w:tc>
        <w:tc>
          <w:tcPr>
            <w:tcW w:w="63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人员损伤</w:t>
            </w:r>
          </w:p>
        </w:tc>
        <w:tc>
          <w:tcPr>
            <w:tcW w:w="667"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Ⅱ</w:t>
            </w:r>
          </w:p>
        </w:tc>
        <w:tc>
          <w:tcPr>
            <w:tcW w:w="3585"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1.加强安全教育，增强职工安全意识；</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2.严格遵守安全操作规程，严禁违章操作，在机械运行中禁止接触转动部分；</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3.机械转动部分的安全防护装置要保持完好；</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4.经常进行设备安全防护装置的检修和维护；</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ascii="宋体" w:hAnsi="宋体"/>
                <w:color w:val="auto"/>
              </w:rPr>
              <w:t>5.加强工作现场的安全管理。</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冻伤</w:t>
            </w:r>
          </w:p>
        </w:tc>
        <w:tc>
          <w:tcPr>
            <w:tcW w:w="77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低温部件或低温物料与人体直接接触</w:t>
            </w:r>
          </w:p>
        </w:tc>
        <w:tc>
          <w:tcPr>
            <w:tcW w:w="319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color w:val="auto"/>
              </w:rPr>
            </w:pPr>
            <w:r>
              <w:rPr>
                <w:rFonts w:hint="eastAsia"/>
                <w:color w:val="auto"/>
              </w:rPr>
              <w:t xml:space="preserve">1. </w:t>
            </w:r>
            <w:r>
              <w:rPr>
                <w:rFonts w:hint="eastAsia" w:ascii="宋体" w:hAnsi="宋体"/>
                <w:color w:val="auto"/>
              </w:rPr>
              <w:t>保冷设施损坏；</w:t>
            </w:r>
          </w:p>
          <w:p>
            <w:pPr>
              <w:keepNext w:val="0"/>
              <w:keepLines w:val="0"/>
              <w:pageBreakBefore w:val="0"/>
              <w:widowControl w:val="0"/>
              <w:kinsoku/>
              <w:wordWrap/>
              <w:overflowPunct/>
              <w:topLinePunct w:val="0"/>
              <w:bidi w:val="0"/>
              <w:adjustRightInd/>
              <w:snapToGrid/>
              <w:spacing w:line="290" w:lineRule="exact"/>
              <w:textAlignment w:val="auto"/>
              <w:rPr>
                <w:color w:val="auto"/>
              </w:rPr>
            </w:pPr>
            <w:r>
              <w:rPr>
                <w:rFonts w:hint="eastAsia"/>
                <w:color w:val="auto"/>
              </w:rPr>
              <w:t>2. 液氮或</w:t>
            </w:r>
            <w:r>
              <w:rPr>
                <w:rFonts w:hint="eastAsia" w:ascii="宋体" w:hAnsi="宋体"/>
                <w:color w:val="auto"/>
              </w:rPr>
              <w:t>低温物料突然喷出；</w:t>
            </w:r>
          </w:p>
          <w:p>
            <w:pPr>
              <w:keepNext w:val="0"/>
              <w:keepLines w:val="0"/>
              <w:pageBreakBefore w:val="0"/>
              <w:widowControl w:val="0"/>
              <w:kinsoku/>
              <w:wordWrap/>
              <w:overflowPunct/>
              <w:topLinePunct w:val="0"/>
              <w:bidi w:val="0"/>
              <w:adjustRightInd/>
              <w:snapToGrid/>
              <w:spacing w:line="290" w:lineRule="exact"/>
              <w:textAlignment w:val="auto"/>
              <w:rPr>
                <w:color w:val="auto"/>
              </w:rPr>
            </w:pPr>
            <w:r>
              <w:rPr>
                <w:rFonts w:hint="eastAsia"/>
                <w:color w:val="auto"/>
              </w:rPr>
              <w:t xml:space="preserve">3. </w:t>
            </w:r>
            <w:r>
              <w:rPr>
                <w:rFonts w:hint="eastAsia" w:ascii="宋体" w:hAnsi="宋体"/>
                <w:color w:val="auto"/>
              </w:rPr>
              <w:t>液化气体急剧汽化；</w:t>
            </w:r>
          </w:p>
          <w:p>
            <w:pPr>
              <w:keepNext w:val="0"/>
              <w:keepLines w:val="0"/>
              <w:pageBreakBefore w:val="0"/>
              <w:widowControl w:val="0"/>
              <w:kinsoku/>
              <w:wordWrap/>
              <w:overflowPunct/>
              <w:topLinePunct w:val="0"/>
              <w:bidi w:val="0"/>
              <w:adjustRightInd/>
              <w:snapToGrid/>
              <w:spacing w:line="290" w:lineRule="exact"/>
              <w:textAlignment w:val="auto"/>
              <w:rPr>
                <w:color w:val="auto"/>
              </w:rPr>
            </w:pPr>
            <w:r>
              <w:rPr>
                <w:rFonts w:hint="eastAsia"/>
                <w:color w:val="auto"/>
              </w:rPr>
              <w:t xml:space="preserve">4. </w:t>
            </w:r>
            <w:r>
              <w:rPr>
                <w:rFonts w:hint="eastAsia" w:ascii="宋体" w:hAnsi="宋体"/>
                <w:color w:val="auto"/>
              </w:rPr>
              <w:t>环境低温；</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color w:val="auto"/>
              </w:rPr>
              <w:t xml:space="preserve">5. </w:t>
            </w:r>
            <w:r>
              <w:rPr>
                <w:rFonts w:hint="eastAsia" w:ascii="宋体" w:hAnsi="宋体"/>
                <w:color w:val="auto"/>
              </w:rPr>
              <w:t>人员防护不当或无防护；</w:t>
            </w:r>
          </w:p>
        </w:tc>
        <w:tc>
          <w:tcPr>
            <w:tcW w:w="636"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人员伤害</w:t>
            </w:r>
          </w:p>
        </w:tc>
        <w:tc>
          <w:tcPr>
            <w:tcW w:w="667" w:type="dxa"/>
            <w:tcBorders>
              <w:top w:val="single" w:color="000000" w:sz="4" w:space="0"/>
              <w:left w:val="nil"/>
              <w:bottom w:val="single" w:color="000000" w:sz="4" w:space="0"/>
              <w:right w:val="single" w:color="000000" w:sz="6" w:space="0"/>
            </w:tcBorders>
            <w:vAlign w:val="center"/>
          </w:tcPr>
          <w:p>
            <w:pPr>
              <w:keepNext w:val="0"/>
              <w:keepLines w:val="0"/>
              <w:pageBreakBefore w:val="0"/>
              <w:widowControl w:val="0"/>
              <w:kinsoku/>
              <w:wordWrap/>
              <w:overflowPunct/>
              <w:topLinePunct w:val="0"/>
              <w:bidi w:val="0"/>
              <w:adjustRightInd/>
              <w:snapToGrid/>
              <w:spacing w:line="290" w:lineRule="exact"/>
              <w:jc w:val="center"/>
              <w:textAlignment w:val="auto"/>
              <w:rPr>
                <w:rFonts w:ascii="宋体" w:hAnsi="宋体"/>
                <w:color w:val="auto"/>
              </w:rPr>
            </w:pPr>
            <w:r>
              <w:rPr>
                <w:rFonts w:hint="eastAsia" w:ascii="宋体" w:hAnsi="宋体"/>
                <w:color w:val="auto"/>
              </w:rPr>
              <w:t>Ⅱ</w:t>
            </w:r>
          </w:p>
        </w:tc>
        <w:tc>
          <w:tcPr>
            <w:tcW w:w="3585" w:type="dxa"/>
            <w:tcBorders>
              <w:top w:val="single" w:color="000000" w:sz="4" w:space="0"/>
              <w:left w:val="nil"/>
              <w:bottom w:val="single" w:color="000000" w:sz="4" w:space="0"/>
              <w:right w:val="single" w:color="000000" w:sz="4" w:space="0"/>
            </w:tcBorders>
            <w:vAlign w:val="center"/>
          </w:tcPr>
          <w:p>
            <w:pPr>
              <w:keepNext w:val="0"/>
              <w:keepLines w:val="0"/>
              <w:pageBreakBefore w:val="0"/>
              <w:widowControl w:val="0"/>
              <w:kinsoku/>
              <w:wordWrap/>
              <w:overflowPunct/>
              <w:topLinePunct w:val="0"/>
              <w:bidi w:val="0"/>
              <w:adjustRightInd/>
              <w:snapToGrid/>
              <w:spacing w:line="290" w:lineRule="exact"/>
              <w:textAlignment w:val="auto"/>
              <w:rPr>
                <w:bCs/>
                <w:color w:val="auto"/>
              </w:rPr>
            </w:pPr>
            <w:r>
              <w:rPr>
                <w:rFonts w:hint="eastAsia"/>
                <w:bCs/>
                <w:color w:val="auto"/>
              </w:rPr>
              <w:t xml:space="preserve">1. </w:t>
            </w:r>
            <w:r>
              <w:rPr>
                <w:rFonts w:hint="eastAsia" w:ascii="宋体" w:hAnsi="宋体"/>
                <w:bCs/>
                <w:color w:val="auto"/>
              </w:rPr>
              <w:t>加强安全管理；</w:t>
            </w:r>
          </w:p>
          <w:p>
            <w:pPr>
              <w:keepNext w:val="0"/>
              <w:keepLines w:val="0"/>
              <w:pageBreakBefore w:val="0"/>
              <w:widowControl w:val="0"/>
              <w:kinsoku/>
              <w:wordWrap/>
              <w:overflowPunct/>
              <w:topLinePunct w:val="0"/>
              <w:bidi w:val="0"/>
              <w:adjustRightInd/>
              <w:snapToGrid/>
              <w:spacing w:line="290" w:lineRule="exact"/>
              <w:textAlignment w:val="auto"/>
              <w:rPr>
                <w:bCs/>
                <w:color w:val="auto"/>
              </w:rPr>
            </w:pPr>
            <w:r>
              <w:rPr>
                <w:rFonts w:hint="eastAsia"/>
                <w:bCs/>
                <w:color w:val="auto"/>
              </w:rPr>
              <w:t xml:space="preserve">2. </w:t>
            </w:r>
            <w:r>
              <w:rPr>
                <w:rFonts w:hint="eastAsia" w:ascii="宋体" w:hAnsi="宋体"/>
                <w:bCs/>
                <w:color w:val="auto"/>
              </w:rPr>
              <w:t>定期对装置进修检修；对重点部位进行探伤；</w:t>
            </w:r>
          </w:p>
          <w:p>
            <w:pPr>
              <w:keepNext w:val="0"/>
              <w:keepLines w:val="0"/>
              <w:pageBreakBefore w:val="0"/>
              <w:widowControl w:val="0"/>
              <w:kinsoku/>
              <w:wordWrap/>
              <w:overflowPunct/>
              <w:topLinePunct w:val="0"/>
              <w:bidi w:val="0"/>
              <w:adjustRightInd/>
              <w:snapToGrid/>
              <w:spacing w:line="290" w:lineRule="exact"/>
              <w:textAlignment w:val="auto"/>
              <w:rPr>
                <w:bCs/>
                <w:color w:val="auto"/>
              </w:rPr>
            </w:pPr>
            <w:r>
              <w:rPr>
                <w:rFonts w:hint="eastAsia"/>
                <w:bCs/>
                <w:color w:val="auto"/>
              </w:rPr>
              <w:t xml:space="preserve">3. </w:t>
            </w:r>
            <w:r>
              <w:rPr>
                <w:rFonts w:hint="eastAsia" w:ascii="宋体" w:hAnsi="宋体"/>
                <w:bCs/>
                <w:color w:val="auto"/>
              </w:rPr>
              <w:t>加强现场管理工作，加强巡检，发现保温破损及时报修；</w:t>
            </w:r>
          </w:p>
          <w:p>
            <w:pPr>
              <w:keepNext w:val="0"/>
              <w:keepLines w:val="0"/>
              <w:pageBreakBefore w:val="0"/>
              <w:widowControl w:val="0"/>
              <w:kinsoku/>
              <w:wordWrap/>
              <w:overflowPunct/>
              <w:topLinePunct w:val="0"/>
              <w:bidi w:val="0"/>
              <w:adjustRightInd/>
              <w:snapToGrid/>
              <w:spacing w:line="290" w:lineRule="exact"/>
              <w:textAlignment w:val="auto"/>
              <w:rPr>
                <w:bCs/>
                <w:color w:val="auto"/>
              </w:rPr>
            </w:pPr>
            <w:r>
              <w:rPr>
                <w:rFonts w:hint="eastAsia"/>
                <w:bCs/>
                <w:color w:val="auto"/>
              </w:rPr>
              <w:t xml:space="preserve">4. </w:t>
            </w:r>
            <w:r>
              <w:rPr>
                <w:rFonts w:hint="eastAsia" w:ascii="宋体" w:hAnsi="宋体"/>
                <w:bCs/>
                <w:color w:val="auto"/>
              </w:rPr>
              <w:t>工作人员安全防护劳保用品佩戴齐全、正确；</w:t>
            </w:r>
          </w:p>
          <w:p>
            <w:pPr>
              <w:keepNext w:val="0"/>
              <w:keepLines w:val="0"/>
              <w:pageBreakBefore w:val="0"/>
              <w:widowControl w:val="0"/>
              <w:kinsoku/>
              <w:wordWrap/>
              <w:overflowPunct/>
              <w:topLinePunct w:val="0"/>
              <w:bidi w:val="0"/>
              <w:adjustRightInd/>
              <w:snapToGrid/>
              <w:spacing w:line="290" w:lineRule="exact"/>
              <w:textAlignment w:val="auto"/>
              <w:rPr>
                <w:rFonts w:ascii="宋体" w:hAnsi="宋体"/>
                <w:color w:val="auto"/>
              </w:rPr>
            </w:pPr>
            <w:r>
              <w:rPr>
                <w:rFonts w:hint="eastAsia"/>
                <w:bCs/>
                <w:color w:val="auto"/>
              </w:rPr>
              <w:t xml:space="preserve">5. </w:t>
            </w:r>
            <w:r>
              <w:rPr>
                <w:rFonts w:hint="eastAsia" w:ascii="宋体" w:hAnsi="宋体"/>
                <w:bCs/>
                <w:color w:val="auto"/>
              </w:rPr>
              <w:t>制定事故应急预案，发现人员伤亡，立即处理，减少损失。</w:t>
            </w:r>
          </w:p>
        </w:tc>
      </w:tr>
    </w:tbl>
    <w:p>
      <w:pPr>
        <w:spacing w:line="500" w:lineRule="exact"/>
        <w:ind w:firstLine="560" w:firstLineChars="200"/>
        <w:rPr>
          <w:rFonts w:ascii="宋体" w:hAnsi="宋体"/>
          <w:color w:val="auto"/>
          <w:sz w:val="28"/>
          <w:szCs w:val="28"/>
        </w:rPr>
      </w:pPr>
      <w:r>
        <w:rPr>
          <w:rFonts w:hint="eastAsia" w:ascii="宋体" w:hAnsi="宋体"/>
          <w:color w:val="auto"/>
          <w:sz w:val="28"/>
          <w:szCs w:val="28"/>
        </w:rPr>
        <w:t>2.危险度分析</w:t>
      </w:r>
    </w:p>
    <w:p>
      <w:pPr>
        <w:spacing w:line="360" w:lineRule="auto"/>
        <w:ind w:firstLine="560" w:firstLineChars="200"/>
        <w:rPr>
          <w:rFonts w:ascii="宋体" w:hAnsi="宋体"/>
          <w:color w:val="auto"/>
          <w:sz w:val="28"/>
          <w:szCs w:val="28"/>
        </w:rPr>
      </w:pPr>
      <w:r>
        <w:rPr>
          <w:rFonts w:hint="eastAsia" w:ascii="宋体" w:hAnsi="宋体"/>
          <w:color w:val="auto"/>
          <w:sz w:val="28"/>
          <w:szCs w:val="28"/>
        </w:rPr>
        <w:t>依据该单位提供的生产设备设施的规格型号和在生产操作规程中规定的温度、压力及操作等参数数值，选出危险性较大的设备作为该方法评价的设备；同时参考其它类似企业的生产数据，按照5.2节评价方法简介中“危险度评价法”提供的方法，得到本项目主要生产设备设施的危险度分</w:t>
      </w:r>
      <w:r>
        <w:rPr>
          <w:rFonts w:hint="eastAsia" w:ascii="宋体" w:hAnsi="宋体"/>
          <w:color w:val="auto"/>
          <w:spacing w:val="-6"/>
          <w:sz w:val="28"/>
          <w:szCs w:val="28"/>
        </w:rPr>
        <w:t>级表见附表。作业场所固有危险程度等级以场所内设备最高危险程度等级为准，建设项目总的固有危险程度等级以项目内最高场所危险程度等级为准。</w:t>
      </w:r>
    </w:p>
    <w:p>
      <w:pPr>
        <w:spacing w:line="500" w:lineRule="exact"/>
        <w:ind w:firstLine="420" w:firstLineChars="200"/>
        <w:jc w:val="center"/>
        <w:rPr>
          <w:rFonts w:ascii="宋体" w:hAnsi="宋体"/>
          <w:color w:val="auto"/>
        </w:rPr>
      </w:pPr>
      <w:r>
        <w:rPr>
          <w:rFonts w:hint="eastAsia" w:ascii="宋体" w:hAnsi="宋体"/>
          <w:color w:val="auto"/>
        </w:rPr>
        <w:t>表C</w:t>
      </w:r>
      <w:r>
        <w:rPr>
          <w:rFonts w:ascii="宋体" w:hAnsi="宋体"/>
          <w:color w:val="auto"/>
        </w:rPr>
        <w:t>.1-8</w:t>
      </w:r>
      <w:r>
        <w:rPr>
          <w:rFonts w:hint="eastAsia" w:ascii="宋体" w:hAnsi="宋体"/>
          <w:color w:val="auto"/>
        </w:rPr>
        <w:t xml:space="preserve">  车间作业场所固有危险程度分析表</w:t>
      </w:r>
    </w:p>
    <w:tbl>
      <w:tblPr>
        <w:tblStyle w:val="51"/>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1165"/>
        <w:gridCol w:w="442"/>
        <w:gridCol w:w="823"/>
        <w:gridCol w:w="541"/>
        <w:gridCol w:w="629"/>
        <w:gridCol w:w="498"/>
        <w:gridCol w:w="735"/>
        <w:gridCol w:w="436"/>
        <w:gridCol w:w="661"/>
        <w:gridCol w:w="496"/>
        <w:gridCol w:w="616"/>
        <w:gridCol w:w="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vMerge w:val="restart"/>
          </w:tcPr>
          <w:p>
            <w:pPr>
              <w:jc w:val="center"/>
              <w:rPr>
                <w:rFonts w:eastAsia="Times New Roman"/>
                <w:color w:val="auto"/>
                <w:kern w:val="24"/>
              </w:rPr>
            </w:pPr>
            <w:r>
              <w:rPr>
                <w:rFonts w:hint="eastAsia" w:ascii="宋体" w:hAnsi="宋体" w:eastAsia="Times New Roman"/>
                <w:color w:val="auto"/>
              </w:rPr>
              <w:t>装置名称</w:t>
            </w:r>
          </w:p>
        </w:tc>
        <w:tc>
          <w:tcPr>
            <w:tcW w:w="1607" w:type="dxa"/>
            <w:gridSpan w:val="2"/>
          </w:tcPr>
          <w:p>
            <w:pPr>
              <w:jc w:val="center"/>
              <w:rPr>
                <w:rFonts w:eastAsia="Times New Roman"/>
                <w:color w:val="auto"/>
                <w:kern w:val="24"/>
              </w:rPr>
            </w:pPr>
            <w:r>
              <w:rPr>
                <w:rFonts w:hint="eastAsia" w:ascii="宋体" w:hAnsi="宋体" w:eastAsia="Times New Roman"/>
                <w:color w:val="auto"/>
              </w:rPr>
              <w:t>主要介质</w:t>
            </w:r>
          </w:p>
        </w:tc>
        <w:tc>
          <w:tcPr>
            <w:tcW w:w="1364" w:type="dxa"/>
            <w:gridSpan w:val="2"/>
          </w:tcPr>
          <w:p>
            <w:pPr>
              <w:jc w:val="center"/>
              <w:rPr>
                <w:rFonts w:eastAsia="Times New Roman"/>
                <w:color w:val="auto"/>
                <w:kern w:val="24"/>
              </w:rPr>
            </w:pPr>
            <w:r>
              <w:rPr>
                <w:rFonts w:hint="eastAsia" w:ascii="宋体" w:hAnsi="宋体" w:eastAsia="Times New Roman"/>
                <w:color w:val="auto"/>
              </w:rPr>
              <w:t>物料容量</w:t>
            </w:r>
          </w:p>
        </w:tc>
        <w:tc>
          <w:tcPr>
            <w:tcW w:w="1127" w:type="dxa"/>
            <w:gridSpan w:val="2"/>
          </w:tcPr>
          <w:p>
            <w:pPr>
              <w:jc w:val="center"/>
              <w:rPr>
                <w:rFonts w:eastAsia="Times New Roman"/>
                <w:color w:val="auto"/>
              </w:rPr>
            </w:pPr>
            <w:r>
              <w:rPr>
                <w:rFonts w:hint="eastAsia" w:ascii="宋体" w:hAnsi="宋体" w:eastAsia="Times New Roman"/>
                <w:color w:val="auto"/>
              </w:rPr>
              <w:t>温度</w:t>
            </w:r>
          </w:p>
        </w:tc>
        <w:tc>
          <w:tcPr>
            <w:tcW w:w="1171" w:type="dxa"/>
            <w:gridSpan w:val="2"/>
          </w:tcPr>
          <w:p>
            <w:pPr>
              <w:jc w:val="center"/>
              <w:rPr>
                <w:rFonts w:eastAsia="Times New Roman"/>
                <w:color w:val="auto"/>
                <w:kern w:val="24"/>
              </w:rPr>
            </w:pPr>
            <w:r>
              <w:rPr>
                <w:rFonts w:hint="eastAsia" w:ascii="宋体" w:hAnsi="宋体" w:eastAsia="Times New Roman"/>
                <w:color w:val="auto"/>
              </w:rPr>
              <w:t>压力</w:t>
            </w:r>
          </w:p>
        </w:tc>
        <w:tc>
          <w:tcPr>
            <w:tcW w:w="661" w:type="dxa"/>
          </w:tcPr>
          <w:p>
            <w:pPr>
              <w:jc w:val="center"/>
              <w:rPr>
                <w:rFonts w:eastAsia="Times New Roman"/>
                <w:color w:val="auto"/>
                <w:kern w:val="24"/>
              </w:rPr>
            </w:pPr>
            <w:r>
              <w:rPr>
                <w:rFonts w:hint="eastAsia" w:ascii="宋体" w:hAnsi="宋体" w:eastAsia="Times New Roman"/>
                <w:color w:val="auto"/>
              </w:rPr>
              <w:t>操作</w:t>
            </w:r>
          </w:p>
        </w:tc>
        <w:tc>
          <w:tcPr>
            <w:tcW w:w="496" w:type="dxa"/>
            <w:vMerge w:val="restart"/>
          </w:tcPr>
          <w:p>
            <w:pPr>
              <w:jc w:val="center"/>
              <w:rPr>
                <w:rFonts w:eastAsia="Times New Roman"/>
                <w:color w:val="auto"/>
              </w:rPr>
            </w:pPr>
            <w:r>
              <w:rPr>
                <w:rFonts w:hint="eastAsia" w:ascii="宋体" w:hAnsi="宋体" w:eastAsia="Times New Roman"/>
                <w:color w:val="auto"/>
              </w:rPr>
              <w:t>总分</w:t>
            </w:r>
          </w:p>
        </w:tc>
        <w:tc>
          <w:tcPr>
            <w:tcW w:w="616" w:type="dxa"/>
            <w:vMerge w:val="restart"/>
          </w:tcPr>
          <w:p>
            <w:pPr>
              <w:jc w:val="center"/>
              <w:rPr>
                <w:rFonts w:eastAsia="Times New Roman"/>
                <w:color w:val="auto"/>
              </w:rPr>
            </w:pPr>
            <w:r>
              <w:rPr>
                <w:rFonts w:hint="eastAsia" w:ascii="宋体" w:hAnsi="宋体" w:eastAsia="Times New Roman"/>
                <w:color w:val="auto"/>
              </w:rPr>
              <w:t>危险等级</w:t>
            </w:r>
          </w:p>
        </w:tc>
        <w:tc>
          <w:tcPr>
            <w:tcW w:w="616" w:type="dxa"/>
            <w:vMerge w:val="restart"/>
          </w:tcPr>
          <w:p>
            <w:pPr>
              <w:jc w:val="center"/>
              <w:rPr>
                <w:rFonts w:eastAsia="Times New Roman"/>
                <w:color w:val="auto"/>
              </w:rPr>
            </w:pPr>
            <w:r>
              <w:rPr>
                <w:rFonts w:hint="eastAsia" w:ascii="宋体" w:hAnsi="宋体" w:eastAsia="Times New Roman"/>
                <w:color w:val="auto"/>
              </w:rPr>
              <w:t>装置</w:t>
            </w:r>
          </w:p>
          <w:p>
            <w:pPr>
              <w:jc w:val="center"/>
              <w:rPr>
                <w:rFonts w:eastAsia="Times New Roman"/>
                <w:color w:val="auto"/>
              </w:rPr>
            </w:pPr>
            <w:r>
              <w:rPr>
                <w:rFonts w:hint="eastAsia" w:ascii="宋体" w:hAnsi="宋体" w:eastAsia="Times New Roman"/>
                <w:color w:val="auto"/>
              </w:rPr>
              <w:t>危险度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vMerge w:val="continue"/>
          </w:tcPr>
          <w:p>
            <w:pPr>
              <w:widowControl/>
              <w:jc w:val="left"/>
              <w:rPr>
                <w:rFonts w:eastAsia="Times New Roman"/>
                <w:color w:val="auto"/>
                <w:kern w:val="24"/>
              </w:rPr>
            </w:pPr>
          </w:p>
        </w:tc>
        <w:tc>
          <w:tcPr>
            <w:tcW w:w="1165" w:type="dxa"/>
          </w:tcPr>
          <w:p>
            <w:pPr>
              <w:jc w:val="center"/>
              <w:rPr>
                <w:rFonts w:eastAsia="Times New Roman"/>
                <w:color w:val="auto"/>
              </w:rPr>
            </w:pPr>
            <w:r>
              <w:rPr>
                <w:rFonts w:hint="eastAsia" w:ascii="宋体" w:hAnsi="宋体" w:eastAsia="Times New Roman"/>
                <w:color w:val="auto"/>
              </w:rPr>
              <w:t>名称</w:t>
            </w:r>
          </w:p>
        </w:tc>
        <w:tc>
          <w:tcPr>
            <w:tcW w:w="442" w:type="dxa"/>
          </w:tcPr>
          <w:p>
            <w:pPr>
              <w:jc w:val="center"/>
              <w:rPr>
                <w:rFonts w:eastAsia="Times New Roman"/>
                <w:color w:val="auto"/>
              </w:rPr>
            </w:pPr>
            <w:r>
              <w:rPr>
                <w:rFonts w:hint="eastAsia" w:ascii="宋体" w:hAnsi="宋体" w:eastAsia="Times New Roman"/>
                <w:color w:val="auto"/>
              </w:rPr>
              <w:t>分数</w:t>
            </w:r>
          </w:p>
        </w:tc>
        <w:tc>
          <w:tcPr>
            <w:tcW w:w="823" w:type="dxa"/>
          </w:tcPr>
          <w:p>
            <w:pPr>
              <w:jc w:val="center"/>
              <w:rPr>
                <w:rFonts w:eastAsia="Times New Roman"/>
                <w:color w:val="auto"/>
              </w:rPr>
            </w:pPr>
            <w:r>
              <w:rPr>
                <w:rFonts w:hint="eastAsia" w:eastAsia="Times New Roman"/>
                <w:color w:val="auto"/>
              </w:rPr>
              <w:t>m</w:t>
            </w:r>
            <w:r>
              <w:rPr>
                <w:rFonts w:hint="eastAsia" w:ascii="宋体" w:hAnsi="宋体" w:eastAsia="Times New Roman"/>
                <w:color w:val="auto"/>
              </w:rPr>
              <w:t>³</w:t>
            </w:r>
          </w:p>
        </w:tc>
        <w:tc>
          <w:tcPr>
            <w:tcW w:w="541" w:type="dxa"/>
          </w:tcPr>
          <w:p>
            <w:pPr>
              <w:jc w:val="center"/>
              <w:rPr>
                <w:rFonts w:eastAsia="Times New Roman"/>
                <w:color w:val="auto"/>
              </w:rPr>
            </w:pPr>
            <w:r>
              <w:rPr>
                <w:rFonts w:hint="eastAsia" w:ascii="宋体" w:hAnsi="宋体" w:eastAsia="Times New Roman"/>
                <w:color w:val="auto"/>
              </w:rPr>
              <w:t>分数</w:t>
            </w:r>
          </w:p>
        </w:tc>
        <w:tc>
          <w:tcPr>
            <w:tcW w:w="629" w:type="dxa"/>
          </w:tcPr>
          <w:p>
            <w:pPr>
              <w:jc w:val="center"/>
              <w:rPr>
                <w:rFonts w:eastAsia="Times New Roman"/>
                <w:color w:val="auto"/>
              </w:rPr>
            </w:pPr>
            <w:r>
              <w:rPr>
                <w:rFonts w:hint="eastAsia" w:ascii="宋体" w:hAnsi="宋体" w:eastAsia="Times New Roman"/>
                <w:color w:val="auto"/>
              </w:rPr>
              <w:t>℃</w:t>
            </w:r>
          </w:p>
        </w:tc>
        <w:tc>
          <w:tcPr>
            <w:tcW w:w="498" w:type="dxa"/>
          </w:tcPr>
          <w:p>
            <w:pPr>
              <w:jc w:val="center"/>
              <w:rPr>
                <w:rFonts w:eastAsia="Times New Roman"/>
                <w:color w:val="auto"/>
              </w:rPr>
            </w:pPr>
            <w:r>
              <w:rPr>
                <w:rFonts w:hint="eastAsia" w:ascii="宋体" w:hAnsi="宋体" w:eastAsia="Times New Roman"/>
                <w:color w:val="auto"/>
              </w:rPr>
              <w:t>分数</w:t>
            </w:r>
          </w:p>
        </w:tc>
        <w:tc>
          <w:tcPr>
            <w:tcW w:w="735" w:type="dxa"/>
          </w:tcPr>
          <w:p>
            <w:pPr>
              <w:jc w:val="center"/>
              <w:rPr>
                <w:rFonts w:eastAsia="Times New Roman"/>
                <w:color w:val="auto"/>
              </w:rPr>
            </w:pPr>
            <w:r>
              <w:rPr>
                <w:rFonts w:hint="eastAsia" w:eastAsia="Times New Roman"/>
                <w:color w:val="auto"/>
              </w:rPr>
              <w:t>MPa</w:t>
            </w:r>
          </w:p>
        </w:tc>
        <w:tc>
          <w:tcPr>
            <w:tcW w:w="436" w:type="dxa"/>
          </w:tcPr>
          <w:p>
            <w:pPr>
              <w:jc w:val="center"/>
              <w:rPr>
                <w:rFonts w:eastAsia="Times New Roman"/>
                <w:color w:val="auto"/>
              </w:rPr>
            </w:pPr>
            <w:r>
              <w:rPr>
                <w:rFonts w:hint="eastAsia" w:ascii="宋体" w:hAnsi="宋体" w:eastAsia="Times New Roman"/>
                <w:color w:val="auto"/>
              </w:rPr>
              <w:t>分数</w:t>
            </w:r>
          </w:p>
        </w:tc>
        <w:tc>
          <w:tcPr>
            <w:tcW w:w="661" w:type="dxa"/>
          </w:tcPr>
          <w:p>
            <w:pPr>
              <w:jc w:val="center"/>
              <w:rPr>
                <w:rFonts w:eastAsia="Times New Roman"/>
                <w:color w:val="auto"/>
              </w:rPr>
            </w:pPr>
            <w:r>
              <w:rPr>
                <w:rFonts w:hint="eastAsia" w:ascii="宋体" w:hAnsi="宋体" w:eastAsia="Times New Roman"/>
                <w:color w:val="auto"/>
              </w:rPr>
              <w:t>分数</w:t>
            </w:r>
          </w:p>
        </w:tc>
        <w:tc>
          <w:tcPr>
            <w:tcW w:w="496" w:type="dxa"/>
            <w:vMerge w:val="continue"/>
          </w:tcPr>
          <w:p>
            <w:pPr>
              <w:widowControl/>
              <w:jc w:val="left"/>
              <w:rPr>
                <w:rFonts w:eastAsia="Times New Roman"/>
                <w:color w:val="auto"/>
              </w:rPr>
            </w:pPr>
          </w:p>
        </w:tc>
        <w:tc>
          <w:tcPr>
            <w:tcW w:w="616" w:type="dxa"/>
            <w:vMerge w:val="continue"/>
          </w:tcPr>
          <w:p>
            <w:pPr>
              <w:widowControl/>
              <w:jc w:val="left"/>
              <w:rPr>
                <w:rFonts w:eastAsia="Times New Roman"/>
                <w:color w:val="auto"/>
              </w:rPr>
            </w:pPr>
          </w:p>
        </w:tc>
        <w:tc>
          <w:tcPr>
            <w:tcW w:w="616" w:type="dxa"/>
            <w:vMerge w:val="continue"/>
          </w:tcPr>
          <w:p>
            <w:pPr>
              <w:widowControl/>
              <w:jc w:val="left"/>
              <w:rPr>
                <w:rFonts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磺酰化反应釜</w:t>
            </w:r>
          </w:p>
        </w:tc>
        <w:tc>
          <w:tcPr>
            <w:tcW w:w="1165" w:type="dxa"/>
          </w:tcPr>
          <w:p>
            <w:pPr>
              <w:jc w:val="center"/>
              <w:rPr>
                <w:rFonts w:ascii="仿宋_GB2312" w:eastAsia="Times New Roman"/>
                <w:color w:val="auto"/>
              </w:rPr>
            </w:pPr>
            <w:r>
              <w:rPr>
                <w:rFonts w:hint="eastAsia" w:ascii="宋体" w:hAnsi="宋体" w:eastAsia="Times New Roman"/>
                <w:color w:val="auto"/>
              </w:rPr>
              <w:t>四氢呋喃/丁酮、三乙胺</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eastAsia="Times New Roman"/>
                <w:color w:val="auto"/>
              </w:rPr>
            </w:pPr>
            <w:r>
              <w:rPr>
                <w:rFonts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eastAsia="Times New Roman"/>
                <w:color w:val="auto"/>
              </w:rPr>
            </w:pPr>
            <w:r>
              <w:rPr>
                <w:rFonts w:hint="eastAsia" w:ascii="宋体" w:hAnsi="宋体" w:eastAsia="Times New Roman"/>
                <w:color w:val="auto"/>
              </w:rPr>
              <w:t>6</w:t>
            </w:r>
            <w:r>
              <w:rPr>
                <w:rFonts w:ascii="宋体" w:hAnsi="宋体" w:eastAsia="Times New Roman"/>
                <w:color w:val="auto"/>
              </w:rPr>
              <w:t>6</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eastAsia="Times New Roman"/>
                <w:color w:val="auto"/>
              </w:rPr>
            </w:pPr>
            <w:r>
              <w:rPr>
                <w:rFonts w:hint="eastAsia" w:ascii="宋体" w:hAnsi="宋体" w:eastAsia="Times New Roman"/>
                <w:color w:val="auto"/>
              </w:rPr>
              <w:t>-</w:t>
            </w:r>
            <w:r>
              <w:rPr>
                <w:rFonts w:ascii="宋体" w:hAnsi="宋体" w:eastAsia="Times New Roman"/>
                <w:color w:val="auto"/>
              </w:rPr>
              <w:t>0.08</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eastAsia="Times New Roman"/>
                <w:color w:val="auto"/>
              </w:rPr>
              <w:t>5</w:t>
            </w:r>
          </w:p>
        </w:tc>
        <w:tc>
          <w:tcPr>
            <w:tcW w:w="496" w:type="dxa"/>
          </w:tcPr>
          <w:p>
            <w:pPr>
              <w:jc w:val="center"/>
              <w:rPr>
                <w:rFonts w:eastAsia="Times New Roman"/>
                <w:color w:val="auto"/>
              </w:rPr>
            </w:pPr>
            <w:r>
              <w:rPr>
                <w:rFonts w:eastAsia="Times New Roman"/>
                <w:color w:val="auto"/>
              </w:rPr>
              <w:t>10</w:t>
            </w:r>
          </w:p>
        </w:tc>
        <w:tc>
          <w:tcPr>
            <w:tcW w:w="616" w:type="dxa"/>
          </w:tcPr>
          <w:p>
            <w:pPr>
              <w:jc w:val="center"/>
              <w:rPr>
                <w:rFonts w:eastAsia="Times New Roman"/>
                <w:color w:val="auto"/>
              </w:rPr>
            </w:pPr>
            <w:r>
              <w:rPr>
                <w:rFonts w:hint="eastAsia" w:eastAsia="Times New Roman"/>
                <w:color w:val="auto"/>
              </w:rPr>
              <w:t>III</w:t>
            </w:r>
          </w:p>
        </w:tc>
        <w:tc>
          <w:tcPr>
            <w:tcW w:w="616" w:type="dxa"/>
            <w:vMerge w:val="restart"/>
            <w:vAlign w:val="center"/>
          </w:tcPr>
          <w:p>
            <w:pPr>
              <w:jc w:val="center"/>
              <w:rPr>
                <w:rFonts w:ascii="宋体" w:hAnsi="宋体" w:eastAsia="Times New Roman"/>
                <w:color w:val="auto"/>
              </w:rPr>
            </w:pPr>
            <w:r>
              <w:rPr>
                <w:rFonts w:hint="eastAsia" w:ascii="宋体" w:hAnsi="宋体" w:eastAsia="Times New Roman"/>
                <w:color w:val="auto"/>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甲基磺酰氯计量罐</w:t>
            </w:r>
          </w:p>
        </w:tc>
        <w:tc>
          <w:tcPr>
            <w:tcW w:w="1165" w:type="dxa"/>
          </w:tcPr>
          <w:p>
            <w:pPr>
              <w:jc w:val="center"/>
              <w:rPr>
                <w:rFonts w:ascii="宋体" w:hAnsi="宋体" w:eastAsia="Times New Roman"/>
                <w:color w:val="auto"/>
              </w:rPr>
            </w:pPr>
            <w:r>
              <w:rPr>
                <w:rFonts w:hint="eastAsia" w:ascii="宋体" w:hAnsi="宋体" w:eastAsia="Times New Roman"/>
                <w:color w:val="auto"/>
              </w:rPr>
              <w:t>甲基磺酰氯</w:t>
            </w:r>
          </w:p>
        </w:tc>
        <w:tc>
          <w:tcPr>
            <w:tcW w:w="442" w:type="dxa"/>
          </w:tcPr>
          <w:p>
            <w:pPr>
              <w:jc w:val="center"/>
              <w:rPr>
                <w:rFonts w:eastAsia="Times New Roman"/>
                <w:color w:val="auto"/>
              </w:rPr>
            </w:pPr>
            <w:r>
              <w:rPr>
                <w:rFonts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0</w:t>
            </w:r>
            <w:r>
              <w:rPr>
                <w:rFonts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三乙胺计量罐</w:t>
            </w:r>
          </w:p>
        </w:tc>
        <w:tc>
          <w:tcPr>
            <w:tcW w:w="1165" w:type="dxa"/>
          </w:tcPr>
          <w:p>
            <w:pPr>
              <w:jc w:val="center"/>
              <w:rPr>
                <w:rFonts w:ascii="宋体" w:hAnsi="宋体" w:eastAsia="Times New Roman"/>
                <w:color w:val="auto"/>
              </w:rPr>
            </w:pPr>
            <w:r>
              <w:rPr>
                <w:rFonts w:hint="eastAsia" w:ascii="宋体" w:hAnsi="宋体" w:eastAsia="Times New Roman"/>
                <w:color w:val="auto"/>
              </w:rPr>
              <w:t>三乙胺</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0</w:t>
            </w:r>
            <w:r>
              <w:rPr>
                <w:rFonts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四氢呋喃暂存罐</w:t>
            </w:r>
          </w:p>
        </w:tc>
        <w:tc>
          <w:tcPr>
            <w:tcW w:w="1165" w:type="dxa"/>
          </w:tcPr>
          <w:p>
            <w:pPr>
              <w:jc w:val="center"/>
              <w:rPr>
                <w:rFonts w:ascii="宋体" w:hAnsi="宋体" w:eastAsia="Times New Roman"/>
                <w:color w:val="auto"/>
              </w:rPr>
            </w:pPr>
            <w:r>
              <w:rPr>
                <w:rFonts w:hint="eastAsia" w:ascii="宋体" w:hAnsi="宋体" w:eastAsia="Times New Roman"/>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3</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四氢呋喃/丁酮计量罐</w:t>
            </w:r>
          </w:p>
        </w:tc>
        <w:tc>
          <w:tcPr>
            <w:tcW w:w="1165" w:type="dxa"/>
          </w:tcPr>
          <w:p>
            <w:pPr>
              <w:jc w:val="center"/>
              <w:rPr>
                <w:rFonts w:ascii="宋体" w:hAnsi="宋体" w:eastAsia="Times New Roman"/>
                <w:color w:val="auto"/>
              </w:rPr>
            </w:pPr>
            <w:r>
              <w:rPr>
                <w:rFonts w:hint="eastAsia" w:ascii="宋体" w:hAnsi="宋体" w:eastAsia="Times New Roman"/>
                <w:color w:val="auto"/>
              </w:rPr>
              <w:t>四氢呋喃/丁酮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丁酮暂存罐</w:t>
            </w:r>
          </w:p>
        </w:tc>
        <w:tc>
          <w:tcPr>
            <w:tcW w:w="1165" w:type="dxa"/>
          </w:tcPr>
          <w:p>
            <w:pPr>
              <w:jc w:val="center"/>
              <w:rPr>
                <w:rFonts w:ascii="宋体" w:hAnsi="宋体" w:eastAsia="Times New Roman"/>
                <w:color w:val="auto"/>
              </w:rPr>
            </w:pPr>
            <w:r>
              <w:rPr>
                <w:rFonts w:hint="eastAsia" w:ascii="宋体" w:hAnsi="宋体" w:eastAsia="Times New Roman"/>
                <w:color w:val="auto"/>
              </w:rPr>
              <w:t>丁酮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3</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四氢呋喃接收罐</w:t>
            </w:r>
          </w:p>
        </w:tc>
        <w:tc>
          <w:tcPr>
            <w:tcW w:w="1165" w:type="dxa"/>
          </w:tcPr>
          <w:p>
            <w:pPr>
              <w:jc w:val="center"/>
              <w:rPr>
                <w:rFonts w:ascii="宋体" w:hAnsi="宋体" w:eastAsia="Times New Roman"/>
                <w:color w:val="auto"/>
              </w:rPr>
            </w:pPr>
            <w:r>
              <w:rPr>
                <w:rFonts w:hint="eastAsia" w:ascii="宋体" w:hAnsi="宋体" w:eastAsia="Times New Roman"/>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丙酮暂存罐</w:t>
            </w:r>
          </w:p>
        </w:tc>
        <w:tc>
          <w:tcPr>
            <w:tcW w:w="1165" w:type="dxa"/>
          </w:tcPr>
          <w:p>
            <w:pPr>
              <w:jc w:val="center"/>
              <w:rPr>
                <w:rFonts w:ascii="宋体" w:hAnsi="宋体" w:eastAsia="Times New Roman"/>
                <w:color w:val="auto"/>
              </w:rPr>
            </w:pPr>
            <w:r>
              <w:rPr>
                <w:rFonts w:hint="eastAsia" w:ascii="宋体" w:hAnsi="宋体" w:eastAsia="Times New Roman"/>
                <w:color w:val="auto"/>
              </w:rPr>
              <w:t>丙酮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丙酮计量罐</w:t>
            </w:r>
          </w:p>
        </w:tc>
        <w:tc>
          <w:tcPr>
            <w:tcW w:w="1165" w:type="dxa"/>
          </w:tcPr>
          <w:p>
            <w:pPr>
              <w:jc w:val="center"/>
              <w:rPr>
                <w:rFonts w:ascii="宋体" w:hAnsi="宋体" w:eastAsia="Times New Roman"/>
                <w:color w:val="auto"/>
              </w:rPr>
            </w:pPr>
            <w:r>
              <w:rPr>
                <w:rFonts w:hint="eastAsia" w:ascii="宋体" w:hAnsi="宋体" w:eastAsia="Times New Roman"/>
                <w:color w:val="auto"/>
              </w:rPr>
              <w:t>丙酮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水解重排反应釜</w:t>
            </w:r>
          </w:p>
        </w:tc>
        <w:tc>
          <w:tcPr>
            <w:tcW w:w="1165" w:type="dxa"/>
          </w:tcPr>
          <w:p>
            <w:pPr>
              <w:jc w:val="center"/>
              <w:rPr>
                <w:rFonts w:ascii="宋体" w:hAnsi="宋体" w:eastAsia="Times New Roman"/>
                <w:color w:val="auto"/>
              </w:rPr>
            </w:pPr>
            <w:r>
              <w:rPr>
                <w:rFonts w:hint="eastAsia" w:ascii="宋体" w:hAnsi="宋体" w:eastAsia="Times New Roman"/>
                <w:color w:val="auto"/>
              </w:rPr>
              <w:t>四氢呋喃/丙酮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olor w:val="auto"/>
              </w:rPr>
              <w:t>6</w:t>
            </w:r>
            <w:r>
              <w:rPr>
                <w:rFonts w:ascii="宋体" w:hAnsi="宋体" w:eastAsia="Times New Roman"/>
                <w:color w:val="auto"/>
              </w:rPr>
              <w:t>0</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olor w:val="auto"/>
              </w:rPr>
              <w:t>-</w:t>
            </w:r>
            <w:r>
              <w:rPr>
                <w:rFonts w:ascii="宋体" w:hAnsi="宋体" w:eastAsia="Times New Roman"/>
                <w:color w:val="auto"/>
              </w:rPr>
              <w:t>0.08</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丙酮接收罐</w:t>
            </w:r>
          </w:p>
        </w:tc>
        <w:tc>
          <w:tcPr>
            <w:tcW w:w="1165" w:type="dxa"/>
          </w:tcPr>
          <w:p>
            <w:pPr>
              <w:jc w:val="center"/>
              <w:rPr>
                <w:rFonts w:ascii="宋体" w:hAnsi="宋体" w:eastAsia="Times New Roman"/>
                <w:color w:val="auto"/>
              </w:rPr>
            </w:pPr>
            <w:r>
              <w:rPr>
                <w:rFonts w:hint="eastAsia" w:ascii="宋体" w:hAnsi="宋体" w:eastAsia="Times New Roman"/>
                <w:color w:val="auto"/>
              </w:rPr>
              <w:t>丙酮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甲苯暂存罐</w:t>
            </w:r>
          </w:p>
        </w:tc>
        <w:tc>
          <w:tcPr>
            <w:tcW w:w="1165" w:type="dxa"/>
          </w:tcPr>
          <w:p>
            <w:pPr>
              <w:jc w:val="center"/>
              <w:rPr>
                <w:rFonts w:ascii="宋体" w:hAnsi="宋体" w:eastAsia="Times New Roman"/>
                <w:color w:val="auto"/>
              </w:rPr>
            </w:pPr>
            <w:r>
              <w:rPr>
                <w:rFonts w:hint="eastAsia" w:ascii="宋体" w:hAnsi="宋体" w:eastAsia="Times New Roman"/>
                <w:color w:val="auto"/>
              </w:rPr>
              <w:t>甲苯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甲苯计量罐</w:t>
            </w:r>
          </w:p>
        </w:tc>
        <w:tc>
          <w:tcPr>
            <w:tcW w:w="1165" w:type="dxa"/>
          </w:tcPr>
          <w:p>
            <w:pPr>
              <w:jc w:val="center"/>
              <w:rPr>
                <w:rFonts w:ascii="宋体" w:hAnsi="宋体" w:eastAsia="Times New Roman"/>
                <w:color w:val="auto"/>
              </w:rPr>
            </w:pPr>
            <w:r>
              <w:rPr>
                <w:rFonts w:hint="eastAsia" w:ascii="宋体" w:hAnsi="宋体" w:eastAsia="Times New Roman"/>
                <w:color w:val="auto"/>
              </w:rPr>
              <w:t>甲苯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氧化反应釜</w:t>
            </w:r>
          </w:p>
        </w:tc>
        <w:tc>
          <w:tcPr>
            <w:tcW w:w="1165" w:type="dxa"/>
          </w:tcPr>
          <w:p>
            <w:pPr>
              <w:jc w:val="center"/>
              <w:rPr>
                <w:rFonts w:ascii="宋体" w:hAnsi="宋体" w:eastAsia="Times New Roman"/>
                <w:color w:val="auto"/>
              </w:rPr>
            </w:pPr>
            <w:r>
              <w:rPr>
                <w:rFonts w:hint="eastAsia" w:ascii="宋体" w:hAnsi="宋体" w:eastAsia="Times New Roman"/>
                <w:color w:val="auto"/>
              </w:rPr>
              <w:t>甲苯/丁酮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olor w:val="auto"/>
              </w:rPr>
              <w:t>1</w:t>
            </w:r>
            <w:r>
              <w:rPr>
                <w:rFonts w:ascii="宋体" w:hAnsi="宋体" w:eastAsia="Times New Roman"/>
                <w:color w:val="auto"/>
              </w:rPr>
              <w:t>10.6</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olor w:val="auto"/>
              </w:rPr>
              <w:t>-</w:t>
            </w:r>
            <w:r>
              <w:rPr>
                <w:rFonts w:ascii="宋体" w:hAnsi="宋体" w:eastAsia="Times New Roman"/>
                <w:color w:val="auto"/>
              </w:rPr>
              <w:t>0.08</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eastAsia="Times New Roman"/>
                <w:color w:val="auto"/>
              </w:rPr>
              <w:t>5</w:t>
            </w:r>
          </w:p>
        </w:tc>
        <w:tc>
          <w:tcPr>
            <w:tcW w:w="496" w:type="dxa"/>
          </w:tcPr>
          <w:p>
            <w:pPr>
              <w:jc w:val="center"/>
              <w:rPr>
                <w:rFonts w:eastAsiaTheme="minorEastAsia"/>
                <w:color w:val="auto"/>
              </w:rPr>
            </w:pPr>
            <w:r>
              <w:rPr>
                <w:rFonts w:hint="eastAsia" w:eastAsiaTheme="minorEastAsia"/>
                <w:color w:val="auto"/>
              </w:rPr>
              <w:t>1</w:t>
            </w:r>
            <w:r>
              <w:rPr>
                <w:rFonts w:eastAsiaTheme="minorEastAsia"/>
                <w:color w:val="auto"/>
              </w:rPr>
              <w:t>0</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甲苯接收罐</w:t>
            </w:r>
          </w:p>
        </w:tc>
        <w:tc>
          <w:tcPr>
            <w:tcW w:w="1165" w:type="dxa"/>
          </w:tcPr>
          <w:p>
            <w:pPr>
              <w:jc w:val="center"/>
              <w:rPr>
                <w:rFonts w:ascii="宋体" w:hAnsi="宋体" w:eastAsia="Times New Roman"/>
                <w:color w:val="auto"/>
              </w:rPr>
            </w:pPr>
            <w:r>
              <w:rPr>
                <w:rFonts w:hint="eastAsia" w:ascii="宋体" w:hAnsi="宋体" w:eastAsia="Times New Roman"/>
                <w:color w:val="auto"/>
              </w:rPr>
              <w:t>甲苯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甲醇计量罐</w:t>
            </w:r>
          </w:p>
        </w:tc>
        <w:tc>
          <w:tcPr>
            <w:tcW w:w="1165" w:type="dxa"/>
          </w:tcPr>
          <w:p>
            <w:pPr>
              <w:jc w:val="center"/>
              <w:rPr>
                <w:rFonts w:ascii="宋体" w:hAnsi="宋体" w:eastAsia="Times New Roman"/>
                <w:color w:val="auto"/>
              </w:rPr>
            </w:pPr>
            <w:r>
              <w:rPr>
                <w:rFonts w:hint="eastAsia" w:ascii="宋体" w:hAnsi="宋体" w:eastAsia="Times New Roman"/>
                <w:color w:val="auto"/>
              </w:rPr>
              <w:t>甲醇</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0</w:t>
            </w:r>
            <w:r>
              <w:rPr>
                <w:rFonts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甲醇接收罐</w:t>
            </w:r>
          </w:p>
        </w:tc>
        <w:tc>
          <w:tcPr>
            <w:tcW w:w="1165" w:type="dxa"/>
          </w:tcPr>
          <w:p>
            <w:pPr>
              <w:jc w:val="center"/>
              <w:rPr>
                <w:rFonts w:ascii="宋体" w:hAnsi="宋体" w:eastAsia="Times New Roman"/>
                <w:color w:val="auto"/>
              </w:rPr>
            </w:pPr>
            <w:r>
              <w:rPr>
                <w:rFonts w:hint="eastAsia" w:ascii="宋体" w:hAnsi="宋体" w:eastAsia="Times New Roman"/>
                <w:color w:val="auto"/>
              </w:rPr>
              <w:t>甲醇</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丁酮接收罐</w:t>
            </w:r>
          </w:p>
        </w:tc>
        <w:tc>
          <w:tcPr>
            <w:tcW w:w="1165" w:type="dxa"/>
          </w:tcPr>
          <w:p>
            <w:pPr>
              <w:jc w:val="center"/>
              <w:rPr>
                <w:rFonts w:ascii="宋体" w:hAnsi="宋体" w:eastAsia="Times New Roman"/>
                <w:color w:val="auto"/>
              </w:rPr>
            </w:pPr>
            <w:r>
              <w:rPr>
                <w:rFonts w:hint="eastAsia" w:ascii="宋体" w:hAnsi="宋体" w:eastAsia="Times New Roman"/>
                <w:color w:val="auto"/>
              </w:rPr>
              <w:t>丁酮</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四氢呋喃计量罐</w:t>
            </w:r>
          </w:p>
        </w:tc>
        <w:tc>
          <w:tcPr>
            <w:tcW w:w="1165" w:type="dxa"/>
          </w:tcPr>
          <w:p>
            <w:pPr>
              <w:jc w:val="center"/>
              <w:rPr>
                <w:rFonts w:ascii="宋体" w:hAnsi="宋体" w:eastAsia="Times New Roman"/>
                <w:color w:val="auto"/>
              </w:rPr>
            </w:pPr>
            <w:r>
              <w:rPr>
                <w:rFonts w:hint="eastAsia" w:ascii="宋体" w:hAnsi="宋体" w:eastAsia="Times New Roman"/>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低温还原反应釜</w:t>
            </w:r>
          </w:p>
        </w:tc>
        <w:tc>
          <w:tcPr>
            <w:tcW w:w="1165" w:type="dxa"/>
          </w:tcPr>
          <w:p>
            <w:pPr>
              <w:jc w:val="center"/>
              <w:rPr>
                <w:rFonts w:ascii="宋体" w:hAnsi="宋体" w:eastAsia="Times New Roman"/>
                <w:color w:val="auto"/>
              </w:rPr>
            </w:pPr>
            <w:r>
              <w:rPr>
                <w:rFonts w:hint="eastAsia" w:ascii="宋体" w:hAnsi="宋体" w:eastAsia="Times New Roman"/>
                <w:color w:val="auto"/>
              </w:rPr>
              <w:t>液氨/四氢呋喃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hint="eastAsia" w:ascii="宋体" w:hAns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olor w:val="auto"/>
              </w:rPr>
              <w:t>6</w:t>
            </w:r>
            <w:r>
              <w:rPr>
                <w:rFonts w:ascii="宋体" w:hAnsi="宋体" w:eastAsia="Times New Roman"/>
                <w:color w:val="auto"/>
              </w:rPr>
              <w:t>6</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1</w:t>
            </w:r>
            <w:r>
              <w:rPr>
                <w:rFonts w:eastAsia="Times New Roman"/>
                <w:color w:val="auto"/>
              </w:rPr>
              <w:t>0</w:t>
            </w:r>
          </w:p>
        </w:tc>
        <w:tc>
          <w:tcPr>
            <w:tcW w:w="496" w:type="dxa"/>
          </w:tcPr>
          <w:p>
            <w:pPr>
              <w:jc w:val="center"/>
              <w:rPr>
                <w:rFonts w:eastAsiaTheme="minorEastAsia"/>
                <w:color w:val="auto"/>
              </w:rPr>
            </w:pPr>
            <w:r>
              <w:rPr>
                <w:rFonts w:hint="eastAsia" w:eastAsiaTheme="minorEastAsia"/>
                <w:color w:val="auto"/>
              </w:rPr>
              <w:t>1</w:t>
            </w:r>
            <w:r>
              <w:rPr>
                <w:rFonts w:eastAsiaTheme="minorEastAsia"/>
                <w:color w:val="auto"/>
              </w:rPr>
              <w:t>5</w:t>
            </w:r>
          </w:p>
        </w:tc>
        <w:tc>
          <w:tcPr>
            <w:tcW w:w="616" w:type="dxa"/>
          </w:tcPr>
          <w:p>
            <w:pPr>
              <w:jc w:val="center"/>
              <w:rPr>
                <w:rFonts w:eastAsia="Times New Roman"/>
                <w:color w:val="auto"/>
              </w:rPr>
            </w:pPr>
            <w:r>
              <w:rPr>
                <w:rFonts w:hint="eastAsia" w:ascii="宋体" w:hAnsi="宋体" w:eastAsia="Times New Roman"/>
                <w:color w:val="auto"/>
              </w:rPr>
              <w:t>Ⅱ</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hAnsi="宋体" w:eastAsia="Times New Roman"/>
                <w:color w:val="auto"/>
              </w:rPr>
            </w:pPr>
            <w:r>
              <w:rPr>
                <w:rFonts w:hint="eastAsia" w:ascii="宋体" w:hAnsi="宋体" w:eastAsia="Times New Roman"/>
                <w:color w:val="auto"/>
              </w:rPr>
              <w:t>四氢呋喃接收罐</w:t>
            </w:r>
          </w:p>
        </w:tc>
        <w:tc>
          <w:tcPr>
            <w:tcW w:w="1165" w:type="dxa"/>
          </w:tcPr>
          <w:p>
            <w:pPr>
              <w:jc w:val="center"/>
              <w:rPr>
                <w:rFonts w:ascii="宋体" w:hAnsi="宋体" w:eastAsia="Times New Roman"/>
                <w:color w:val="auto"/>
              </w:rPr>
            </w:pPr>
            <w:r>
              <w:rPr>
                <w:rFonts w:hint="eastAsia" w:ascii="宋体" w:hAnsi="宋体" w:eastAsia="Times New Roman"/>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hAnsi="宋体" w:eastAsia="Times New Roman"/>
                <w:color w:val="auto"/>
                <w:spacing w:val="2"/>
                <w:kern w:val="0"/>
              </w:rPr>
            </w:pPr>
            <w:r>
              <w:rPr>
                <w:rFonts w:ascii="宋体" w:hAnsi="宋体" w:eastAsia="Times New Roman"/>
                <w:color w:val="auto"/>
                <w:spacing w:val="2"/>
                <w:kern w:val="0"/>
              </w:rPr>
              <w:t>0.5</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hAns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hAns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jc w:val="center"/>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中间产物</w:t>
            </w:r>
            <w:r>
              <w:rPr>
                <w:rFonts w:hint="eastAsia" w:ascii="宋体" w:eastAsia="Times New Roman"/>
                <w:color w:val="auto"/>
              </w:rPr>
              <w:t>Z</w:t>
            </w:r>
            <w:r>
              <w:rPr>
                <w:rFonts w:ascii="宋体" w:eastAsia="Times New Roman"/>
                <w:color w:val="auto"/>
              </w:rPr>
              <w:t>3</w:t>
            </w:r>
            <w:r>
              <w:rPr>
                <w:rFonts w:hint="eastAsia" w:ascii="宋体" w:hAnsi="宋体" w:eastAsia="Times New Roman" w:cs="宋体"/>
                <w:color w:val="auto"/>
              </w:rPr>
              <w:t>溶解釜</w:t>
            </w:r>
          </w:p>
        </w:tc>
        <w:tc>
          <w:tcPr>
            <w:tcW w:w="1165" w:type="dxa"/>
          </w:tcPr>
          <w:p>
            <w:pPr>
              <w:jc w:val="center"/>
              <w:rPr>
                <w:rFonts w:ascii="宋体" w:eastAsia="Times New Roman"/>
                <w:color w:val="auto"/>
              </w:rPr>
            </w:pPr>
            <w:r>
              <w:rPr>
                <w:rFonts w:hint="eastAsia" w:ascii="宋体" w:hAnsi="宋体" w:eastAsia="Times New Roman"/>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0</w:t>
            </w:r>
            <w:r>
              <w:rPr>
                <w:rFonts w:ascii="宋体" w:eastAsia="Times New Roman"/>
                <w:color w:val="auto"/>
                <w:spacing w:val="2"/>
                <w:kern w:val="0"/>
              </w:rPr>
              <w:t>.5</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4</w:t>
            </w:r>
            <w:r>
              <w:rPr>
                <w:rFonts w:ascii="宋体" w:eastAsia="Times New Roman"/>
                <w:color w:val="auto"/>
              </w:rPr>
              <w:t>0</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乙酸乙酯暂存罐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乙酸乙酯计量罐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ascii="宋体" w:hAnsi="宋体"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萃取精馏釜</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7</w:t>
            </w:r>
            <w:r>
              <w:rPr>
                <w:rFonts w:ascii="宋体" w:eastAsia="Times New Roman"/>
                <w:color w:val="auto"/>
              </w:rPr>
              <w:t>8</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ascii="宋体" w:hAnsi="宋体"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乙酸乙酯接收罐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eastAsia="Times New Roman"/>
                <w:color w:val="auto"/>
              </w:rPr>
              <w:t>DMF</w:t>
            </w:r>
            <w:r>
              <w:rPr>
                <w:rFonts w:hint="eastAsia" w:ascii="宋体" w:hAnsi="宋体" w:eastAsia="Times New Roman" w:cs="宋体"/>
                <w:color w:val="auto"/>
              </w:rPr>
              <w:t>暂存罐</w:t>
            </w:r>
          </w:p>
        </w:tc>
        <w:tc>
          <w:tcPr>
            <w:tcW w:w="1165" w:type="dxa"/>
          </w:tcPr>
          <w:p>
            <w:pPr>
              <w:jc w:val="center"/>
              <w:rPr>
                <w:rFonts w:ascii="宋体" w:eastAsia="Times New Roman"/>
                <w:color w:val="auto"/>
              </w:rPr>
            </w:pPr>
            <w:r>
              <w:rPr>
                <w:rFonts w:hint="eastAsia" w:ascii="宋体" w:eastAsia="Times New Roman"/>
                <w:color w:val="auto"/>
              </w:rPr>
              <w:t>DMF</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eastAsia="Times New Roman"/>
                <w:color w:val="auto"/>
              </w:rPr>
              <w:t>DMF</w:t>
            </w:r>
            <w:r>
              <w:rPr>
                <w:rFonts w:hint="eastAsia" w:ascii="宋体" w:hAnsi="宋体" w:eastAsia="Times New Roman" w:cs="宋体"/>
                <w:color w:val="auto"/>
              </w:rPr>
              <w:t>计量罐</w:t>
            </w:r>
          </w:p>
        </w:tc>
        <w:tc>
          <w:tcPr>
            <w:tcW w:w="1165" w:type="dxa"/>
          </w:tcPr>
          <w:p>
            <w:pPr>
              <w:jc w:val="center"/>
              <w:rPr>
                <w:rFonts w:ascii="宋体" w:eastAsia="Times New Roman"/>
                <w:color w:val="auto"/>
              </w:rPr>
            </w:pPr>
            <w:r>
              <w:rPr>
                <w:rFonts w:hint="eastAsia" w:ascii="宋体" w:eastAsia="Times New Roman"/>
                <w:color w:val="auto"/>
              </w:rPr>
              <w:t>DMF</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高温开环反应釜</w:t>
            </w:r>
          </w:p>
        </w:tc>
        <w:tc>
          <w:tcPr>
            <w:tcW w:w="1165" w:type="dxa"/>
          </w:tcPr>
          <w:p>
            <w:pPr>
              <w:jc w:val="center"/>
              <w:rPr>
                <w:rFonts w:ascii="宋体" w:eastAsia="Times New Roman"/>
                <w:color w:val="auto"/>
              </w:rPr>
            </w:pPr>
            <w:r>
              <w:rPr>
                <w:rFonts w:hint="eastAsia" w:ascii="宋体" w:eastAsia="Times New Roman"/>
                <w:color w:val="auto"/>
              </w:rPr>
              <w:t>DMF</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1</w:t>
            </w:r>
            <w:r>
              <w:rPr>
                <w:rFonts w:ascii="宋体" w:eastAsia="Times New Roman"/>
                <w:color w:val="auto"/>
              </w:rPr>
              <w:t>47</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eastAsia="Times New Roman"/>
                <w:color w:val="auto"/>
              </w:rPr>
              <w:t>DMF</w:t>
            </w:r>
            <w:r>
              <w:rPr>
                <w:rFonts w:hint="eastAsia" w:ascii="宋体" w:hAnsi="宋体" w:eastAsia="Times New Roman" w:cs="宋体"/>
                <w:color w:val="auto"/>
              </w:rPr>
              <w:t>接收罐</w:t>
            </w:r>
          </w:p>
        </w:tc>
        <w:tc>
          <w:tcPr>
            <w:tcW w:w="1165" w:type="dxa"/>
          </w:tcPr>
          <w:p>
            <w:pPr>
              <w:jc w:val="center"/>
              <w:rPr>
                <w:rFonts w:ascii="宋体" w:eastAsia="Times New Roman"/>
                <w:color w:val="auto"/>
              </w:rPr>
            </w:pPr>
            <w:r>
              <w:rPr>
                <w:rFonts w:hint="eastAsia" w:ascii="宋体" w:eastAsia="Times New Roman"/>
                <w:color w:val="auto"/>
              </w:rPr>
              <w:t>DMF</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乙酸乙酯计量罐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萃取精馏釜</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7</w:t>
            </w:r>
            <w:r>
              <w:rPr>
                <w:rFonts w:ascii="宋体" w:eastAsia="Times New Roman"/>
                <w:color w:val="auto"/>
              </w:rPr>
              <w:t>8</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乙酸乙酯接收罐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石油醚暂存罐</w:t>
            </w:r>
          </w:p>
        </w:tc>
        <w:tc>
          <w:tcPr>
            <w:tcW w:w="1165" w:type="dxa"/>
          </w:tcPr>
          <w:p>
            <w:pPr>
              <w:jc w:val="center"/>
              <w:rPr>
                <w:rFonts w:ascii="宋体" w:eastAsia="Times New Roman"/>
                <w:color w:val="auto"/>
              </w:rPr>
            </w:pPr>
            <w:r>
              <w:rPr>
                <w:rFonts w:hint="eastAsia" w:ascii="宋体" w:hAnsi="宋体" w:eastAsia="Times New Roman" w:cs="宋体"/>
                <w:color w:val="auto"/>
              </w:rPr>
              <w:t>石油醚</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石油醚计量罐</w:t>
            </w:r>
          </w:p>
        </w:tc>
        <w:tc>
          <w:tcPr>
            <w:tcW w:w="1165" w:type="dxa"/>
          </w:tcPr>
          <w:p>
            <w:pPr>
              <w:jc w:val="center"/>
              <w:rPr>
                <w:rFonts w:ascii="宋体" w:eastAsia="Times New Roman"/>
                <w:color w:val="auto"/>
              </w:rPr>
            </w:pPr>
            <w:r>
              <w:rPr>
                <w:rFonts w:hint="eastAsia" w:ascii="宋体" w:hAnsi="宋体" w:eastAsia="Times New Roman" w:cs="宋体"/>
                <w:color w:val="auto"/>
              </w:rPr>
              <w:t>石油醚</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石油醚接收罐</w:t>
            </w:r>
          </w:p>
        </w:tc>
        <w:tc>
          <w:tcPr>
            <w:tcW w:w="1165" w:type="dxa"/>
          </w:tcPr>
          <w:p>
            <w:pPr>
              <w:jc w:val="center"/>
              <w:rPr>
                <w:rFonts w:ascii="宋体" w:eastAsia="Times New Roman"/>
                <w:color w:val="auto"/>
              </w:rPr>
            </w:pPr>
            <w:r>
              <w:rPr>
                <w:rFonts w:hint="eastAsia" w:ascii="宋体" w:hAnsi="宋体" w:eastAsia="Times New Roman" w:cs="宋体"/>
                <w:color w:val="auto"/>
              </w:rPr>
              <w:t>石油醚</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叔丁醇暂存罐</w:t>
            </w:r>
          </w:p>
        </w:tc>
        <w:tc>
          <w:tcPr>
            <w:tcW w:w="1165" w:type="dxa"/>
          </w:tcPr>
          <w:p>
            <w:pPr>
              <w:jc w:val="center"/>
              <w:rPr>
                <w:rFonts w:ascii="宋体" w:eastAsia="Times New Roman"/>
                <w:color w:val="auto"/>
              </w:rPr>
            </w:pPr>
            <w:r>
              <w:rPr>
                <w:rFonts w:hint="eastAsia" w:ascii="宋体" w:hAnsi="宋体" w:eastAsia="Times New Roman" w:cs="宋体"/>
                <w:color w:val="auto"/>
              </w:rPr>
              <w:t>叔丁醇</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叔丁醇计量罐</w:t>
            </w:r>
          </w:p>
        </w:tc>
        <w:tc>
          <w:tcPr>
            <w:tcW w:w="1165" w:type="dxa"/>
          </w:tcPr>
          <w:p>
            <w:pPr>
              <w:jc w:val="center"/>
              <w:rPr>
                <w:rFonts w:ascii="宋体" w:eastAsia="Times New Roman"/>
                <w:color w:val="auto"/>
              </w:rPr>
            </w:pPr>
            <w:r>
              <w:rPr>
                <w:rFonts w:hint="eastAsia" w:ascii="宋体" w:hAnsi="宋体" w:eastAsia="Times New Roman" w:cs="宋体"/>
                <w:color w:val="auto"/>
              </w:rPr>
              <w:t>叔丁醇</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四氢呋喃计量罐</w:t>
            </w:r>
          </w:p>
        </w:tc>
        <w:tc>
          <w:tcPr>
            <w:tcW w:w="1165" w:type="dxa"/>
          </w:tcPr>
          <w:p>
            <w:pPr>
              <w:jc w:val="center"/>
              <w:rPr>
                <w:rFonts w:ascii="宋体" w:eastAsia="Times New Roman"/>
                <w:color w:val="auto"/>
              </w:rPr>
            </w:pPr>
            <w:r>
              <w:rPr>
                <w:rFonts w:hint="eastAsia" w:ascii="宋体" w:hAnsi="宋体" w:eastAsia="Times New Roman" w:cs="宋体"/>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双羟化反应釜</w:t>
            </w:r>
          </w:p>
        </w:tc>
        <w:tc>
          <w:tcPr>
            <w:tcW w:w="1165" w:type="dxa"/>
          </w:tcPr>
          <w:p>
            <w:pPr>
              <w:jc w:val="center"/>
              <w:rPr>
                <w:rFonts w:ascii="宋体" w:eastAsia="Times New Roman"/>
                <w:color w:val="auto"/>
              </w:rPr>
            </w:pPr>
            <w:r>
              <w:rPr>
                <w:rFonts w:hint="eastAsia" w:ascii="宋体" w:hAnsi="宋体" w:eastAsia="Times New Roman" w:cs="宋体"/>
                <w:color w:val="auto"/>
              </w:rPr>
              <w:t>叔丁醇</w:t>
            </w:r>
            <w:r>
              <w:rPr>
                <w:rFonts w:hint="eastAsia" w:ascii="宋体" w:eastAsia="Times New Roman"/>
                <w:color w:val="auto"/>
              </w:rPr>
              <w:t>/</w:t>
            </w:r>
            <w:r>
              <w:rPr>
                <w:rFonts w:hint="eastAsia" w:ascii="宋体" w:hAnsi="宋体" w:eastAsia="Times New Roman" w:cs="宋体"/>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5</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eastAsia="Times New Roman"/>
                <w:color w:val="auto"/>
              </w:rPr>
              <w:t>5</w:t>
            </w:r>
            <w:r>
              <w:rPr>
                <w:rFonts w:ascii="宋体" w:eastAsia="Times New Roman"/>
                <w:color w:val="auto"/>
              </w:rPr>
              <w:t>0</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四氢呋喃接收罐</w:t>
            </w:r>
          </w:p>
        </w:tc>
        <w:tc>
          <w:tcPr>
            <w:tcW w:w="1165" w:type="dxa"/>
          </w:tcPr>
          <w:p>
            <w:pPr>
              <w:jc w:val="center"/>
              <w:rPr>
                <w:rFonts w:ascii="宋体" w:eastAsia="Times New Roman"/>
                <w:color w:val="auto"/>
              </w:rPr>
            </w:pPr>
            <w:r>
              <w:rPr>
                <w:rFonts w:hint="eastAsia" w:ascii="宋体" w:hAnsi="宋体" w:eastAsia="Times New Roman" w:cs="宋体"/>
                <w:color w:val="auto"/>
              </w:rPr>
              <w:t>四氢呋喃</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叔丁醇接收罐</w:t>
            </w:r>
          </w:p>
        </w:tc>
        <w:tc>
          <w:tcPr>
            <w:tcW w:w="1165" w:type="dxa"/>
          </w:tcPr>
          <w:p>
            <w:pPr>
              <w:jc w:val="center"/>
              <w:rPr>
                <w:rFonts w:ascii="宋体" w:eastAsia="Times New Roman"/>
                <w:color w:val="auto"/>
              </w:rPr>
            </w:pPr>
            <w:r>
              <w:rPr>
                <w:rFonts w:hint="eastAsia" w:ascii="宋体" w:hAnsi="宋体" w:eastAsia="Times New Roman" w:cs="宋体"/>
                <w:color w:val="auto"/>
              </w:rPr>
              <w:t>叔丁醇</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乙酸乙酯计量罐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脱溶结晶釜</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eastAsia="Times New Roman"/>
                <w:color w:val="auto"/>
              </w:rPr>
              <w:t>7</w:t>
            </w:r>
            <w:r>
              <w:rPr>
                <w:rFonts w:ascii="宋体" w:eastAsia="Times New Roman"/>
                <w:color w:val="auto"/>
              </w:rPr>
              <w:t>8</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eastAsia="Times New Roman"/>
                <w:color w:val="auto"/>
              </w:rPr>
              <w:t>-</w:t>
            </w:r>
            <w:r>
              <w:rPr>
                <w:rFonts w:ascii="宋体" w:eastAsia="Times New Roman"/>
                <w:color w:val="auto"/>
              </w:rPr>
              <w:t>0.08</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乙酸乙酯接收罐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二氯甲烷暂存罐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eastAsiaTheme="minorEastAsia"/>
                <w:color w:val="auto"/>
              </w:rPr>
              <w:t>4</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二氯甲烷计量罐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4</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三乙胺计量罐</w:t>
            </w:r>
          </w:p>
        </w:tc>
        <w:tc>
          <w:tcPr>
            <w:tcW w:w="1165" w:type="dxa"/>
          </w:tcPr>
          <w:p>
            <w:pPr>
              <w:jc w:val="center"/>
              <w:rPr>
                <w:rFonts w:ascii="宋体" w:eastAsia="Times New Roman"/>
                <w:color w:val="auto"/>
              </w:rPr>
            </w:pPr>
            <w:r>
              <w:rPr>
                <w:rFonts w:hint="eastAsia" w:ascii="宋体" w:hAnsi="宋体" w:eastAsia="Times New Roman" w:cs="宋体"/>
                <w:color w:val="auto"/>
              </w:rPr>
              <w:t>三乙胺</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0</w:t>
            </w:r>
            <w:r>
              <w:rPr>
                <w:rFonts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丙酰化反应釜</w:t>
            </w:r>
          </w:p>
        </w:tc>
        <w:tc>
          <w:tcPr>
            <w:tcW w:w="1165" w:type="dxa"/>
          </w:tcPr>
          <w:p>
            <w:pPr>
              <w:jc w:val="center"/>
              <w:rPr>
                <w:rFonts w:ascii="宋体" w:eastAsia="Times New Roman"/>
                <w:color w:val="auto"/>
              </w:rPr>
            </w:pPr>
            <w:r>
              <w:rPr>
                <w:rFonts w:hint="eastAsia" w:ascii="宋体" w:hAnsi="宋体" w:eastAsia="Times New Roman" w:cs="宋体"/>
                <w:color w:val="auto"/>
              </w:rPr>
              <w:t>二氯甲烷、三乙胺</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eastAsia="Times New Roman"/>
                <w:color w:val="auto"/>
              </w:rPr>
              <w:t>5</w:t>
            </w:r>
            <w:r>
              <w:rPr>
                <w:rFonts w:ascii="宋体" w:eastAsia="Times New Roman"/>
                <w:color w:val="auto"/>
              </w:rPr>
              <w:t>0</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二氯甲烷接收罐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4</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二氯甲烷计量罐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4</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内酯化反应釜</w:t>
            </w:r>
          </w:p>
        </w:tc>
        <w:tc>
          <w:tcPr>
            <w:tcW w:w="1165" w:type="dxa"/>
          </w:tcPr>
          <w:p>
            <w:pPr>
              <w:jc w:val="center"/>
              <w:rPr>
                <w:rFonts w:ascii="宋体" w:eastAsia="Times New Roman"/>
                <w:color w:val="auto"/>
              </w:rPr>
            </w:pPr>
            <w:r>
              <w:rPr>
                <w:rFonts w:hint="eastAsia" w:ascii="宋体" w:hAnsi="宋体" w:eastAsia="Times New Roman" w:cs="宋体"/>
                <w:color w:val="auto"/>
              </w:rPr>
              <w:t>二氯甲烷、双氧水</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ascii="宋体" w:eastAsia="Times New Roman"/>
                <w:color w:val="auto"/>
                <w:spacing w:val="2"/>
                <w:kern w:val="0"/>
              </w:rPr>
              <w:t>2</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eastAsia="Times New Roman"/>
                <w:color w:val="auto"/>
              </w:rPr>
              <w:t>0</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5</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二氯甲烷计量罐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4</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乙酸乙酯计量罐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spacing w:val="2"/>
                <w:kern w:val="0"/>
              </w:rPr>
            </w:pPr>
            <w:r>
              <w:rPr>
                <w:rFonts w:hint="eastAsia" w:ascii="宋体" w:eastAsia="Times New Roman"/>
                <w:color w:val="auto"/>
                <w:spacing w:val="2"/>
                <w:kern w:val="0"/>
              </w:rPr>
              <w:t>0</w:t>
            </w:r>
            <w:r>
              <w:rPr>
                <w:rFonts w:ascii="宋体" w:eastAsia="Times New Roman"/>
                <w:color w:val="auto"/>
                <w:spacing w:val="2"/>
                <w:kern w:val="0"/>
              </w:rPr>
              <w:t>.5</w:t>
            </w:r>
          </w:p>
        </w:tc>
        <w:tc>
          <w:tcPr>
            <w:tcW w:w="54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29"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常温</w:t>
            </w:r>
          </w:p>
        </w:tc>
        <w:tc>
          <w:tcPr>
            <w:tcW w:w="498"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735"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ascii="宋体" w:eastAsia="Times New Roman"/>
                <w:color w:val="auto"/>
              </w:rPr>
            </w:pPr>
            <w:r>
              <w:rPr>
                <w:rFonts w:hint="eastAsia" w:ascii="宋体" w:hAnsi="宋体" w:eastAsia="Times New Roman" w:cs="宋体"/>
                <w:color w:val="auto"/>
              </w:rPr>
              <w:t>常压</w:t>
            </w:r>
          </w:p>
        </w:tc>
        <w:tc>
          <w:tcPr>
            <w:tcW w:w="43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0</w:t>
            </w:r>
          </w:p>
        </w:tc>
        <w:tc>
          <w:tcPr>
            <w:tcW w:w="661"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2</w:t>
            </w:r>
          </w:p>
        </w:tc>
        <w:tc>
          <w:tcPr>
            <w:tcW w:w="49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color w:val="auto"/>
              </w:rPr>
            </w:pPr>
            <w:r>
              <w:rPr>
                <w:rFonts w:hint="eastAsia" w:eastAsiaTheme="minorEastAsia"/>
                <w:color w:val="auto"/>
              </w:rPr>
              <w:t>7</w:t>
            </w:r>
          </w:p>
        </w:tc>
        <w:tc>
          <w:tcPr>
            <w:tcW w:w="616" w:type="dxa"/>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萃取精馏釜</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5</w:t>
            </w:r>
            <w:r>
              <w:rPr>
                <w:rFonts w:ascii="宋体" w:eastAsia="Times New Roman"/>
                <w:color w:val="auto"/>
              </w:rPr>
              <w:t>0</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4</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纯化结晶釜</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eastAsia="Times New Roman"/>
                <w:color w:val="auto"/>
              </w:rPr>
              <w:t>7</w:t>
            </w:r>
            <w:r>
              <w:rPr>
                <w:rFonts w:ascii="宋体" w:eastAsia="Times New Roman"/>
                <w:color w:val="auto"/>
              </w:rPr>
              <w:t>8</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二氯甲烷接收罐</w:t>
            </w:r>
          </w:p>
        </w:tc>
        <w:tc>
          <w:tcPr>
            <w:tcW w:w="1165" w:type="dxa"/>
          </w:tcPr>
          <w:p>
            <w:pPr>
              <w:jc w:val="center"/>
              <w:rPr>
                <w:rFonts w:ascii="宋体" w:eastAsia="Times New Roman"/>
                <w:color w:val="auto"/>
              </w:rPr>
            </w:pPr>
            <w:r>
              <w:rPr>
                <w:rFonts w:hint="eastAsia" w:ascii="宋体" w:hAnsi="宋体" w:eastAsia="Times New Roman" w:cs="宋体"/>
                <w:color w:val="auto"/>
              </w:rPr>
              <w:t>二氯甲烷</w:t>
            </w:r>
          </w:p>
        </w:tc>
        <w:tc>
          <w:tcPr>
            <w:tcW w:w="442" w:type="dxa"/>
          </w:tcPr>
          <w:p>
            <w:pPr>
              <w:jc w:val="center"/>
              <w:rPr>
                <w:rFonts w:eastAsia="Times New Roman"/>
                <w:color w:val="auto"/>
              </w:rPr>
            </w:pPr>
            <w:r>
              <w:rPr>
                <w:rFonts w:eastAsia="Times New Roman"/>
                <w:color w:val="auto"/>
              </w:rPr>
              <w:t>2</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2</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4</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3" w:type="dxa"/>
          </w:tcPr>
          <w:p>
            <w:pPr>
              <w:jc w:val="center"/>
              <w:rPr>
                <w:rFonts w:ascii="宋体" w:eastAsia="Times New Roman"/>
                <w:color w:val="auto"/>
              </w:rPr>
            </w:pPr>
            <w:r>
              <w:rPr>
                <w:rFonts w:hint="eastAsia" w:ascii="宋体" w:hAnsi="宋体" w:eastAsia="Times New Roman" w:cs="宋体"/>
                <w:color w:val="auto"/>
              </w:rPr>
              <w:t>乙酸乙酯接收罐</w:t>
            </w:r>
          </w:p>
        </w:tc>
        <w:tc>
          <w:tcPr>
            <w:tcW w:w="1165" w:type="dxa"/>
          </w:tcPr>
          <w:p>
            <w:pPr>
              <w:jc w:val="center"/>
              <w:rPr>
                <w:rFonts w:ascii="宋体" w:eastAsia="Times New Roman"/>
                <w:color w:val="auto"/>
              </w:rPr>
            </w:pPr>
            <w:r>
              <w:rPr>
                <w:rFonts w:hint="eastAsia" w:ascii="宋体" w:hAnsi="宋体" w:eastAsia="Times New Roman" w:cs="宋体"/>
                <w:color w:val="auto"/>
              </w:rPr>
              <w:t>乙酸乙酯</w:t>
            </w:r>
          </w:p>
        </w:tc>
        <w:tc>
          <w:tcPr>
            <w:tcW w:w="442" w:type="dxa"/>
          </w:tcPr>
          <w:p>
            <w:pPr>
              <w:jc w:val="center"/>
              <w:rPr>
                <w:rFonts w:eastAsia="Times New Roman"/>
                <w:color w:val="auto"/>
              </w:rPr>
            </w:pPr>
            <w:r>
              <w:rPr>
                <w:rFonts w:hint="eastAsia" w:eastAsia="Times New Roman"/>
                <w:color w:val="auto"/>
              </w:rPr>
              <w:t>5</w:t>
            </w:r>
          </w:p>
        </w:tc>
        <w:tc>
          <w:tcPr>
            <w:tcW w:w="823" w:type="dxa"/>
          </w:tcPr>
          <w:p>
            <w:pPr>
              <w:jc w:val="center"/>
              <w:rPr>
                <w:rFonts w:ascii="宋体" w:eastAsia="Times New Roman"/>
                <w:color w:val="auto"/>
                <w:spacing w:val="2"/>
                <w:kern w:val="0"/>
              </w:rPr>
            </w:pPr>
            <w:r>
              <w:rPr>
                <w:rFonts w:hint="eastAsia" w:ascii="宋体" w:eastAsia="Times New Roman"/>
                <w:color w:val="auto"/>
                <w:spacing w:val="2"/>
                <w:kern w:val="0"/>
              </w:rPr>
              <w:t>1</w:t>
            </w:r>
          </w:p>
        </w:tc>
        <w:tc>
          <w:tcPr>
            <w:tcW w:w="541" w:type="dxa"/>
          </w:tcPr>
          <w:p>
            <w:pPr>
              <w:jc w:val="center"/>
              <w:rPr>
                <w:rFonts w:eastAsia="Times New Roman"/>
                <w:color w:val="auto"/>
              </w:rPr>
            </w:pPr>
            <w:r>
              <w:rPr>
                <w:rFonts w:hint="eastAsia" w:eastAsia="Times New Roman"/>
                <w:color w:val="auto"/>
              </w:rPr>
              <w:t>0</w:t>
            </w:r>
          </w:p>
        </w:tc>
        <w:tc>
          <w:tcPr>
            <w:tcW w:w="629" w:type="dxa"/>
          </w:tcPr>
          <w:p>
            <w:pPr>
              <w:jc w:val="center"/>
              <w:rPr>
                <w:rFonts w:ascii="宋体" w:eastAsia="Times New Roman"/>
                <w:color w:val="auto"/>
              </w:rPr>
            </w:pPr>
            <w:r>
              <w:rPr>
                <w:rFonts w:hint="eastAsia" w:ascii="宋体" w:hAnsi="宋体" w:eastAsia="Times New Roman" w:cs="宋体"/>
                <w:color w:val="auto"/>
              </w:rPr>
              <w:t>常温</w:t>
            </w:r>
          </w:p>
        </w:tc>
        <w:tc>
          <w:tcPr>
            <w:tcW w:w="498" w:type="dxa"/>
          </w:tcPr>
          <w:p>
            <w:pPr>
              <w:jc w:val="center"/>
              <w:rPr>
                <w:rFonts w:eastAsia="Times New Roman"/>
                <w:color w:val="auto"/>
              </w:rPr>
            </w:pPr>
            <w:r>
              <w:rPr>
                <w:rFonts w:hint="eastAsia" w:eastAsia="Times New Roman"/>
                <w:color w:val="auto"/>
              </w:rPr>
              <w:t>0</w:t>
            </w:r>
          </w:p>
        </w:tc>
        <w:tc>
          <w:tcPr>
            <w:tcW w:w="735" w:type="dxa"/>
          </w:tcPr>
          <w:p>
            <w:pPr>
              <w:jc w:val="center"/>
              <w:rPr>
                <w:rFonts w:ascii="宋体" w:eastAsia="Times New Roman"/>
                <w:color w:val="auto"/>
              </w:rPr>
            </w:pPr>
            <w:r>
              <w:rPr>
                <w:rFonts w:hint="eastAsia" w:ascii="宋体" w:hAnsi="宋体" w:eastAsia="Times New Roman" w:cs="宋体"/>
                <w:color w:val="auto"/>
              </w:rPr>
              <w:t>常压</w:t>
            </w:r>
          </w:p>
        </w:tc>
        <w:tc>
          <w:tcPr>
            <w:tcW w:w="436" w:type="dxa"/>
          </w:tcPr>
          <w:p>
            <w:pPr>
              <w:jc w:val="center"/>
              <w:rPr>
                <w:rFonts w:eastAsia="Times New Roman"/>
                <w:color w:val="auto"/>
              </w:rPr>
            </w:pPr>
            <w:r>
              <w:rPr>
                <w:rFonts w:hint="eastAsia" w:eastAsia="Times New Roman"/>
                <w:color w:val="auto"/>
              </w:rPr>
              <w:t>0</w:t>
            </w:r>
          </w:p>
        </w:tc>
        <w:tc>
          <w:tcPr>
            <w:tcW w:w="661" w:type="dxa"/>
          </w:tcPr>
          <w:p>
            <w:pPr>
              <w:jc w:val="center"/>
              <w:rPr>
                <w:rFonts w:eastAsia="Times New Roman"/>
                <w:color w:val="auto"/>
              </w:rPr>
            </w:pPr>
            <w:r>
              <w:rPr>
                <w:rFonts w:hint="eastAsia" w:eastAsia="Times New Roman"/>
                <w:color w:val="auto"/>
              </w:rPr>
              <w:t>2</w:t>
            </w:r>
          </w:p>
        </w:tc>
        <w:tc>
          <w:tcPr>
            <w:tcW w:w="496" w:type="dxa"/>
          </w:tcPr>
          <w:p>
            <w:pPr>
              <w:jc w:val="center"/>
              <w:rPr>
                <w:rFonts w:eastAsiaTheme="minorEastAsia"/>
                <w:color w:val="auto"/>
              </w:rPr>
            </w:pPr>
            <w:r>
              <w:rPr>
                <w:rFonts w:hint="eastAsia" w:eastAsiaTheme="minorEastAsia"/>
                <w:color w:val="auto"/>
              </w:rPr>
              <w:t>7</w:t>
            </w:r>
          </w:p>
        </w:tc>
        <w:tc>
          <w:tcPr>
            <w:tcW w:w="616" w:type="dxa"/>
          </w:tcPr>
          <w:p>
            <w:pPr>
              <w:jc w:val="center"/>
              <w:rPr>
                <w:rFonts w:eastAsia="Times New Roman"/>
                <w:color w:val="auto"/>
              </w:rPr>
            </w:pPr>
            <w:r>
              <w:rPr>
                <w:rFonts w:hint="eastAsia" w:eastAsia="Times New Roman"/>
                <w:color w:val="auto"/>
              </w:rPr>
              <w:t>III</w:t>
            </w:r>
          </w:p>
        </w:tc>
        <w:tc>
          <w:tcPr>
            <w:tcW w:w="616" w:type="dxa"/>
            <w:vMerge w:val="continue"/>
          </w:tcPr>
          <w:p>
            <w:pPr>
              <w:widowControl/>
              <w:jc w:val="left"/>
              <w:rPr>
                <w:rFonts w:ascii="宋体" w:hAnsi="宋体" w:eastAsia="Times New Roman"/>
                <w:color w:val="auto"/>
              </w:rPr>
            </w:pPr>
          </w:p>
        </w:tc>
      </w:tr>
    </w:tbl>
    <w:p>
      <w:pPr>
        <w:ind w:firstLine="560" w:firstLineChars="200"/>
        <w:rPr>
          <w:rFonts w:ascii="宋体" w:hAnsi="宋体"/>
          <w:color w:val="auto"/>
          <w:sz w:val="28"/>
          <w:szCs w:val="28"/>
        </w:rPr>
      </w:pPr>
      <w:r>
        <w:rPr>
          <w:rFonts w:hint="eastAsia" w:ascii="宋体" w:hAnsi="宋体"/>
          <w:color w:val="auto"/>
          <w:sz w:val="28"/>
          <w:szCs w:val="28"/>
        </w:rPr>
        <w:t>本节评价小结：</w:t>
      </w:r>
    </w:p>
    <w:p>
      <w:pPr>
        <w:ind w:firstLine="560" w:firstLineChars="200"/>
        <w:rPr>
          <w:rFonts w:ascii="宋体" w:hAnsi="宋体"/>
          <w:color w:val="auto"/>
          <w:sz w:val="28"/>
          <w:szCs w:val="28"/>
        </w:rPr>
      </w:pPr>
      <w:r>
        <w:rPr>
          <w:rFonts w:hint="eastAsia" w:ascii="宋体" w:hAnsi="宋体"/>
          <w:color w:val="auto"/>
          <w:sz w:val="28"/>
          <w:szCs w:val="28"/>
        </w:rPr>
        <w:t>由设备及工艺等特点决定该项目生产装置具有一定的火灾爆炸、中毒窒息、灼烫、触电、机械伤害、冻伤等危险特性，通过预先危险性分析，火灾爆炸、中毒窒息、触电危险程度为Ⅲ级（危险的）；灼烫、机械伤害、冻伤危险程度为Ⅱ级；Ⅲ级是危险的，会造成人员伤亡和系统损坏，要立即采取防范对策措施；Ⅱ级处于事故的边缘状态，暂时还不会造成人员伤亡、系统损坏降低系统性能，但应予排除或采取控制措施。</w:t>
      </w:r>
    </w:p>
    <w:p>
      <w:pPr>
        <w:ind w:firstLine="560" w:firstLineChars="200"/>
        <w:rPr>
          <w:rFonts w:ascii="宋体" w:hAnsi="宋体"/>
          <w:color w:val="auto"/>
          <w:sz w:val="28"/>
          <w:szCs w:val="28"/>
        </w:rPr>
      </w:pPr>
      <w:r>
        <w:rPr>
          <w:rFonts w:hint="eastAsia" w:ascii="宋体" w:hAnsi="宋体"/>
          <w:color w:val="auto"/>
          <w:sz w:val="28"/>
          <w:szCs w:val="28"/>
        </w:rPr>
        <w:t>通过危险度分析得知，1</w:t>
      </w:r>
      <w:r>
        <w:rPr>
          <w:rFonts w:ascii="宋体" w:hAnsi="宋体"/>
          <w:color w:val="auto"/>
          <w:sz w:val="28"/>
          <w:szCs w:val="28"/>
        </w:rPr>
        <w:t>01</w:t>
      </w:r>
      <w:r>
        <w:rPr>
          <w:rFonts w:hint="eastAsia" w:ascii="宋体" w:hAnsi="宋体"/>
          <w:color w:val="auto"/>
          <w:sz w:val="28"/>
          <w:szCs w:val="28"/>
        </w:rPr>
        <w:t>甲类车间一单元危险度等级为Ⅱ级，属于中度危险，在生产管理中应加强安全技术措施及管理措施，降低危险程度，防止事故发生。</w:t>
      </w:r>
    </w:p>
    <w:p>
      <w:pPr>
        <w:keepNext/>
        <w:keepLines/>
        <w:spacing w:line="600" w:lineRule="exact"/>
        <w:jc w:val="left"/>
        <w:outlineLvl w:val="2"/>
        <w:rPr>
          <w:rFonts w:ascii="Calibri" w:hAnsi="Calibri"/>
          <w:b/>
          <w:color w:val="auto"/>
          <w:sz w:val="28"/>
          <w:szCs w:val="32"/>
        </w:rPr>
      </w:pPr>
      <w:bookmarkStart w:id="276" w:name="_Toc144109257"/>
      <w:r>
        <w:rPr>
          <w:rFonts w:hint="eastAsia" w:ascii="Calibri" w:hAnsi="Calibri"/>
          <w:b/>
          <w:color w:val="auto"/>
          <w:sz w:val="28"/>
          <w:szCs w:val="32"/>
        </w:rPr>
        <w:t>C.</w:t>
      </w:r>
      <w:r>
        <w:rPr>
          <w:rFonts w:ascii="Calibri" w:hAnsi="Calibri"/>
          <w:b/>
          <w:color w:val="auto"/>
          <w:sz w:val="28"/>
          <w:szCs w:val="32"/>
        </w:rPr>
        <w:t>1.3.2</w:t>
      </w:r>
      <w:r>
        <w:rPr>
          <w:rFonts w:hint="eastAsia" w:ascii="Calibri" w:hAnsi="Calibri"/>
          <w:b/>
          <w:color w:val="auto"/>
          <w:sz w:val="28"/>
          <w:szCs w:val="32"/>
        </w:rPr>
        <w:t xml:space="preserve"> </w:t>
      </w:r>
      <w:r>
        <w:rPr>
          <w:rFonts w:ascii="Calibri" w:hAnsi="Calibri"/>
          <w:b/>
          <w:color w:val="auto"/>
          <w:sz w:val="28"/>
          <w:szCs w:val="32"/>
        </w:rPr>
        <w:t xml:space="preserve"> 103</w:t>
      </w:r>
      <w:r>
        <w:rPr>
          <w:rFonts w:hint="eastAsia"/>
          <w:b/>
          <w:color w:val="auto"/>
          <w:sz w:val="28"/>
          <w:szCs w:val="32"/>
        </w:rPr>
        <w:t>液体制剂车间</w:t>
      </w:r>
      <w:r>
        <w:rPr>
          <w:rFonts w:hint="eastAsia" w:ascii="Calibri" w:hAnsi="Calibri"/>
          <w:b/>
          <w:color w:val="auto"/>
          <w:sz w:val="28"/>
          <w:szCs w:val="32"/>
        </w:rPr>
        <w:t>子单元评价</w:t>
      </w:r>
      <w:bookmarkEnd w:id="276"/>
    </w:p>
    <w:p>
      <w:pPr>
        <w:ind w:firstLine="560" w:firstLineChars="200"/>
        <w:rPr>
          <w:rFonts w:ascii="宋体" w:hAnsi="宋体"/>
          <w:color w:val="auto"/>
          <w:sz w:val="28"/>
          <w:szCs w:val="28"/>
        </w:rPr>
      </w:pPr>
      <w:r>
        <w:rPr>
          <w:rFonts w:hint="eastAsia" w:ascii="宋体" w:hAnsi="宋体"/>
          <w:color w:val="auto"/>
          <w:sz w:val="28"/>
          <w:szCs w:val="28"/>
        </w:rPr>
        <w:t xml:space="preserve">1.预先危险性分析 </w:t>
      </w:r>
    </w:p>
    <w:p>
      <w:pPr>
        <w:autoSpaceDE w:val="0"/>
        <w:autoSpaceDN w:val="0"/>
        <w:adjustRightInd w:val="0"/>
        <w:ind w:firstLine="560" w:firstLineChars="200"/>
        <w:rPr>
          <w:rFonts w:hAnsi="宋体"/>
          <w:color w:val="auto"/>
          <w:sz w:val="28"/>
          <w:szCs w:val="28"/>
        </w:rPr>
      </w:pPr>
      <w:r>
        <w:rPr>
          <w:rFonts w:ascii="宋体" w:hAnsi="宋体"/>
          <w:color w:val="auto"/>
          <w:sz w:val="28"/>
          <w:szCs w:val="28"/>
        </w:rPr>
        <w:t>本报告对</w:t>
      </w:r>
      <w:r>
        <w:rPr>
          <w:rFonts w:hint="eastAsia" w:ascii="宋体" w:hAnsi="宋体"/>
          <w:color w:val="auto"/>
          <w:sz w:val="28"/>
          <w:szCs w:val="28"/>
        </w:rPr>
        <w:t>生产单元</w:t>
      </w:r>
      <w:r>
        <w:rPr>
          <w:rFonts w:ascii="宋体" w:hAnsi="宋体"/>
          <w:color w:val="auto"/>
          <w:sz w:val="28"/>
          <w:szCs w:val="28"/>
        </w:rPr>
        <w:t>有可能造成人员伤亡</w:t>
      </w:r>
      <w:r>
        <w:rPr>
          <w:rFonts w:hint="eastAsia" w:ascii="宋体" w:hAnsi="宋体"/>
          <w:color w:val="auto"/>
          <w:sz w:val="28"/>
          <w:szCs w:val="28"/>
        </w:rPr>
        <w:t>的主要危险</w:t>
      </w:r>
      <w:r>
        <w:rPr>
          <w:rFonts w:ascii="宋体" w:hAnsi="宋体"/>
          <w:color w:val="auto"/>
          <w:sz w:val="28"/>
          <w:szCs w:val="28"/>
        </w:rPr>
        <w:t>因素采用预先危险性分析法进行分析评价，具体见表</w:t>
      </w:r>
      <w:r>
        <w:rPr>
          <w:color w:val="auto"/>
          <w:sz w:val="28"/>
          <w:szCs w:val="28"/>
        </w:rPr>
        <w:t>C.1-11</w:t>
      </w:r>
      <w:r>
        <w:rPr>
          <w:rFonts w:ascii="宋体" w:hAnsi="宋体"/>
          <w:color w:val="auto"/>
          <w:sz w:val="28"/>
          <w:szCs w:val="28"/>
        </w:rPr>
        <w:t>。</w:t>
      </w:r>
    </w:p>
    <w:p>
      <w:pPr>
        <w:spacing w:line="600" w:lineRule="exact"/>
        <w:ind w:firstLine="555"/>
        <w:jc w:val="center"/>
        <w:rPr>
          <w:color w:val="auto"/>
          <w:sz w:val="24"/>
          <w:szCs w:val="24"/>
        </w:rPr>
      </w:pPr>
      <w:r>
        <w:rPr>
          <w:rFonts w:hint="eastAsia" w:ascii="宋体" w:hAnsi="宋体"/>
          <w:color w:val="auto"/>
          <w:sz w:val="24"/>
          <w:szCs w:val="24"/>
        </w:rPr>
        <w:t>表</w:t>
      </w:r>
      <w:r>
        <w:rPr>
          <w:color w:val="auto"/>
          <w:sz w:val="24"/>
          <w:szCs w:val="24"/>
        </w:rPr>
        <w:t>C.1-11</w:t>
      </w:r>
      <w:r>
        <w:rPr>
          <w:rFonts w:hint="eastAsia"/>
          <w:color w:val="auto"/>
          <w:sz w:val="24"/>
          <w:szCs w:val="24"/>
        </w:rPr>
        <w:t xml:space="preserve"> </w:t>
      </w:r>
      <w:r>
        <w:rPr>
          <w:rFonts w:hint="eastAsia" w:ascii="宋体" w:hAnsi="宋体"/>
          <w:color w:val="auto"/>
          <w:sz w:val="24"/>
          <w:szCs w:val="24"/>
        </w:rPr>
        <w:t>液体制剂车间单元预先危险性分析</w:t>
      </w:r>
    </w:p>
    <w:tbl>
      <w:tblPr>
        <w:tblStyle w:val="31"/>
        <w:tblW w:w="9496"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719"/>
        <w:gridCol w:w="3222"/>
        <w:gridCol w:w="636"/>
        <w:gridCol w:w="670"/>
        <w:gridCol w:w="361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bCs/>
                <w:color w:val="auto"/>
              </w:rPr>
              <w:t>触发事件</w:t>
            </w:r>
          </w:p>
        </w:tc>
        <w:tc>
          <w:tcPr>
            <w:tcW w:w="3222"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事故原因</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事故后果</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危险等级</w:t>
            </w:r>
          </w:p>
        </w:tc>
        <w:tc>
          <w:tcPr>
            <w:tcW w:w="3613" w:type="dxa"/>
            <w:tcBorders>
              <w:top w:val="single" w:color="000000" w:sz="4" w:space="0"/>
              <w:left w:val="nil"/>
              <w:bottom w:val="single" w:color="000000" w:sz="4" w:space="0"/>
              <w:right w:val="single" w:color="000000" w:sz="4" w:space="0"/>
            </w:tcBorders>
            <w:vAlign w:val="center"/>
          </w:tcPr>
          <w:p>
            <w:pPr>
              <w:jc w:val="center"/>
              <w:rPr>
                <w:rFonts w:ascii="宋体" w:hAnsi="宋体"/>
                <w:bCs/>
                <w:color w:val="auto"/>
              </w:rPr>
            </w:pPr>
            <w:r>
              <w:rPr>
                <w:rFonts w:hint="eastAsia" w:ascii="宋体" w:hAnsi="宋体"/>
                <w:color w:val="auto"/>
              </w:rPr>
              <w:t>措施建议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p>
          <w:p>
            <w:pPr>
              <w:jc w:val="center"/>
              <w:rPr>
                <w:rFonts w:ascii="宋体" w:hAnsi="宋体"/>
                <w:color w:val="auto"/>
              </w:rPr>
            </w:pPr>
            <w:r>
              <w:rPr>
                <w:rFonts w:hint="eastAsia" w:ascii="宋体" w:hAnsi="宋体"/>
                <w:color w:val="auto"/>
              </w:rPr>
              <w:t>火灾、爆炸</w:t>
            </w:r>
          </w:p>
        </w:tc>
        <w:tc>
          <w:tcPr>
            <w:tcW w:w="719" w:type="dxa"/>
            <w:tcBorders>
              <w:top w:val="single" w:color="000000" w:sz="4" w:space="0"/>
              <w:left w:val="nil"/>
              <w:bottom w:val="single" w:color="000000" w:sz="4" w:space="0"/>
              <w:right w:val="single" w:color="000000" w:sz="6" w:space="0"/>
            </w:tcBorders>
          </w:tcPr>
          <w:p>
            <w:pPr>
              <w:jc w:val="left"/>
              <w:rPr>
                <w:rFonts w:ascii="宋体" w:hAnsi="宋体"/>
                <w:color w:val="auto"/>
              </w:rPr>
            </w:pPr>
            <w:r>
              <w:rPr>
                <w:rFonts w:hint="eastAsia" w:ascii="宋体" w:hAnsi="宋体"/>
                <w:bCs/>
                <w:color w:val="auto"/>
              </w:rPr>
              <w:t>1.可燃物质</w:t>
            </w:r>
            <w:r>
              <w:rPr>
                <w:rFonts w:hint="eastAsia" w:ascii="宋体" w:hAnsi="宋体"/>
                <w:color w:val="auto"/>
              </w:rPr>
              <w:t>泄漏，遇火源发火灾</w:t>
            </w:r>
          </w:p>
          <w:p>
            <w:pPr>
              <w:jc w:val="left"/>
              <w:rPr>
                <w:rFonts w:ascii="宋体" w:hAnsi="宋体"/>
                <w:bCs/>
                <w:color w:val="auto"/>
              </w:rPr>
            </w:pPr>
          </w:p>
        </w:tc>
        <w:tc>
          <w:tcPr>
            <w:tcW w:w="3222" w:type="dxa"/>
            <w:tcBorders>
              <w:top w:val="single" w:color="000000" w:sz="4" w:space="0"/>
              <w:left w:val="nil"/>
              <w:bottom w:val="single" w:color="000000" w:sz="4" w:space="0"/>
              <w:right w:val="single" w:color="000000" w:sz="6" w:space="0"/>
            </w:tcBorders>
          </w:tcPr>
          <w:p>
            <w:pPr>
              <w:rPr>
                <w:rFonts w:ascii="宋体" w:hAnsi="宋体"/>
                <w:color w:val="auto"/>
              </w:rPr>
            </w:pPr>
            <w:r>
              <w:rPr>
                <w:rFonts w:hint="eastAsia" w:ascii="宋体" w:hAnsi="宋体"/>
                <w:color w:val="auto"/>
              </w:rPr>
              <w:t>1.设备、管道等材质选用不当；</w:t>
            </w:r>
          </w:p>
          <w:p>
            <w:pPr>
              <w:pStyle w:val="10"/>
              <w:spacing w:after="0"/>
              <w:rPr>
                <w:rFonts w:ascii="宋体" w:hAnsi="宋体"/>
                <w:color w:val="auto"/>
                <w:sz w:val="21"/>
                <w:szCs w:val="21"/>
              </w:rPr>
            </w:pPr>
            <w:r>
              <w:rPr>
                <w:rFonts w:hint="eastAsia" w:ascii="宋体" w:hAnsi="宋体"/>
                <w:color w:val="auto"/>
                <w:sz w:val="21"/>
                <w:szCs w:val="21"/>
              </w:rPr>
              <w:t>2.</w:t>
            </w:r>
            <w:r>
              <w:rPr>
                <w:rFonts w:hint="eastAsia" w:ascii="宋体" w:hAnsi="宋体"/>
                <w:bCs/>
                <w:color w:val="auto"/>
                <w:sz w:val="21"/>
                <w:szCs w:val="21"/>
              </w:rPr>
              <w:t xml:space="preserve"> </w:t>
            </w:r>
            <w:r>
              <w:rPr>
                <w:rFonts w:hint="eastAsia" w:ascii="宋体" w:hAnsi="宋体"/>
                <w:color w:val="auto"/>
                <w:sz w:val="21"/>
                <w:szCs w:val="21"/>
              </w:rPr>
              <w:t>设备设计不合理，施工有缺陷；设备、管道、阀门材质不符合或有缺陷；</w:t>
            </w:r>
          </w:p>
          <w:p>
            <w:pPr>
              <w:rPr>
                <w:rFonts w:ascii="宋体" w:hAnsi="宋体"/>
                <w:color w:val="auto"/>
              </w:rPr>
            </w:pPr>
            <w:r>
              <w:rPr>
                <w:rFonts w:hint="eastAsia" w:ascii="宋体" w:hAnsi="宋体"/>
                <w:color w:val="auto"/>
              </w:rPr>
              <w:t>3.设备相连接的法兰、阀门、管件等处密封件老化泄漏</w:t>
            </w:r>
          </w:p>
          <w:p>
            <w:pPr>
              <w:rPr>
                <w:rFonts w:ascii="宋体" w:hAnsi="宋体"/>
                <w:color w:val="auto"/>
              </w:rPr>
            </w:pPr>
            <w:r>
              <w:rPr>
                <w:rFonts w:hint="eastAsia" w:ascii="宋体" w:hAnsi="宋体"/>
                <w:color w:val="auto"/>
              </w:rPr>
              <w:t xml:space="preserve">4.乙醇、异丙醇等物料溢出。液位等控制系统失效， </w:t>
            </w:r>
          </w:p>
          <w:p>
            <w:pPr>
              <w:jc w:val="center"/>
              <w:rPr>
                <w:rFonts w:ascii="宋体" w:hAnsi="宋体"/>
                <w:color w:val="auto"/>
              </w:rPr>
            </w:pPr>
            <w:r>
              <w:rPr>
                <w:rFonts w:ascii="宋体" w:hAnsi="宋体"/>
                <w:color w:val="auto"/>
              </w:rPr>
              <w:t>5</w:t>
            </w:r>
            <w:r>
              <w:rPr>
                <w:rFonts w:hint="eastAsia" w:ascii="宋体" w:hAnsi="宋体"/>
                <w:color w:val="auto"/>
                <w:spacing w:val="-4"/>
              </w:rPr>
              <w:t>.</w:t>
            </w:r>
            <w:r>
              <w:rPr>
                <w:rFonts w:hint="eastAsia" w:ascii="宋体" w:hAnsi="宋体"/>
                <w:color w:val="auto"/>
              </w:rPr>
              <w:t>电气火花、静电放电、雷击.</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人员伤亡、设备损坏</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p>
          <w:p>
            <w:pPr>
              <w:jc w:val="center"/>
              <w:rPr>
                <w:rFonts w:ascii="宋体" w:hAnsi="宋体"/>
                <w:color w:val="auto"/>
              </w:rPr>
            </w:pPr>
          </w:p>
          <w:p>
            <w:pPr>
              <w:jc w:val="center"/>
              <w:rPr>
                <w:rFonts w:ascii="宋体" w:hAnsi="宋体"/>
                <w:color w:val="auto"/>
              </w:rPr>
            </w:pPr>
          </w:p>
          <w:p>
            <w:pPr>
              <w:jc w:val="center"/>
              <w:rPr>
                <w:rFonts w:ascii="宋体" w:hAnsi="宋体"/>
                <w:color w:val="auto"/>
              </w:rPr>
            </w:pPr>
          </w:p>
          <w:p>
            <w:pPr>
              <w:jc w:val="center"/>
              <w:rPr>
                <w:rFonts w:ascii="宋体" w:hAnsi="宋体"/>
                <w:color w:val="auto"/>
              </w:rPr>
            </w:pPr>
            <w:r>
              <w:rPr>
                <w:rFonts w:hint="eastAsia" w:ascii="宋体" w:hAnsi="宋体"/>
                <w:color w:val="auto"/>
              </w:rPr>
              <w:t>Ⅲ</w:t>
            </w:r>
          </w:p>
          <w:p>
            <w:pPr>
              <w:jc w:val="center"/>
              <w:rPr>
                <w:rFonts w:ascii="宋体" w:hAnsi="宋体"/>
                <w:color w:val="auto"/>
              </w:rPr>
            </w:pPr>
          </w:p>
          <w:p>
            <w:pPr>
              <w:jc w:val="center"/>
              <w:rPr>
                <w:rFonts w:ascii="宋体" w:hAnsi="宋体"/>
                <w:color w:val="auto"/>
              </w:rPr>
            </w:pPr>
          </w:p>
          <w:p>
            <w:pPr>
              <w:jc w:val="center"/>
              <w:rPr>
                <w:rFonts w:ascii="宋体" w:hAnsi="宋体"/>
                <w:color w:val="auto"/>
              </w:rPr>
            </w:pPr>
          </w:p>
        </w:tc>
        <w:tc>
          <w:tcPr>
            <w:tcW w:w="3613" w:type="dxa"/>
            <w:tcBorders>
              <w:top w:val="single" w:color="000000" w:sz="4" w:space="0"/>
              <w:left w:val="nil"/>
              <w:bottom w:val="single" w:color="000000" w:sz="4" w:space="0"/>
              <w:right w:val="single" w:color="000000" w:sz="4" w:space="0"/>
            </w:tcBorders>
          </w:tcPr>
          <w:p>
            <w:pPr>
              <w:rPr>
                <w:rFonts w:ascii="宋体" w:hAnsi="宋体"/>
                <w:color w:val="auto"/>
              </w:rPr>
            </w:pPr>
            <w:r>
              <w:rPr>
                <w:rFonts w:hint="eastAsia" w:ascii="宋体" w:hAnsi="宋体"/>
                <w:color w:val="auto"/>
              </w:rPr>
              <w:t>1．设备的工程设计、专业制造厂及施工、安装、检修单位必须具有相应的资质及许可证；施工、安装、检修完毕，应做好安全、质量检查和验收交接；</w:t>
            </w:r>
          </w:p>
          <w:p>
            <w:pPr>
              <w:rPr>
                <w:rFonts w:ascii="宋体" w:hAnsi="宋体"/>
                <w:color w:val="auto"/>
              </w:rPr>
            </w:pPr>
            <w:r>
              <w:rPr>
                <w:rFonts w:hint="eastAsia" w:ascii="宋体" w:hAnsi="宋体"/>
                <w:color w:val="auto"/>
              </w:rPr>
              <w:t>2．加强现场检查维护，减缓设备或管道等腐蚀、老化程度；</w:t>
            </w:r>
          </w:p>
          <w:p>
            <w:pPr>
              <w:rPr>
                <w:rFonts w:ascii="宋体" w:hAnsi="宋体"/>
                <w:color w:val="auto"/>
              </w:rPr>
            </w:pPr>
            <w:r>
              <w:rPr>
                <w:rFonts w:hint="eastAsia" w:ascii="宋体" w:hAnsi="宋体"/>
                <w:color w:val="auto"/>
              </w:rPr>
              <w:t>3.控制原料质量；输送应采用密闭化措施；</w:t>
            </w:r>
          </w:p>
          <w:p>
            <w:pPr>
              <w:rPr>
                <w:rFonts w:ascii="宋体" w:hAnsi="宋体"/>
                <w:color w:val="auto"/>
              </w:rPr>
            </w:pPr>
            <w:r>
              <w:rPr>
                <w:rFonts w:hint="eastAsia" w:ascii="宋体" w:hAnsi="宋体"/>
                <w:color w:val="auto"/>
              </w:rPr>
              <w:t>4.严格执行安全操作规程，禁止违章作业，发现隐患及时整改；</w:t>
            </w:r>
          </w:p>
          <w:p>
            <w:pPr>
              <w:rPr>
                <w:rFonts w:ascii="宋体" w:hAnsi="宋体"/>
                <w:color w:val="auto"/>
              </w:rPr>
            </w:pPr>
            <w:r>
              <w:rPr>
                <w:rFonts w:hint="eastAsia" w:ascii="宋体" w:hAnsi="宋体"/>
                <w:color w:val="auto"/>
              </w:rPr>
              <w:t>5.仪表、控制系统，联锁、报警装置应保护控制动作灵敏、可靠。</w:t>
            </w:r>
          </w:p>
          <w:p>
            <w:pPr>
              <w:rPr>
                <w:rFonts w:ascii="宋体" w:hAnsi="宋体"/>
                <w:bCs/>
                <w:color w:val="auto"/>
              </w:rPr>
            </w:pPr>
            <w:r>
              <w:rPr>
                <w:rFonts w:ascii="宋体" w:hAnsi="宋体"/>
                <w:color w:val="auto"/>
              </w:rPr>
              <w:t>6</w:t>
            </w:r>
            <w:r>
              <w:rPr>
                <w:rFonts w:hint="eastAsia" w:ascii="宋体" w:hAnsi="宋体"/>
                <w:color w:val="auto"/>
              </w:rPr>
              <w:t>.加强安全管理，杜绝</w:t>
            </w:r>
            <w:r>
              <w:rPr>
                <w:color w:val="auto"/>
              </w:rPr>
              <w:t>“</w:t>
            </w:r>
            <w:r>
              <w:rPr>
                <w:rFonts w:hint="eastAsia" w:ascii="宋体" w:hAnsi="宋体"/>
                <w:color w:val="auto"/>
              </w:rPr>
              <w:t>三违</w:t>
            </w:r>
            <w:r>
              <w:rPr>
                <w:color w:val="auto"/>
              </w:rPr>
              <w:t>”</w:t>
            </w:r>
            <w:r>
              <w:rPr>
                <w:rFonts w:hint="eastAsia" w:ascii="宋体" w:hAnsi="宋体"/>
                <w:color w:val="auto"/>
              </w:rPr>
              <w:t>（违章作业、违章指挥、违反劳纪），严守工艺规定，防止工艺参数发生变化</w:t>
            </w:r>
          </w:p>
          <w:p>
            <w:pPr>
              <w:rPr>
                <w:rFonts w:ascii="宋体" w:hAnsi="宋体"/>
                <w:bCs/>
                <w:color w:val="auto"/>
              </w:rPr>
            </w:pPr>
            <w:r>
              <w:rPr>
                <w:rFonts w:ascii="宋体" w:hAnsi="宋体"/>
                <w:bCs/>
                <w:color w:val="auto"/>
              </w:rPr>
              <w:t>7</w:t>
            </w:r>
            <w:r>
              <w:rPr>
                <w:rFonts w:hint="eastAsia" w:ascii="宋体" w:hAnsi="宋体"/>
                <w:bCs/>
                <w:color w:val="auto"/>
              </w:rPr>
              <w:t>.按规范进行防雷、防静电设施的设计安装和检测。</w:t>
            </w:r>
          </w:p>
          <w:p>
            <w:pPr>
              <w:jc w:val="center"/>
              <w:rPr>
                <w:rFonts w:ascii="宋体" w:hAnsi="宋体"/>
                <w:color w:val="auto"/>
              </w:rPr>
            </w:pPr>
            <w:r>
              <w:rPr>
                <w:rFonts w:ascii="宋体" w:hAnsi="宋体"/>
                <w:color w:val="auto"/>
              </w:rPr>
              <w:t>8</w:t>
            </w:r>
            <w:r>
              <w:rPr>
                <w:rFonts w:hint="eastAsia" w:ascii="宋体" w:hAnsi="宋体"/>
                <w:color w:val="auto"/>
              </w:rPr>
              <w:t>.定期维护和保养；按计划停车检修；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中毒和窒息</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有毒性物料、</w:t>
            </w:r>
            <w:r>
              <w:rPr>
                <w:rFonts w:hint="eastAsia" w:ascii="宋体" w:hAnsi="宋体"/>
                <w:bCs/>
                <w:color w:val="auto"/>
              </w:rPr>
              <w:t>窒息性气体泄漏</w:t>
            </w:r>
          </w:p>
        </w:tc>
        <w:tc>
          <w:tcPr>
            <w:tcW w:w="3222" w:type="dxa"/>
            <w:tcBorders>
              <w:top w:val="single" w:color="000000" w:sz="4" w:space="0"/>
              <w:left w:val="nil"/>
              <w:bottom w:val="single" w:color="000000" w:sz="4" w:space="0"/>
              <w:right w:val="single" w:color="000000" w:sz="6" w:space="0"/>
            </w:tcBorders>
            <w:vAlign w:val="center"/>
          </w:tcPr>
          <w:p>
            <w:pPr>
              <w:rPr>
                <w:rFonts w:ascii="宋体" w:hAnsi="宋体"/>
                <w:color w:val="auto"/>
              </w:rPr>
            </w:pPr>
            <w:r>
              <w:rPr>
                <w:rFonts w:hint="eastAsia" w:ascii="宋体" w:hAnsi="宋体"/>
                <w:color w:val="auto"/>
              </w:rPr>
              <w:t>一、运行泄漏：</w:t>
            </w:r>
          </w:p>
          <w:p>
            <w:pPr>
              <w:rPr>
                <w:rFonts w:ascii="宋体" w:hAnsi="宋体"/>
                <w:color w:val="auto"/>
              </w:rPr>
            </w:pPr>
            <w:r>
              <w:rPr>
                <w:rFonts w:hint="eastAsia"/>
                <w:color w:val="auto"/>
              </w:rPr>
              <w:t>1.</w:t>
            </w:r>
            <w:r>
              <w:rPr>
                <w:rFonts w:hint="eastAsia" w:ascii="宋体" w:hAnsi="宋体"/>
                <w:color w:val="auto"/>
              </w:rPr>
              <w:t>阀门、法兰等泄漏；</w:t>
            </w:r>
          </w:p>
          <w:p>
            <w:pPr>
              <w:rPr>
                <w:rFonts w:ascii="宋体" w:hAnsi="宋体"/>
                <w:color w:val="auto"/>
              </w:rPr>
            </w:pPr>
            <w:r>
              <w:rPr>
                <w:rFonts w:hint="eastAsia"/>
                <w:color w:val="auto"/>
              </w:rPr>
              <w:t>2.</w:t>
            </w:r>
            <w:r>
              <w:rPr>
                <w:rFonts w:hint="eastAsia" w:ascii="宋体" w:hAnsi="宋体"/>
                <w:color w:val="auto"/>
              </w:rPr>
              <w:t>泵破裂或泵、转动设备等动密封处泄漏；</w:t>
            </w:r>
          </w:p>
          <w:p>
            <w:pPr>
              <w:rPr>
                <w:rFonts w:ascii="宋体" w:hAnsi="宋体"/>
                <w:color w:val="auto"/>
              </w:rPr>
            </w:pPr>
            <w:r>
              <w:rPr>
                <w:rFonts w:hint="eastAsia"/>
                <w:color w:val="auto"/>
              </w:rPr>
              <w:t>3.</w:t>
            </w:r>
            <w:r>
              <w:rPr>
                <w:rFonts w:hint="eastAsia" w:ascii="宋体" w:hAnsi="宋体"/>
                <w:color w:val="auto"/>
              </w:rPr>
              <w:t>阀门、泵、管道、流量计、仪表等因质量或安装不当泄漏；</w:t>
            </w:r>
          </w:p>
          <w:p>
            <w:pPr>
              <w:rPr>
                <w:rFonts w:ascii="宋体" w:hAnsi="宋体"/>
                <w:color w:val="auto"/>
              </w:rPr>
            </w:pPr>
            <w:r>
              <w:rPr>
                <w:rFonts w:hint="eastAsia" w:ascii="宋体" w:hAnsi="宋体"/>
                <w:color w:val="auto"/>
              </w:rPr>
              <w:t>4.设备或管道遭受腐蚀强度下降，发生破裂泄漏</w:t>
            </w:r>
          </w:p>
          <w:p>
            <w:pPr>
              <w:rPr>
                <w:rFonts w:ascii="宋体" w:hAnsi="宋体"/>
                <w:color w:val="auto"/>
              </w:rPr>
            </w:pPr>
            <w:r>
              <w:rPr>
                <w:rFonts w:hint="eastAsia" w:ascii="宋体" w:hAnsi="宋体"/>
                <w:color w:val="auto"/>
              </w:rPr>
              <w:t>5.系统超压，有毒物料等泄露。</w:t>
            </w:r>
          </w:p>
          <w:p>
            <w:pPr>
              <w:rPr>
                <w:rFonts w:ascii="宋体" w:hAnsi="宋体"/>
                <w:color w:val="auto"/>
              </w:rPr>
            </w:pPr>
            <w:r>
              <w:rPr>
                <w:rFonts w:hint="eastAsia" w:ascii="宋体" w:hAnsi="宋体"/>
                <w:color w:val="auto"/>
              </w:rPr>
              <w:t>二.作业场所通风不良；</w:t>
            </w:r>
          </w:p>
          <w:p>
            <w:pPr>
              <w:rPr>
                <w:rFonts w:ascii="宋体" w:hAnsi="宋体"/>
                <w:color w:val="auto"/>
              </w:rPr>
            </w:pPr>
            <w:r>
              <w:rPr>
                <w:rFonts w:hint="eastAsia" w:ascii="宋体" w:hAnsi="宋体"/>
                <w:color w:val="auto"/>
              </w:rPr>
              <w:t>三.未设置事故通风设施</w:t>
            </w:r>
          </w:p>
          <w:p>
            <w:pPr>
              <w:rPr>
                <w:rFonts w:ascii="宋体" w:hAnsi="宋体"/>
                <w:color w:val="auto"/>
              </w:rPr>
            </w:pPr>
            <w:r>
              <w:rPr>
                <w:rFonts w:hint="eastAsia" w:ascii="宋体" w:hAnsi="宋体"/>
                <w:color w:val="auto"/>
              </w:rPr>
              <w:t>四．报警器失灵。</w:t>
            </w:r>
          </w:p>
          <w:p>
            <w:pPr>
              <w:rPr>
                <w:rFonts w:ascii="宋体" w:hAnsi="宋体"/>
                <w:color w:val="auto"/>
              </w:rPr>
            </w:pPr>
            <w:r>
              <w:rPr>
                <w:rFonts w:hint="eastAsia" w:ascii="宋体" w:hAnsi="宋体"/>
                <w:color w:val="auto"/>
              </w:rPr>
              <w:t>五．维修、抢修时，罐、管、阀等中的有毒有害物料未彻底清洗干净，未采取有效的隔绝措施；</w:t>
            </w:r>
          </w:p>
          <w:p>
            <w:pPr>
              <w:rPr>
                <w:rFonts w:ascii="宋体" w:hAnsi="宋体"/>
                <w:color w:val="auto"/>
              </w:rPr>
            </w:pPr>
            <w:r>
              <w:rPr>
                <w:rFonts w:hint="eastAsia" w:ascii="宋体" w:hAnsi="宋体"/>
                <w:color w:val="auto"/>
              </w:rPr>
              <w:t>六．违章操作</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人员伤亡</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Ⅲ</w:t>
            </w:r>
          </w:p>
          <w:p>
            <w:pPr>
              <w:jc w:val="center"/>
              <w:rPr>
                <w:rFonts w:ascii="宋体" w:hAnsi="宋体"/>
                <w:color w:val="auto"/>
              </w:rPr>
            </w:pPr>
          </w:p>
        </w:tc>
        <w:tc>
          <w:tcPr>
            <w:tcW w:w="3613" w:type="dxa"/>
            <w:tcBorders>
              <w:top w:val="single" w:color="000000" w:sz="4" w:space="0"/>
              <w:left w:val="nil"/>
              <w:bottom w:val="single" w:color="000000" w:sz="4" w:space="0"/>
              <w:right w:val="single" w:color="000000" w:sz="4" w:space="0"/>
            </w:tcBorders>
            <w:vAlign w:val="center"/>
          </w:tcPr>
          <w:p>
            <w:pPr>
              <w:rPr>
                <w:rFonts w:ascii="宋体" w:hAnsi="宋体"/>
                <w:bCs/>
                <w:color w:val="auto"/>
              </w:rPr>
            </w:pPr>
            <w:r>
              <w:rPr>
                <w:rFonts w:hint="eastAsia" w:ascii="宋体" w:hAnsi="宋体"/>
                <w:bCs/>
                <w:color w:val="auto"/>
              </w:rPr>
              <w:t>1．应对管线、法兰、阀门、附件等经常进行检查，防止气体泄漏。</w:t>
            </w:r>
          </w:p>
          <w:p>
            <w:pPr>
              <w:rPr>
                <w:rFonts w:ascii="宋体" w:hAnsi="宋体"/>
                <w:color w:val="auto"/>
              </w:rPr>
            </w:pPr>
            <w:r>
              <w:rPr>
                <w:rFonts w:hint="eastAsia" w:ascii="宋体" w:hAnsi="宋体"/>
                <w:color w:val="auto"/>
              </w:rPr>
              <w:t>2．加强作业场所的通风；</w:t>
            </w:r>
          </w:p>
          <w:p>
            <w:pPr>
              <w:rPr>
                <w:rFonts w:ascii="宋体" w:hAnsi="宋体"/>
                <w:color w:val="auto"/>
              </w:rPr>
            </w:pPr>
            <w:r>
              <w:rPr>
                <w:rFonts w:hint="eastAsia" w:ascii="宋体" w:hAnsi="宋体"/>
                <w:color w:val="auto"/>
              </w:rPr>
              <w:t>3．保证报警装置好用。</w:t>
            </w:r>
          </w:p>
          <w:p>
            <w:pPr>
              <w:rPr>
                <w:rFonts w:ascii="宋体" w:hAnsi="宋体"/>
                <w:color w:val="auto"/>
              </w:rPr>
            </w:pPr>
            <w:r>
              <w:rPr>
                <w:rFonts w:hint="eastAsia" w:ascii="宋体" w:hAnsi="宋体"/>
                <w:color w:val="auto"/>
              </w:rPr>
              <w:t>4.可能存在大量泄漏场所，设置事故通风系统；紧急排放时应排放至安全场所</w:t>
            </w:r>
          </w:p>
          <w:p>
            <w:pPr>
              <w:rPr>
                <w:rFonts w:ascii="宋体" w:hAnsi="宋体"/>
                <w:bCs/>
                <w:color w:val="auto"/>
              </w:rPr>
            </w:pPr>
            <w:r>
              <w:rPr>
                <w:rFonts w:hint="eastAsia" w:ascii="宋体" w:hAnsi="宋体"/>
                <w:color w:val="auto"/>
              </w:rPr>
              <w:t>5.</w:t>
            </w:r>
            <w:r>
              <w:rPr>
                <w:rFonts w:hint="eastAsia" w:ascii="宋体" w:hAnsi="宋体"/>
                <w:bCs/>
                <w:color w:val="auto"/>
              </w:rPr>
              <w:t xml:space="preserve"> 未经置换或置换不完全不准进入现场。</w:t>
            </w:r>
          </w:p>
          <w:p>
            <w:pPr>
              <w:rPr>
                <w:rFonts w:ascii="宋体" w:hAnsi="宋体"/>
                <w:color w:val="auto"/>
              </w:rPr>
            </w:pPr>
            <w:r>
              <w:rPr>
                <w:rFonts w:hint="eastAsia" w:ascii="宋体" w:hAnsi="宋体"/>
                <w:bCs/>
                <w:color w:val="auto"/>
              </w:rPr>
              <w:t>6.</w:t>
            </w:r>
            <w:r>
              <w:rPr>
                <w:rFonts w:hint="eastAsia" w:ascii="宋体" w:hAnsi="宋体"/>
                <w:color w:val="auto"/>
              </w:rPr>
              <w:t>配备相应的防护器材；</w:t>
            </w:r>
          </w:p>
          <w:p>
            <w:pPr>
              <w:rPr>
                <w:rFonts w:ascii="宋体" w:hAnsi="宋体"/>
                <w:color w:val="auto"/>
              </w:rPr>
            </w:pPr>
            <w:r>
              <w:rPr>
                <w:rFonts w:hint="eastAsia" w:ascii="宋体" w:hAnsi="宋体"/>
                <w:color w:val="auto"/>
              </w:rPr>
              <w:t>7.定期检修、维护保养，保持设备完好；检修时，应与其他设备或管道隔断，彻底清洗干净，并检测有毒有害物质浓度、含氧量（</w:t>
            </w:r>
            <w:r>
              <w:rPr>
                <w:color w:val="auto"/>
              </w:rPr>
              <w:t>19.5</w:t>
            </w:r>
            <w:r>
              <w:rPr>
                <w:rFonts w:hint="eastAsia" w:ascii="宋体" w:hAnsi="宋体"/>
                <w:color w:val="auto"/>
              </w:rPr>
              <w:t>～</w:t>
            </w:r>
            <w:r>
              <w:rPr>
                <w:color w:val="auto"/>
              </w:rPr>
              <w:t>23.5%</w:t>
            </w:r>
            <w:r>
              <w:rPr>
                <w:rFonts w:hint="eastAsia" w:ascii="宋体" w:hAnsi="宋体"/>
                <w:color w:val="auto"/>
              </w:rPr>
              <w:t>），合格后方可作业；作业时，穿戴劳动防护用品，有人监护并有抢救后备措施</w:t>
            </w:r>
          </w:p>
          <w:p>
            <w:pPr>
              <w:rPr>
                <w:rFonts w:ascii="宋体" w:hAnsi="宋体"/>
                <w:bCs/>
                <w:color w:val="auto"/>
              </w:rPr>
            </w:pPr>
            <w:r>
              <w:rPr>
                <w:rFonts w:hint="eastAsia"/>
                <w:color w:val="auto"/>
              </w:rPr>
              <w:t>8.</w:t>
            </w:r>
            <w:r>
              <w:rPr>
                <w:rFonts w:hAnsi="宋体"/>
                <w:color w:val="auto"/>
              </w:rPr>
              <w:t xml:space="preserve"> </w:t>
            </w:r>
            <w:r>
              <w:rPr>
                <w:rFonts w:hint="eastAsia" w:ascii="宋体" w:hAnsi="宋体"/>
                <w:color w:val="auto"/>
              </w:rPr>
              <w:t>要有应急预案，抢救时勿忘正确使用防毒面具及其它防护用品。</w:t>
            </w:r>
          </w:p>
          <w:p>
            <w:pPr>
              <w:rPr>
                <w:rFonts w:ascii="宋体" w:hAnsi="宋体"/>
                <w:bCs/>
                <w:color w:val="auto"/>
              </w:rPr>
            </w:pPr>
            <w:r>
              <w:rPr>
                <w:rFonts w:hint="eastAsia"/>
                <w:color w:val="auto"/>
              </w:rPr>
              <w:t>9.</w:t>
            </w:r>
            <w:r>
              <w:rPr>
                <w:rFonts w:hAnsi="宋体"/>
                <w:color w:val="auto"/>
              </w:rPr>
              <w:t xml:space="preserve"> </w:t>
            </w:r>
            <w:r>
              <w:rPr>
                <w:rFonts w:hint="eastAsia" w:ascii="宋体" w:hAnsi="宋体"/>
                <w:color w:val="auto"/>
              </w:rPr>
              <w:t>设立危险、有毒、窒息性标志；设立急救点，配备相应的防护用品、急救药品、器材；</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触电</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接触带电体</w:t>
            </w:r>
          </w:p>
        </w:tc>
        <w:tc>
          <w:tcPr>
            <w:tcW w:w="3222" w:type="dxa"/>
            <w:tcBorders>
              <w:top w:val="single" w:color="000000" w:sz="4" w:space="0"/>
              <w:left w:val="nil"/>
              <w:bottom w:val="single" w:color="000000" w:sz="4" w:space="0"/>
              <w:right w:val="single" w:color="000000" w:sz="6" w:space="0"/>
            </w:tcBorders>
            <w:vAlign w:val="center"/>
          </w:tcPr>
          <w:p>
            <w:pPr>
              <w:spacing w:line="360" w:lineRule="exact"/>
              <w:rPr>
                <w:rFonts w:ascii="Calibri" w:hAnsi="Calibri"/>
                <w:color w:val="auto"/>
              </w:rPr>
            </w:pPr>
            <w:r>
              <w:rPr>
                <w:rFonts w:hint="eastAsia"/>
                <w:color w:val="auto"/>
              </w:rPr>
              <w:t>1.</w:t>
            </w:r>
            <w:r>
              <w:rPr>
                <w:rFonts w:hint="eastAsia" w:ascii="宋体" w:hAnsi="宋体"/>
                <w:color w:val="auto"/>
              </w:rPr>
              <w:t>未穿戴合格的劳动防护用品；</w:t>
            </w:r>
          </w:p>
          <w:p>
            <w:pPr>
              <w:spacing w:line="360" w:lineRule="exact"/>
              <w:rPr>
                <w:color w:val="auto"/>
              </w:rPr>
            </w:pPr>
            <w:r>
              <w:rPr>
                <w:color w:val="auto"/>
              </w:rPr>
              <w:t>2</w:t>
            </w:r>
            <w:r>
              <w:rPr>
                <w:rFonts w:hint="eastAsia"/>
                <w:color w:val="auto"/>
              </w:rPr>
              <w:t>.</w:t>
            </w:r>
            <w:r>
              <w:rPr>
                <w:rFonts w:hint="eastAsia" w:ascii="宋体" w:hAnsi="宋体"/>
                <w:color w:val="auto"/>
              </w:rPr>
              <w:t>身体不慎接触带电导体；</w:t>
            </w:r>
          </w:p>
          <w:p>
            <w:pPr>
              <w:rPr>
                <w:rFonts w:ascii="宋体" w:hAnsi="宋体"/>
                <w:color w:val="auto"/>
              </w:rPr>
            </w:pPr>
            <w:r>
              <w:rPr>
                <w:color w:val="auto"/>
              </w:rPr>
              <w:t>3</w:t>
            </w:r>
            <w:r>
              <w:rPr>
                <w:rFonts w:hint="eastAsia"/>
                <w:color w:val="auto"/>
              </w:rPr>
              <w:t>.</w:t>
            </w:r>
            <w:r>
              <w:rPr>
                <w:rFonts w:hint="eastAsia" w:ascii="宋体" w:hAnsi="宋体"/>
                <w:color w:val="auto"/>
              </w:rPr>
              <w:t>监护措施不力或没有监护。</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人员伤亡</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Ⅲ</w:t>
            </w:r>
          </w:p>
        </w:tc>
        <w:tc>
          <w:tcPr>
            <w:tcW w:w="3613" w:type="dxa"/>
            <w:tcBorders>
              <w:top w:val="single" w:color="000000" w:sz="4" w:space="0"/>
              <w:left w:val="nil"/>
              <w:bottom w:val="single" w:color="000000" w:sz="4" w:space="0"/>
              <w:right w:val="single" w:color="000000" w:sz="4" w:space="0"/>
            </w:tcBorders>
          </w:tcPr>
          <w:p>
            <w:pPr>
              <w:rPr>
                <w:rFonts w:ascii="宋体" w:hAnsi="宋体"/>
                <w:color w:val="auto"/>
              </w:rPr>
            </w:pPr>
            <w:r>
              <w:rPr>
                <w:rFonts w:hint="eastAsia" w:ascii="宋体" w:hAnsi="宋体"/>
                <w:color w:val="auto"/>
              </w:rPr>
              <w:t>1.带电作业时要按安全工作要求并填写工作票，并制订可靠的安全防护措施；</w:t>
            </w:r>
          </w:p>
          <w:p>
            <w:pPr>
              <w:rPr>
                <w:rFonts w:ascii="宋体" w:hAnsi="宋体"/>
                <w:color w:val="auto"/>
              </w:rPr>
            </w:pPr>
            <w:r>
              <w:rPr>
                <w:rFonts w:hint="eastAsia" w:ascii="宋体" w:hAnsi="宋体"/>
                <w:color w:val="auto"/>
              </w:rPr>
              <w:t>2.做好监护工作；</w:t>
            </w:r>
          </w:p>
          <w:p>
            <w:pPr>
              <w:rPr>
                <w:rFonts w:ascii="宋体" w:hAnsi="宋体"/>
                <w:color w:val="auto"/>
              </w:rPr>
            </w:pPr>
            <w:r>
              <w:rPr>
                <w:rFonts w:hint="eastAsia" w:ascii="宋体" w:hAnsi="宋体"/>
                <w:color w:val="auto"/>
              </w:rPr>
              <w:t>3.操作人员要穿戴好劳动防护用品，使用安全防护用具；</w:t>
            </w:r>
          </w:p>
          <w:p>
            <w:pPr>
              <w:rPr>
                <w:rFonts w:ascii="宋体" w:hAnsi="宋体"/>
                <w:color w:val="auto"/>
              </w:rPr>
            </w:pPr>
            <w:r>
              <w:rPr>
                <w:rFonts w:hint="eastAsia" w:ascii="宋体" w:hAnsi="宋体"/>
                <w:color w:val="auto"/>
              </w:rPr>
              <w:t>4.操作时严格遵守安全操作。</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灼烫</w:t>
            </w:r>
          </w:p>
        </w:tc>
        <w:tc>
          <w:tcPr>
            <w:tcW w:w="719" w:type="dxa"/>
            <w:tcBorders>
              <w:top w:val="single" w:color="000000" w:sz="4" w:space="0"/>
              <w:left w:val="nil"/>
              <w:bottom w:val="single" w:color="000000" w:sz="4" w:space="0"/>
              <w:right w:val="single" w:color="000000" w:sz="6" w:space="0"/>
            </w:tcBorders>
          </w:tcPr>
          <w:p>
            <w:pPr>
              <w:jc w:val="center"/>
              <w:rPr>
                <w:rFonts w:ascii="宋体" w:hAnsi="宋体"/>
                <w:color w:val="auto"/>
              </w:rPr>
            </w:pPr>
            <w:r>
              <w:rPr>
                <w:rFonts w:hint="eastAsia" w:ascii="宋体" w:hAnsi="宋体"/>
                <w:color w:val="auto"/>
              </w:rPr>
              <w:t>腐蚀性物料与人体直接接触</w:t>
            </w:r>
          </w:p>
        </w:tc>
        <w:tc>
          <w:tcPr>
            <w:tcW w:w="3222" w:type="dxa"/>
            <w:tcBorders>
              <w:top w:val="single" w:color="000000" w:sz="4" w:space="0"/>
              <w:left w:val="nil"/>
              <w:bottom w:val="single" w:color="000000" w:sz="4" w:space="0"/>
              <w:right w:val="single" w:color="000000" w:sz="6" w:space="0"/>
            </w:tcBorders>
            <w:vAlign w:val="center"/>
          </w:tcPr>
          <w:p>
            <w:pPr>
              <w:rPr>
                <w:rFonts w:ascii="宋体" w:hAnsi="宋体"/>
                <w:color w:val="auto"/>
              </w:rPr>
            </w:pPr>
            <w:r>
              <w:rPr>
                <w:rFonts w:hint="eastAsia" w:ascii="宋体" w:hAnsi="宋体"/>
                <w:color w:val="auto"/>
              </w:rPr>
              <w:t>1.腐蚀性物料等故障喷出；</w:t>
            </w:r>
          </w:p>
          <w:p>
            <w:pPr>
              <w:rPr>
                <w:rFonts w:ascii="宋体" w:hAnsi="宋体"/>
                <w:color w:val="auto"/>
              </w:rPr>
            </w:pPr>
            <w:r>
              <w:rPr>
                <w:rFonts w:ascii="宋体" w:hAnsi="宋体"/>
                <w:color w:val="auto"/>
              </w:rPr>
              <w:t>2</w:t>
            </w:r>
            <w:r>
              <w:rPr>
                <w:rFonts w:hint="eastAsia" w:ascii="宋体" w:hAnsi="宋体"/>
                <w:color w:val="auto"/>
              </w:rPr>
              <w:t>. 液位等控制系统失效。</w:t>
            </w:r>
          </w:p>
          <w:p>
            <w:pPr>
              <w:rPr>
                <w:rFonts w:ascii="宋体" w:hAnsi="宋体"/>
                <w:color w:val="auto"/>
              </w:rPr>
            </w:pPr>
            <w:r>
              <w:rPr>
                <w:rFonts w:ascii="宋体" w:hAnsi="宋体"/>
                <w:color w:val="auto"/>
              </w:rPr>
              <w:t>3</w:t>
            </w:r>
            <w:r>
              <w:rPr>
                <w:rFonts w:hint="eastAsia" w:ascii="宋体" w:hAnsi="宋体"/>
                <w:color w:val="auto"/>
              </w:rPr>
              <w:t>.装置、管道密封件、垫片失效引起泄露。</w:t>
            </w:r>
          </w:p>
          <w:p>
            <w:pPr>
              <w:rPr>
                <w:rFonts w:ascii="宋体" w:hAnsi="宋体"/>
                <w:color w:val="auto"/>
              </w:rPr>
            </w:pPr>
            <w:r>
              <w:rPr>
                <w:rFonts w:ascii="宋体" w:hAnsi="宋体"/>
                <w:color w:val="auto"/>
              </w:rPr>
              <w:t>4</w:t>
            </w:r>
            <w:r>
              <w:rPr>
                <w:rFonts w:hint="eastAsia" w:ascii="宋体" w:hAnsi="宋体"/>
                <w:color w:val="auto"/>
              </w:rPr>
              <w:t>.清洗、检修管道等设备时泄漏，未使用防护用品；</w:t>
            </w:r>
          </w:p>
          <w:p>
            <w:pPr>
              <w:rPr>
                <w:rFonts w:ascii="宋体" w:hAnsi="宋体"/>
                <w:color w:val="auto"/>
              </w:rPr>
            </w:pPr>
            <w:r>
              <w:rPr>
                <w:rFonts w:ascii="宋体" w:hAnsi="宋体"/>
                <w:color w:val="auto"/>
              </w:rPr>
              <w:t>5</w:t>
            </w:r>
            <w:r>
              <w:rPr>
                <w:rFonts w:hint="eastAsia" w:ascii="宋体" w:hAnsi="宋体"/>
                <w:color w:val="auto"/>
              </w:rPr>
              <w:t>.没有按照要求穿戴劳动防护用品；</w:t>
            </w:r>
          </w:p>
          <w:p>
            <w:pPr>
              <w:spacing w:line="360" w:lineRule="exact"/>
              <w:rPr>
                <w:color w:val="auto"/>
              </w:rPr>
            </w:pPr>
            <w:r>
              <w:rPr>
                <w:rFonts w:ascii="宋体" w:hAnsi="宋体"/>
                <w:color w:val="auto"/>
              </w:rPr>
              <w:t>6</w:t>
            </w:r>
            <w:r>
              <w:rPr>
                <w:rFonts w:hint="eastAsia" w:ascii="宋体" w:hAnsi="宋体"/>
                <w:color w:val="auto"/>
              </w:rPr>
              <w:t>.违规违章操作；</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人员灼伤、甚至死亡</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Ⅱ</w:t>
            </w:r>
          </w:p>
        </w:tc>
        <w:tc>
          <w:tcPr>
            <w:tcW w:w="3613" w:type="dxa"/>
            <w:tcBorders>
              <w:top w:val="single" w:color="000000" w:sz="4" w:space="0"/>
              <w:left w:val="nil"/>
              <w:bottom w:val="single" w:color="000000" w:sz="4" w:space="0"/>
              <w:right w:val="single" w:color="000000" w:sz="4" w:space="0"/>
            </w:tcBorders>
            <w:vAlign w:val="center"/>
          </w:tcPr>
          <w:p>
            <w:pPr>
              <w:rPr>
                <w:rFonts w:ascii="宋体" w:hAnsi="宋体"/>
                <w:color w:val="auto"/>
              </w:rPr>
            </w:pPr>
            <w:r>
              <w:rPr>
                <w:rFonts w:hint="eastAsia" w:ascii="宋体" w:hAnsi="宋体"/>
                <w:color w:val="auto"/>
              </w:rPr>
              <w:t>1.处理腐蚀性物料泄漏故障时，建议工作人员佩戴防护用品；</w:t>
            </w:r>
          </w:p>
          <w:p>
            <w:pPr>
              <w:rPr>
                <w:rFonts w:ascii="宋体" w:hAnsi="宋体"/>
                <w:color w:val="auto"/>
              </w:rPr>
            </w:pPr>
            <w:r>
              <w:rPr>
                <w:rFonts w:hint="eastAsia" w:ascii="宋体" w:hAnsi="宋体"/>
                <w:color w:val="auto"/>
              </w:rPr>
              <w:t>2.严格控制设备质量，加强设备维护保养；</w:t>
            </w:r>
          </w:p>
          <w:p>
            <w:pPr>
              <w:rPr>
                <w:rFonts w:ascii="宋体" w:hAnsi="宋体"/>
                <w:color w:val="auto"/>
              </w:rPr>
            </w:pPr>
            <w:r>
              <w:rPr>
                <w:rFonts w:hint="eastAsia" w:ascii="宋体" w:hAnsi="宋体"/>
                <w:color w:val="auto"/>
              </w:rPr>
              <w:t>3.坚持巡回检查，发现问题及时处理；</w:t>
            </w:r>
          </w:p>
          <w:p>
            <w:pPr>
              <w:rPr>
                <w:rFonts w:ascii="宋体" w:hAnsi="宋体"/>
                <w:color w:val="auto"/>
              </w:rPr>
            </w:pPr>
            <w:r>
              <w:rPr>
                <w:rFonts w:hint="eastAsia" w:ascii="宋体" w:hAnsi="宋体"/>
                <w:color w:val="auto"/>
              </w:rPr>
              <w:t>4.检修存在物料设备、管线时，应将设备、管线内物料排空完，应关闭阀门，并对管线加堵盲板；</w:t>
            </w:r>
          </w:p>
          <w:p>
            <w:pPr>
              <w:autoSpaceDE w:val="0"/>
              <w:autoSpaceDN w:val="0"/>
              <w:adjustRightInd w:val="0"/>
              <w:rPr>
                <w:rFonts w:ascii="宋体" w:hAnsi="宋体"/>
                <w:color w:val="auto"/>
              </w:rPr>
            </w:pPr>
            <w:r>
              <w:rPr>
                <w:rFonts w:ascii="宋体" w:hAnsi="宋体"/>
                <w:color w:val="auto"/>
              </w:rPr>
              <w:t>5</w:t>
            </w:r>
            <w:r>
              <w:rPr>
                <w:rFonts w:hint="eastAsia" w:ascii="宋体" w:hAnsi="宋体"/>
                <w:color w:val="auto"/>
              </w:rPr>
              <w:t>.配置淋洗器、洗眼器等；</w:t>
            </w:r>
          </w:p>
          <w:p>
            <w:pPr>
              <w:autoSpaceDE w:val="0"/>
              <w:autoSpaceDN w:val="0"/>
              <w:adjustRightInd w:val="0"/>
              <w:rPr>
                <w:rFonts w:ascii="宋体" w:hAnsi="宋体"/>
                <w:color w:val="auto"/>
              </w:rPr>
            </w:pPr>
            <w:r>
              <w:rPr>
                <w:rFonts w:ascii="宋体" w:hAnsi="宋体"/>
                <w:color w:val="auto"/>
              </w:rPr>
              <w:t>6</w:t>
            </w:r>
            <w:r>
              <w:rPr>
                <w:rFonts w:hint="eastAsia" w:ascii="宋体" w:hAnsi="宋体"/>
                <w:color w:val="auto"/>
              </w:rPr>
              <w:t>.配备相应的防护用品和急救用品；</w:t>
            </w:r>
          </w:p>
          <w:p>
            <w:pPr>
              <w:rPr>
                <w:rFonts w:ascii="宋体" w:hAnsi="宋体"/>
                <w:color w:val="auto"/>
              </w:rPr>
            </w:pPr>
            <w:r>
              <w:rPr>
                <w:rFonts w:ascii="宋体" w:hAnsi="宋体"/>
                <w:color w:val="auto"/>
              </w:rPr>
              <w:t>7</w:t>
            </w:r>
            <w:r>
              <w:rPr>
                <w:rFonts w:hint="eastAsia" w:ascii="宋体" w:hAnsi="宋体"/>
                <w:color w:val="auto"/>
              </w:rPr>
              <w:t>.设置危险、灼烫性标志。</w:t>
            </w:r>
          </w:p>
          <w:p>
            <w:pPr>
              <w:rPr>
                <w:rFonts w:ascii="宋体" w:hAnsi="宋体"/>
                <w:color w:val="auto"/>
              </w:rPr>
            </w:pPr>
            <w:r>
              <w:rPr>
                <w:rFonts w:ascii="宋体" w:hAnsi="宋体"/>
                <w:color w:val="auto"/>
              </w:rPr>
              <w:t>8</w:t>
            </w:r>
            <w:r>
              <w:rPr>
                <w:rFonts w:hint="eastAsia" w:ascii="宋体" w:hAnsi="宋体"/>
                <w:color w:val="auto"/>
              </w:rPr>
              <w:t>. 按操作规程进行；</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机械伤害</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与动设备直接接触</w:t>
            </w:r>
          </w:p>
        </w:tc>
        <w:tc>
          <w:tcPr>
            <w:tcW w:w="3222" w:type="dxa"/>
            <w:tcBorders>
              <w:top w:val="single" w:color="000000" w:sz="4" w:space="0"/>
              <w:left w:val="nil"/>
              <w:bottom w:val="single" w:color="000000" w:sz="4" w:space="0"/>
              <w:right w:val="single" w:color="000000" w:sz="6" w:space="0"/>
            </w:tcBorders>
            <w:vAlign w:val="center"/>
          </w:tcPr>
          <w:p>
            <w:pPr>
              <w:spacing w:line="360" w:lineRule="exact"/>
              <w:rPr>
                <w:color w:val="auto"/>
              </w:rPr>
            </w:pPr>
            <w:r>
              <w:rPr>
                <w:rFonts w:hint="eastAsia" w:ascii="宋体" w:hAnsi="宋体"/>
                <w:color w:val="auto"/>
              </w:rPr>
              <w:t>1.机械设备缺乏安全防护装置，本身的结构、强度等不合理；2.运行部件飞出；旋转、往复、滑动物撞击人体；3.安装维修不当，使设备的安全性能不佳；4.工作场所环境不良，如空间狭窄，设备布局不合理等；5.违反操作规程；7.运行状态时打扫卫生；8.设备有故障9.机械设备安全防护装置缺乏或损坏、被拆除等； 10.操作人员疏忽大意，身体进入机械危险部位；11.安全管理上存在不足。</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人员损伤</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Ⅱ</w:t>
            </w:r>
          </w:p>
        </w:tc>
        <w:tc>
          <w:tcPr>
            <w:tcW w:w="3613" w:type="dxa"/>
            <w:tcBorders>
              <w:top w:val="single" w:color="000000" w:sz="4" w:space="0"/>
              <w:left w:val="nil"/>
              <w:bottom w:val="single" w:color="000000" w:sz="4" w:space="0"/>
              <w:right w:val="single" w:color="000000" w:sz="4" w:space="0"/>
            </w:tcBorders>
          </w:tcPr>
          <w:p>
            <w:pPr>
              <w:rPr>
                <w:rFonts w:ascii="宋体" w:hAnsi="宋体"/>
                <w:color w:val="auto"/>
              </w:rPr>
            </w:pPr>
            <w:r>
              <w:rPr>
                <w:rFonts w:hint="eastAsia" w:ascii="宋体" w:hAnsi="宋体"/>
                <w:color w:val="auto"/>
              </w:rPr>
              <w:t>1.加强安全教育，增强职工安全意识；</w:t>
            </w:r>
          </w:p>
          <w:p>
            <w:pPr>
              <w:rPr>
                <w:rFonts w:ascii="宋体" w:hAnsi="宋体"/>
                <w:color w:val="auto"/>
              </w:rPr>
            </w:pPr>
            <w:r>
              <w:rPr>
                <w:rFonts w:hint="eastAsia" w:ascii="宋体" w:hAnsi="宋体"/>
                <w:color w:val="auto"/>
              </w:rPr>
              <w:t>2.严格遵守安全操作规程，严禁违章操作，在机械运行中禁止接触转动部分；</w:t>
            </w:r>
          </w:p>
          <w:p>
            <w:pPr>
              <w:rPr>
                <w:rFonts w:ascii="宋体" w:hAnsi="宋体"/>
                <w:color w:val="auto"/>
              </w:rPr>
            </w:pPr>
            <w:r>
              <w:rPr>
                <w:rFonts w:hint="eastAsia" w:ascii="宋体" w:hAnsi="宋体"/>
                <w:color w:val="auto"/>
              </w:rPr>
              <w:t>3.机械转动部分的安全防护装置要保持完好；</w:t>
            </w:r>
          </w:p>
          <w:p>
            <w:pPr>
              <w:rPr>
                <w:rFonts w:ascii="宋体" w:hAnsi="宋体"/>
                <w:color w:val="auto"/>
              </w:rPr>
            </w:pPr>
            <w:r>
              <w:rPr>
                <w:rFonts w:hint="eastAsia" w:ascii="宋体" w:hAnsi="宋体"/>
                <w:color w:val="auto"/>
              </w:rPr>
              <w:t>4.经常进行设备安全防护装置的检修和维护；</w:t>
            </w:r>
          </w:p>
          <w:p>
            <w:pPr>
              <w:rPr>
                <w:rFonts w:ascii="宋体" w:hAnsi="宋体"/>
                <w:color w:val="auto"/>
              </w:rPr>
            </w:pPr>
            <w:r>
              <w:rPr>
                <w:rFonts w:hint="eastAsia" w:ascii="宋体" w:hAnsi="宋体"/>
                <w:color w:val="auto"/>
              </w:rPr>
              <w:t>5.加强工作现场的安全管理。</w:t>
            </w:r>
          </w:p>
        </w:tc>
      </w:tr>
    </w:tbl>
    <w:p>
      <w:pPr>
        <w:ind w:firstLine="560" w:firstLineChars="200"/>
        <w:rPr>
          <w:rFonts w:ascii="宋体" w:hAnsi="宋体"/>
          <w:color w:val="auto"/>
          <w:sz w:val="28"/>
          <w:szCs w:val="28"/>
        </w:rPr>
      </w:pPr>
      <w:r>
        <w:rPr>
          <w:rFonts w:hint="eastAsia" w:ascii="宋体" w:hAnsi="宋体"/>
          <w:color w:val="auto"/>
          <w:sz w:val="28"/>
          <w:szCs w:val="28"/>
        </w:rPr>
        <w:t>本节评价小结：</w:t>
      </w:r>
    </w:p>
    <w:p>
      <w:pPr>
        <w:ind w:firstLine="560" w:firstLineChars="200"/>
        <w:rPr>
          <w:rFonts w:ascii="宋体" w:hAnsi="宋体"/>
          <w:color w:val="auto"/>
          <w:sz w:val="28"/>
          <w:szCs w:val="28"/>
        </w:rPr>
      </w:pPr>
      <w:r>
        <w:rPr>
          <w:rFonts w:hint="eastAsia" w:ascii="宋体" w:hAnsi="宋体"/>
          <w:color w:val="auto"/>
          <w:sz w:val="28"/>
          <w:szCs w:val="28"/>
        </w:rPr>
        <w:t>由设备及工艺等特点决定该项目生产装置具有一定的火灾爆炸、中毒窒息、灼烫、触电、机械伤害等危险特性，通过预先危险性分析，火灾爆炸、中毒窒息、触电危险程度为Ⅲ级（危险的）；灼烫、机械伤害危险程度为Ⅱ级；Ⅲ级是危险的，会造成人员伤亡和系统损坏，要立即采取防范对策措施；Ⅱ级处于事故的边缘状态，暂时还不会造成人员伤亡、系统损坏降低系统性能，但应予排除或采取控制措施。</w:t>
      </w:r>
    </w:p>
    <w:p>
      <w:pPr>
        <w:keepNext/>
        <w:keepLines/>
        <w:spacing w:line="600" w:lineRule="exact"/>
        <w:jc w:val="left"/>
        <w:outlineLvl w:val="2"/>
        <w:rPr>
          <w:rFonts w:ascii="Calibri" w:hAnsi="Calibri"/>
          <w:b/>
          <w:color w:val="auto"/>
          <w:sz w:val="28"/>
          <w:szCs w:val="32"/>
        </w:rPr>
      </w:pPr>
      <w:bookmarkStart w:id="277" w:name="_Toc144109258"/>
      <w:r>
        <w:rPr>
          <w:rFonts w:hint="eastAsia" w:ascii="Calibri" w:hAnsi="Calibri"/>
          <w:b/>
          <w:color w:val="auto"/>
          <w:sz w:val="28"/>
          <w:szCs w:val="32"/>
        </w:rPr>
        <w:t>C.</w:t>
      </w:r>
      <w:r>
        <w:rPr>
          <w:rFonts w:ascii="Calibri" w:hAnsi="Calibri"/>
          <w:b/>
          <w:color w:val="auto"/>
          <w:sz w:val="28"/>
          <w:szCs w:val="32"/>
        </w:rPr>
        <w:t>1.3.3</w:t>
      </w:r>
      <w:r>
        <w:rPr>
          <w:rFonts w:hint="eastAsia" w:ascii="Calibri" w:hAnsi="Calibri"/>
          <w:b/>
          <w:color w:val="auto"/>
          <w:sz w:val="28"/>
          <w:szCs w:val="32"/>
        </w:rPr>
        <w:t xml:space="preserve"> </w:t>
      </w:r>
      <w:r>
        <w:rPr>
          <w:rFonts w:ascii="Calibri" w:hAnsi="Calibri"/>
          <w:b/>
          <w:color w:val="auto"/>
          <w:sz w:val="28"/>
          <w:szCs w:val="32"/>
        </w:rPr>
        <w:t xml:space="preserve"> </w:t>
      </w:r>
      <w:r>
        <w:rPr>
          <w:b/>
          <w:color w:val="auto"/>
          <w:sz w:val="28"/>
          <w:szCs w:val="32"/>
        </w:rPr>
        <w:t>104</w:t>
      </w:r>
      <w:r>
        <w:rPr>
          <w:rFonts w:hint="eastAsia" w:ascii="Calibri" w:hAnsi="Calibri"/>
          <w:b/>
          <w:color w:val="auto"/>
          <w:sz w:val="28"/>
          <w:szCs w:val="32"/>
        </w:rPr>
        <w:t>颗粒剂车间子单元评价</w:t>
      </w:r>
      <w:bookmarkEnd w:id="277"/>
    </w:p>
    <w:p>
      <w:pPr>
        <w:ind w:firstLine="560" w:firstLineChars="200"/>
        <w:rPr>
          <w:rFonts w:ascii="宋体" w:hAnsi="宋体"/>
          <w:color w:val="auto"/>
          <w:sz w:val="28"/>
          <w:szCs w:val="28"/>
        </w:rPr>
      </w:pPr>
      <w:r>
        <w:rPr>
          <w:rFonts w:hint="eastAsia" w:ascii="宋体" w:hAnsi="宋体"/>
          <w:color w:val="auto"/>
          <w:sz w:val="28"/>
          <w:szCs w:val="28"/>
        </w:rPr>
        <w:t xml:space="preserve">1.预先危险性分析 </w:t>
      </w:r>
    </w:p>
    <w:p>
      <w:pPr>
        <w:autoSpaceDE w:val="0"/>
        <w:autoSpaceDN w:val="0"/>
        <w:adjustRightInd w:val="0"/>
        <w:ind w:firstLine="560" w:firstLineChars="200"/>
        <w:rPr>
          <w:rFonts w:hAnsi="宋体"/>
          <w:color w:val="auto"/>
          <w:sz w:val="28"/>
          <w:szCs w:val="28"/>
        </w:rPr>
      </w:pPr>
      <w:r>
        <w:rPr>
          <w:rFonts w:ascii="宋体" w:hAnsi="宋体"/>
          <w:color w:val="auto"/>
          <w:sz w:val="28"/>
          <w:szCs w:val="28"/>
        </w:rPr>
        <w:t>本报告对</w:t>
      </w:r>
      <w:r>
        <w:rPr>
          <w:rFonts w:hint="eastAsia" w:ascii="宋体" w:hAnsi="宋体"/>
          <w:color w:val="auto"/>
          <w:sz w:val="28"/>
          <w:szCs w:val="28"/>
        </w:rPr>
        <w:t>生产单元</w:t>
      </w:r>
      <w:r>
        <w:rPr>
          <w:rFonts w:ascii="宋体" w:hAnsi="宋体"/>
          <w:color w:val="auto"/>
          <w:sz w:val="28"/>
          <w:szCs w:val="28"/>
        </w:rPr>
        <w:t>有可能造成人员伤亡</w:t>
      </w:r>
      <w:r>
        <w:rPr>
          <w:rFonts w:hint="eastAsia" w:ascii="宋体" w:hAnsi="宋体"/>
          <w:color w:val="auto"/>
          <w:sz w:val="28"/>
          <w:szCs w:val="28"/>
        </w:rPr>
        <w:t>的主要危险</w:t>
      </w:r>
      <w:r>
        <w:rPr>
          <w:rFonts w:ascii="宋体" w:hAnsi="宋体"/>
          <w:color w:val="auto"/>
          <w:sz w:val="28"/>
          <w:szCs w:val="28"/>
        </w:rPr>
        <w:t>因素采用预先危险性分析法进行分析评价，具体见表</w:t>
      </w:r>
      <w:r>
        <w:rPr>
          <w:color w:val="auto"/>
          <w:sz w:val="28"/>
          <w:szCs w:val="28"/>
        </w:rPr>
        <w:t>C.1-12</w:t>
      </w:r>
      <w:r>
        <w:rPr>
          <w:rFonts w:ascii="宋体" w:hAnsi="宋体"/>
          <w:color w:val="auto"/>
          <w:sz w:val="28"/>
          <w:szCs w:val="28"/>
        </w:rPr>
        <w:t>。</w:t>
      </w:r>
    </w:p>
    <w:p>
      <w:pPr>
        <w:spacing w:line="600" w:lineRule="exact"/>
        <w:ind w:firstLine="555"/>
        <w:jc w:val="center"/>
        <w:rPr>
          <w:rFonts w:ascii="宋体" w:hAnsi="宋体"/>
          <w:color w:val="auto"/>
          <w:sz w:val="24"/>
          <w:szCs w:val="24"/>
        </w:rPr>
      </w:pPr>
      <w:r>
        <w:rPr>
          <w:rFonts w:hint="eastAsia" w:ascii="宋体" w:hAnsi="宋体"/>
          <w:color w:val="auto"/>
          <w:sz w:val="24"/>
          <w:szCs w:val="24"/>
        </w:rPr>
        <w:t>表</w:t>
      </w:r>
      <w:r>
        <w:rPr>
          <w:color w:val="auto"/>
          <w:sz w:val="24"/>
          <w:szCs w:val="24"/>
        </w:rPr>
        <w:t>C.1-12</w:t>
      </w:r>
      <w:r>
        <w:rPr>
          <w:rFonts w:hint="eastAsia"/>
          <w:color w:val="auto"/>
          <w:sz w:val="24"/>
          <w:szCs w:val="24"/>
        </w:rPr>
        <w:t xml:space="preserve"> </w:t>
      </w:r>
      <w:r>
        <w:rPr>
          <w:rFonts w:hint="eastAsia" w:ascii="宋体" w:hAnsi="宋体"/>
          <w:color w:val="auto"/>
          <w:sz w:val="24"/>
          <w:szCs w:val="24"/>
        </w:rPr>
        <w:t>颗粒剂车间单元预先危险性分析</w:t>
      </w:r>
    </w:p>
    <w:tbl>
      <w:tblPr>
        <w:tblStyle w:val="31"/>
        <w:tblW w:w="9496"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719"/>
        <w:gridCol w:w="3222"/>
        <w:gridCol w:w="636"/>
        <w:gridCol w:w="670"/>
        <w:gridCol w:w="361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bCs/>
                <w:color w:val="auto"/>
              </w:rPr>
              <w:t>触发事件</w:t>
            </w:r>
          </w:p>
        </w:tc>
        <w:tc>
          <w:tcPr>
            <w:tcW w:w="3222"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事故原因</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事故后果</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危险等级</w:t>
            </w:r>
          </w:p>
        </w:tc>
        <w:tc>
          <w:tcPr>
            <w:tcW w:w="3613" w:type="dxa"/>
            <w:tcBorders>
              <w:top w:val="single" w:color="000000" w:sz="4" w:space="0"/>
              <w:left w:val="nil"/>
              <w:bottom w:val="single" w:color="000000" w:sz="4" w:space="0"/>
              <w:right w:val="single" w:color="000000" w:sz="4" w:space="0"/>
            </w:tcBorders>
            <w:vAlign w:val="center"/>
          </w:tcPr>
          <w:p>
            <w:pPr>
              <w:jc w:val="center"/>
              <w:rPr>
                <w:rFonts w:ascii="宋体" w:hAnsi="宋体"/>
                <w:bCs/>
                <w:color w:val="auto"/>
              </w:rPr>
            </w:pPr>
            <w:r>
              <w:rPr>
                <w:rFonts w:hint="eastAsia" w:ascii="宋体" w:hAnsi="宋体"/>
                <w:color w:val="auto"/>
              </w:rPr>
              <w:t>措施建议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p>
          <w:p>
            <w:pPr>
              <w:jc w:val="center"/>
              <w:rPr>
                <w:rFonts w:ascii="宋体" w:hAnsi="宋体"/>
                <w:color w:val="auto"/>
              </w:rPr>
            </w:pPr>
            <w:r>
              <w:rPr>
                <w:rFonts w:hint="eastAsia" w:ascii="宋体" w:hAnsi="宋体"/>
                <w:color w:val="auto"/>
              </w:rPr>
              <w:t>火灾、爆炸</w:t>
            </w:r>
          </w:p>
        </w:tc>
        <w:tc>
          <w:tcPr>
            <w:tcW w:w="719" w:type="dxa"/>
            <w:tcBorders>
              <w:top w:val="single" w:color="000000" w:sz="4" w:space="0"/>
              <w:left w:val="nil"/>
              <w:bottom w:val="single" w:color="000000" w:sz="4" w:space="0"/>
              <w:right w:val="single" w:color="000000" w:sz="6" w:space="0"/>
            </w:tcBorders>
          </w:tcPr>
          <w:p>
            <w:pPr>
              <w:jc w:val="left"/>
              <w:rPr>
                <w:rFonts w:ascii="宋体" w:hAnsi="宋体"/>
                <w:color w:val="auto"/>
              </w:rPr>
            </w:pPr>
            <w:r>
              <w:rPr>
                <w:rFonts w:hint="eastAsia" w:ascii="宋体" w:hAnsi="宋体"/>
                <w:bCs/>
                <w:color w:val="auto"/>
              </w:rPr>
              <w:t>1.可燃物质</w:t>
            </w:r>
            <w:r>
              <w:rPr>
                <w:rFonts w:hint="eastAsia" w:ascii="宋体" w:hAnsi="宋体"/>
                <w:color w:val="auto"/>
              </w:rPr>
              <w:t>泄漏，遇火源发火灾</w:t>
            </w:r>
          </w:p>
          <w:p>
            <w:pPr>
              <w:jc w:val="left"/>
              <w:rPr>
                <w:rFonts w:ascii="宋体" w:hAnsi="宋体"/>
                <w:bCs/>
                <w:color w:val="auto"/>
              </w:rPr>
            </w:pPr>
          </w:p>
        </w:tc>
        <w:tc>
          <w:tcPr>
            <w:tcW w:w="3222" w:type="dxa"/>
            <w:tcBorders>
              <w:top w:val="single" w:color="000000" w:sz="4" w:space="0"/>
              <w:left w:val="nil"/>
              <w:bottom w:val="single" w:color="000000" w:sz="4" w:space="0"/>
              <w:right w:val="single" w:color="000000" w:sz="6" w:space="0"/>
            </w:tcBorders>
          </w:tcPr>
          <w:p>
            <w:pPr>
              <w:spacing w:line="300" w:lineRule="exact"/>
              <w:rPr>
                <w:rFonts w:ascii="宋体" w:hAnsi="宋体"/>
                <w:color w:val="auto"/>
              </w:rPr>
            </w:pPr>
            <w:r>
              <w:rPr>
                <w:rFonts w:hint="eastAsia" w:ascii="宋体" w:hAnsi="宋体"/>
                <w:color w:val="auto"/>
              </w:rPr>
              <w:t>1.设备、管道等材质选用不当；</w:t>
            </w:r>
          </w:p>
          <w:p>
            <w:pPr>
              <w:pStyle w:val="10"/>
              <w:spacing w:after="0" w:line="300" w:lineRule="exact"/>
              <w:rPr>
                <w:rFonts w:ascii="宋体" w:hAnsi="宋体"/>
                <w:color w:val="auto"/>
                <w:sz w:val="21"/>
                <w:szCs w:val="21"/>
              </w:rPr>
            </w:pPr>
            <w:r>
              <w:rPr>
                <w:rFonts w:hint="eastAsia" w:ascii="宋体" w:hAnsi="宋体"/>
                <w:color w:val="auto"/>
                <w:sz w:val="21"/>
                <w:szCs w:val="21"/>
              </w:rPr>
              <w:t>2.</w:t>
            </w:r>
            <w:r>
              <w:rPr>
                <w:rFonts w:hint="eastAsia" w:ascii="宋体" w:hAnsi="宋体"/>
                <w:bCs/>
                <w:color w:val="auto"/>
                <w:sz w:val="21"/>
                <w:szCs w:val="21"/>
              </w:rPr>
              <w:t xml:space="preserve"> </w:t>
            </w:r>
            <w:r>
              <w:rPr>
                <w:rFonts w:hint="eastAsia" w:ascii="宋体" w:hAnsi="宋体"/>
                <w:color w:val="auto"/>
                <w:sz w:val="21"/>
                <w:szCs w:val="21"/>
              </w:rPr>
              <w:t>设备设计不合理，施工有缺陷；设备、管道、阀门材质不符合或有缺陷；</w:t>
            </w:r>
          </w:p>
          <w:p>
            <w:pPr>
              <w:spacing w:line="300" w:lineRule="exact"/>
              <w:rPr>
                <w:rFonts w:ascii="宋体" w:hAnsi="宋体"/>
                <w:color w:val="auto"/>
              </w:rPr>
            </w:pPr>
            <w:r>
              <w:rPr>
                <w:rFonts w:hint="eastAsia" w:ascii="宋体" w:hAnsi="宋体"/>
                <w:color w:val="auto"/>
              </w:rPr>
              <w:t>3.设备相连接的法兰、阀门、管件等处密封件老化泄漏</w:t>
            </w:r>
          </w:p>
          <w:p>
            <w:pPr>
              <w:spacing w:line="300" w:lineRule="exact"/>
              <w:rPr>
                <w:rFonts w:ascii="宋体" w:hAnsi="宋体"/>
                <w:color w:val="auto"/>
              </w:rPr>
            </w:pPr>
            <w:r>
              <w:rPr>
                <w:rFonts w:hint="eastAsia" w:ascii="宋体" w:hAnsi="宋体"/>
                <w:color w:val="auto"/>
              </w:rPr>
              <w:t xml:space="preserve">4.乙醇等物料溢出。液位等控制系统失效， </w:t>
            </w:r>
          </w:p>
          <w:p>
            <w:pPr>
              <w:spacing w:line="300" w:lineRule="exact"/>
              <w:jc w:val="center"/>
              <w:rPr>
                <w:rFonts w:ascii="宋体" w:hAnsi="宋体"/>
                <w:color w:val="auto"/>
              </w:rPr>
            </w:pPr>
            <w:r>
              <w:rPr>
                <w:rFonts w:ascii="宋体" w:hAnsi="宋体"/>
                <w:color w:val="auto"/>
              </w:rPr>
              <w:t>5</w:t>
            </w:r>
            <w:r>
              <w:rPr>
                <w:rFonts w:hint="eastAsia" w:ascii="宋体" w:hAnsi="宋体"/>
                <w:color w:val="auto"/>
                <w:spacing w:val="-4"/>
              </w:rPr>
              <w:t>.</w:t>
            </w:r>
            <w:r>
              <w:rPr>
                <w:rFonts w:hint="eastAsia" w:ascii="宋体" w:hAnsi="宋体"/>
                <w:color w:val="auto"/>
              </w:rPr>
              <w:t>电气火花、静电放电、雷击.</w:t>
            </w:r>
          </w:p>
        </w:tc>
        <w:tc>
          <w:tcPr>
            <w:tcW w:w="636"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r>
              <w:rPr>
                <w:rFonts w:hint="eastAsia" w:ascii="宋体" w:hAnsi="宋体"/>
                <w:color w:val="auto"/>
              </w:rPr>
              <w:t>人员伤亡、设备损坏</w:t>
            </w:r>
          </w:p>
        </w:tc>
        <w:tc>
          <w:tcPr>
            <w:tcW w:w="670"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p>
          <w:p>
            <w:pPr>
              <w:spacing w:line="300" w:lineRule="exact"/>
              <w:jc w:val="center"/>
              <w:rPr>
                <w:rFonts w:ascii="宋体" w:hAnsi="宋体"/>
                <w:color w:val="auto"/>
              </w:rPr>
            </w:pPr>
          </w:p>
          <w:p>
            <w:pPr>
              <w:spacing w:line="300" w:lineRule="exact"/>
              <w:jc w:val="center"/>
              <w:rPr>
                <w:rFonts w:ascii="宋体" w:hAnsi="宋体"/>
                <w:color w:val="auto"/>
              </w:rPr>
            </w:pPr>
          </w:p>
          <w:p>
            <w:pPr>
              <w:spacing w:line="300" w:lineRule="exact"/>
              <w:jc w:val="center"/>
              <w:rPr>
                <w:rFonts w:ascii="宋体" w:hAnsi="宋体"/>
                <w:color w:val="auto"/>
              </w:rPr>
            </w:pPr>
          </w:p>
          <w:p>
            <w:pPr>
              <w:spacing w:line="300" w:lineRule="exact"/>
              <w:jc w:val="center"/>
              <w:rPr>
                <w:rFonts w:ascii="宋体" w:hAnsi="宋体"/>
                <w:color w:val="auto"/>
              </w:rPr>
            </w:pPr>
            <w:r>
              <w:rPr>
                <w:rFonts w:hint="eastAsia" w:ascii="宋体" w:hAnsi="宋体"/>
                <w:color w:val="auto"/>
              </w:rPr>
              <w:t>Ⅲ</w:t>
            </w:r>
          </w:p>
          <w:p>
            <w:pPr>
              <w:spacing w:line="300" w:lineRule="exact"/>
              <w:jc w:val="center"/>
              <w:rPr>
                <w:rFonts w:ascii="宋体" w:hAnsi="宋体"/>
                <w:color w:val="auto"/>
              </w:rPr>
            </w:pPr>
          </w:p>
          <w:p>
            <w:pPr>
              <w:spacing w:line="300" w:lineRule="exact"/>
              <w:jc w:val="center"/>
              <w:rPr>
                <w:rFonts w:ascii="宋体" w:hAnsi="宋体"/>
                <w:color w:val="auto"/>
              </w:rPr>
            </w:pPr>
          </w:p>
          <w:p>
            <w:pPr>
              <w:spacing w:line="300" w:lineRule="exact"/>
              <w:jc w:val="center"/>
              <w:rPr>
                <w:rFonts w:ascii="宋体" w:hAnsi="宋体"/>
                <w:color w:val="auto"/>
              </w:rPr>
            </w:pPr>
          </w:p>
        </w:tc>
        <w:tc>
          <w:tcPr>
            <w:tcW w:w="3613" w:type="dxa"/>
            <w:tcBorders>
              <w:top w:val="single" w:color="000000" w:sz="4" w:space="0"/>
              <w:left w:val="nil"/>
              <w:bottom w:val="single" w:color="000000" w:sz="4" w:space="0"/>
              <w:right w:val="single" w:color="000000" w:sz="4" w:space="0"/>
            </w:tcBorders>
          </w:tcPr>
          <w:p>
            <w:pPr>
              <w:spacing w:line="300" w:lineRule="exact"/>
              <w:rPr>
                <w:rFonts w:ascii="宋体" w:hAnsi="宋体"/>
                <w:color w:val="auto"/>
              </w:rPr>
            </w:pPr>
            <w:r>
              <w:rPr>
                <w:rFonts w:hint="eastAsia" w:ascii="宋体" w:hAnsi="宋体"/>
                <w:color w:val="auto"/>
              </w:rPr>
              <w:t>1．设备的工程设计、专业制造厂及施工、安装、检修单位必须具有相应的资质及许可证；施工、安装、检修完毕，应做好安全、质量检查和验收交接；</w:t>
            </w:r>
          </w:p>
          <w:p>
            <w:pPr>
              <w:spacing w:line="300" w:lineRule="exact"/>
              <w:rPr>
                <w:rFonts w:ascii="宋体" w:hAnsi="宋体"/>
                <w:color w:val="auto"/>
              </w:rPr>
            </w:pPr>
            <w:r>
              <w:rPr>
                <w:rFonts w:hint="eastAsia" w:ascii="宋体" w:hAnsi="宋体"/>
                <w:color w:val="auto"/>
              </w:rPr>
              <w:t>2．加强现场检查维护，减缓设备或管道等腐蚀、老化程度；</w:t>
            </w:r>
          </w:p>
          <w:p>
            <w:pPr>
              <w:spacing w:line="300" w:lineRule="exact"/>
              <w:rPr>
                <w:rFonts w:ascii="宋体" w:hAnsi="宋体"/>
                <w:color w:val="auto"/>
              </w:rPr>
            </w:pPr>
            <w:r>
              <w:rPr>
                <w:rFonts w:hint="eastAsia" w:ascii="宋体" w:hAnsi="宋体"/>
                <w:color w:val="auto"/>
              </w:rPr>
              <w:t>3.控制原料质量；输送应采用密闭化措施；</w:t>
            </w:r>
          </w:p>
          <w:p>
            <w:pPr>
              <w:spacing w:line="300" w:lineRule="exact"/>
              <w:rPr>
                <w:rFonts w:ascii="宋体" w:hAnsi="宋体"/>
                <w:color w:val="auto"/>
              </w:rPr>
            </w:pPr>
            <w:r>
              <w:rPr>
                <w:rFonts w:hint="eastAsia" w:ascii="宋体" w:hAnsi="宋体"/>
                <w:color w:val="auto"/>
              </w:rPr>
              <w:t>4.严格执行安全操作规程，禁止违章作业，发现隐患及时整改；</w:t>
            </w:r>
          </w:p>
          <w:p>
            <w:pPr>
              <w:spacing w:line="300" w:lineRule="exact"/>
              <w:rPr>
                <w:rFonts w:ascii="宋体" w:hAnsi="宋体"/>
                <w:color w:val="auto"/>
              </w:rPr>
            </w:pPr>
            <w:r>
              <w:rPr>
                <w:rFonts w:hint="eastAsia" w:ascii="宋体" w:hAnsi="宋体"/>
                <w:color w:val="auto"/>
              </w:rPr>
              <w:t>5.仪表、控制系统，联锁、报警装置应保护控制动作灵敏、可靠。</w:t>
            </w:r>
          </w:p>
          <w:p>
            <w:pPr>
              <w:spacing w:line="300" w:lineRule="exact"/>
              <w:rPr>
                <w:rFonts w:ascii="宋体" w:hAnsi="宋体"/>
                <w:bCs/>
                <w:color w:val="auto"/>
              </w:rPr>
            </w:pPr>
            <w:r>
              <w:rPr>
                <w:rFonts w:ascii="宋体" w:hAnsi="宋体"/>
                <w:color w:val="auto"/>
              </w:rPr>
              <w:t>6</w:t>
            </w:r>
            <w:r>
              <w:rPr>
                <w:rFonts w:hint="eastAsia" w:ascii="宋体" w:hAnsi="宋体"/>
                <w:color w:val="auto"/>
              </w:rPr>
              <w:t>.加强安全管理，杜绝</w:t>
            </w:r>
            <w:r>
              <w:rPr>
                <w:color w:val="auto"/>
              </w:rPr>
              <w:t>“</w:t>
            </w:r>
            <w:r>
              <w:rPr>
                <w:rFonts w:hint="eastAsia" w:ascii="宋体" w:hAnsi="宋体"/>
                <w:color w:val="auto"/>
              </w:rPr>
              <w:t>三违</w:t>
            </w:r>
            <w:r>
              <w:rPr>
                <w:color w:val="auto"/>
              </w:rPr>
              <w:t>”</w:t>
            </w:r>
            <w:r>
              <w:rPr>
                <w:rFonts w:hint="eastAsia" w:ascii="宋体" w:hAnsi="宋体"/>
                <w:color w:val="auto"/>
              </w:rPr>
              <w:t>（违章作业、违章指挥、违反劳纪），严守工艺规定，防止工艺参数发生变化</w:t>
            </w:r>
          </w:p>
          <w:p>
            <w:pPr>
              <w:spacing w:line="300" w:lineRule="exact"/>
              <w:rPr>
                <w:rFonts w:ascii="宋体" w:hAnsi="宋体"/>
                <w:bCs/>
                <w:color w:val="auto"/>
              </w:rPr>
            </w:pPr>
            <w:r>
              <w:rPr>
                <w:rFonts w:ascii="宋体" w:hAnsi="宋体"/>
                <w:bCs/>
                <w:color w:val="auto"/>
              </w:rPr>
              <w:t>7</w:t>
            </w:r>
            <w:r>
              <w:rPr>
                <w:rFonts w:hint="eastAsia" w:ascii="宋体" w:hAnsi="宋体"/>
                <w:bCs/>
                <w:color w:val="auto"/>
              </w:rPr>
              <w:t>.按规范进行防雷、防静电设施的设计安装和检测。</w:t>
            </w:r>
          </w:p>
          <w:p>
            <w:pPr>
              <w:spacing w:line="300" w:lineRule="exact"/>
              <w:jc w:val="center"/>
              <w:rPr>
                <w:rFonts w:ascii="宋体" w:hAnsi="宋体"/>
                <w:color w:val="auto"/>
              </w:rPr>
            </w:pPr>
            <w:r>
              <w:rPr>
                <w:rFonts w:ascii="宋体" w:hAnsi="宋体"/>
                <w:color w:val="auto"/>
              </w:rPr>
              <w:t>8</w:t>
            </w:r>
            <w:r>
              <w:rPr>
                <w:rFonts w:hint="eastAsia" w:ascii="宋体" w:hAnsi="宋体"/>
                <w:color w:val="auto"/>
              </w:rPr>
              <w:t>.定期维护和保养；按计划停车检修；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中毒和窒息</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有毒性物料、</w:t>
            </w:r>
            <w:r>
              <w:rPr>
                <w:rFonts w:hint="eastAsia" w:ascii="宋体" w:hAnsi="宋体"/>
                <w:bCs/>
                <w:color w:val="auto"/>
              </w:rPr>
              <w:t>窒息性气体泄漏</w:t>
            </w:r>
          </w:p>
        </w:tc>
        <w:tc>
          <w:tcPr>
            <w:tcW w:w="3222" w:type="dxa"/>
            <w:tcBorders>
              <w:top w:val="single" w:color="000000" w:sz="4" w:space="0"/>
              <w:left w:val="nil"/>
              <w:bottom w:val="single" w:color="000000" w:sz="4" w:space="0"/>
              <w:right w:val="single" w:color="000000" w:sz="6" w:space="0"/>
            </w:tcBorders>
            <w:vAlign w:val="center"/>
          </w:tcPr>
          <w:p>
            <w:pPr>
              <w:spacing w:line="300" w:lineRule="exact"/>
              <w:rPr>
                <w:rFonts w:ascii="宋体" w:hAnsi="宋体"/>
                <w:color w:val="auto"/>
              </w:rPr>
            </w:pPr>
            <w:r>
              <w:rPr>
                <w:rFonts w:hint="eastAsia" w:ascii="宋体" w:hAnsi="宋体"/>
                <w:color w:val="auto"/>
              </w:rPr>
              <w:t>一、运行泄漏：</w:t>
            </w:r>
          </w:p>
          <w:p>
            <w:pPr>
              <w:spacing w:line="300" w:lineRule="exact"/>
              <w:rPr>
                <w:rFonts w:ascii="宋体" w:hAnsi="宋体"/>
                <w:color w:val="auto"/>
              </w:rPr>
            </w:pPr>
            <w:r>
              <w:rPr>
                <w:rFonts w:hint="eastAsia"/>
                <w:color w:val="auto"/>
              </w:rPr>
              <w:t>1.</w:t>
            </w:r>
            <w:r>
              <w:rPr>
                <w:rFonts w:hint="eastAsia" w:ascii="宋体" w:hAnsi="宋体"/>
                <w:color w:val="auto"/>
              </w:rPr>
              <w:t>阀门、法兰等泄漏；</w:t>
            </w:r>
          </w:p>
          <w:p>
            <w:pPr>
              <w:spacing w:line="300" w:lineRule="exact"/>
              <w:rPr>
                <w:rFonts w:ascii="宋体" w:hAnsi="宋体"/>
                <w:color w:val="auto"/>
              </w:rPr>
            </w:pPr>
            <w:r>
              <w:rPr>
                <w:rFonts w:hint="eastAsia"/>
                <w:color w:val="auto"/>
              </w:rPr>
              <w:t>2.</w:t>
            </w:r>
            <w:r>
              <w:rPr>
                <w:rFonts w:hint="eastAsia" w:ascii="宋体" w:hAnsi="宋体"/>
                <w:color w:val="auto"/>
              </w:rPr>
              <w:t>泵破裂或泵、转动设备等动密封处泄漏；</w:t>
            </w:r>
          </w:p>
          <w:p>
            <w:pPr>
              <w:spacing w:line="300" w:lineRule="exact"/>
              <w:rPr>
                <w:rFonts w:ascii="宋体" w:hAnsi="宋体"/>
                <w:color w:val="auto"/>
              </w:rPr>
            </w:pPr>
            <w:r>
              <w:rPr>
                <w:rFonts w:hint="eastAsia"/>
                <w:color w:val="auto"/>
              </w:rPr>
              <w:t>3.</w:t>
            </w:r>
            <w:r>
              <w:rPr>
                <w:rFonts w:hint="eastAsia" w:ascii="宋体" w:hAnsi="宋体"/>
                <w:color w:val="auto"/>
              </w:rPr>
              <w:t>阀门、泵、管道、流量计、仪表等因质量或安装不当泄漏；</w:t>
            </w:r>
          </w:p>
          <w:p>
            <w:pPr>
              <w:spacing w:line="300" w:lineRule="exact"/>
              <w:rPr>
                <w:rFonts w:ascii="宋体" w:hAnsi="宋体"/>
                <w:color w:val="auto"/>
              </w:rPr>
            </w:pPr>
            <w:r>
              <w:rPr>
                <w:rFonts w:hint="eastAsia" w:ascii="宋体" w:hAnsi="宋体"/>
                <w:color w:val="auto"/>
              </w:rPr>
              <w:t>4.设备或管道遭受腐蚀强度下降，发生破裂泄漏</w:t>
            </w:r>
          </w:p>
          <w:p>
            <w:pPr>
              <w:spacing w:line="300" w:lineRule="exact"/>
              <w:rPr>
                <w:rFonts w:ascii="宋体" w:hAnsi="宋体"/>
                <w:color w:val="auto"/>
              </w:rPr>
            </w:pPr>
            <w:r>
              <w:rPr>
                <w:rFonts w:hint="eastAsia" w:ascii="宋体" w:hAnsi="宋体"/>
                <w:color w:val="auto"/>
              </w:rPr>
              <w:t>5.系统超压，有毒物料等泄露。</w:t>
            </w:r>
          </w:p>
          <w:p>
            <w:pPr>
              <w:spacing w:line="300" w:lineRule="exact"/>
              <w:rPr>
                <w:rFonts w:ascii="宋体" w:hAnsi="宋体"/>
                <w:color w:val="auto"/>
              </w:rPr>
            </w:pPr>
            <w:r>
              <w:rPr>
                <w:rFonts w:hint="eastAsia" w:ascii="宋体" w:hAnsi="宋体"/>
                <w:color w:val="auto"/>
              </w:rPr>
              <w:t>二.作业场所通风不良；</w:t>
            </w:r>
          </w:p>
          <w:p>
            <w:pPr>
              <w:spacing w:line="300" w:lineRule="exact"/>
              <w:rPr>
                <w:rFonts w:ascii="宋体" w:hAnsi="宋体"/>
                <w:color w:val="auto"/>
              </w:rPr>
            </w:pPr>
            <w:r>
              <w:rPr>
                <w:rFonts w:hint="eastAsia" w:ascii="宋体" w:hAnsi="宋体"/>
                <w:color w:val="auto"/>
              </w:rPr>
              <w:t>三.未设置事故通风设施</w:t>
            </w:r>
          </w:p>
          <w:p>
            <w:pPr>
              <w:spacing w:line="300" w:lineRule="exact"/>
              <w:rPr>
                <w:rFonts w:ascii="宋体" w:hAnsi="宋体"/>
                <w:color w:val="auto"/>
              </w:rPr>
            </w:pPr>
            <w:r>
              <w:rPr>
                <w:rFonts w:hint="eastAsia" w:ascii="宋体" w:hAnsi="宋体"/>
                <w:color w:val="auto"/>
              </w:rPr>
              <w:t>四．报警器失灵。</w:t>
            </w:r>
          </w:p>
          <w:p>
            <w:pPr>
              <w:spacing w:line="300" w:lineRule="exact"/>
              <w:rPr>
                <w:rFonts w:ascii="宋体" w:hAnsi="宋体"/>
                <w:color w:val="auto"/>
              </w:rPr>
            </w:pPr>
            <w:r>
              <w:rPr>
                <w:rFonts w:hint="eastAsia" w:ascii="宋体" w:hAnsi="宋体"/>
                <w:color w:val="auto"/>
              </w:rPr>
              <w:t>五．维修、抢修时，罐、管、阀等中的有毒有害物料未彻底清洗干净，未采取有效的隔绝措施；</w:t>
            </w:r>
          </w:p>
          <w:p>
            <w:pPr>
              <w:spacing w:line="300" w:lineRule="exact"/>
              <w:rPr>
                <w:rFonts w:ascii="宋体" w:hAnsi="宋体"/>
                <w:color w:val="auto"/>
              </w:rPr>
            </w:pPr>
            <w:r>
              <w:rPr>
                <w:rFonts w:hint="eastAsia" w:ascii="宋体" w:hAnsi="宋体"/>
                <w:color w:val="auto"/>
              </w:rPr>
              <w:t>六．违章操作</w:t>
            </w:r>
          </w:p>
        </w:tc>
        <w:tc>
          <w:tcPr>
            <w:tcW w:w="636"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r>
              <w:rPr>
                <w:rFonts w:hint="eastAsia" w:ascii="宋体" w:hAnsi="宋体"/>
                <w:color w:val="auto"/>
              </w:rPr>
              <w:t>人员伤亡</w:t>
            </w:r>
          </w:p>
        </w:tc>
        <w:tc>
          <w:tcPr>
            <w:tcW w:w="670"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r>
              <w:rPr>
                <w:rFonts w:hint="eastAsia" w:ascii="宋体" w:hAnsi="宋体"/>
                <w:color w:val="auto"/>
              </w:rPr>
              <w:t>Ⅲ</w:t>
            </w:r>
          </w:p>
          <w:p>
            <w:pPr>
              <w:spacing w:line="300" w:lineRule="exact"/>
              <w:jc w:val="center"/>
              <w:rPr>
                <w:rFonts w:ascii="宋体" w:hAnsi="宋体"/>
                <w:color w:val="auto"/>
              </w:rPr>
            </w:pPr>
          </w:p>
        </w:tc>
        <w:tc>
          <w:tcPr>
            <w:tcW w:w="3613" w:type="dxa"/>
            <w:tcBorders>
              <w:top w:val="single" w:color="000000" w:sz="4" w:space="0"/>
              <w:left w:val="nil"/>
              <w:bottom w:val="single" w:color="000000" w:sz="4" w:space="0"/>
              <w:right w:val="single" w:color="000000" w:sz="4" w:space="0"/>
            </w:tcBorders>
            <w:vAlign w:val="center"/>
          </w:tcPr>
          <w:p>
            <w:pPr>
              <w:spacing w:line="300" w:lineRule="exact"/>
              <w:rPr>
                <w:rFonts w:ascii="宋体" w:hAnsi="宋体"/>
                <w:bCs/>
                <w:color w:val="auto"/>
              </w:rPr>
            </w:pPr>
            <w:r>
              <w:rPr>
                <w:rFonts w:hint="eastAsia" w:ascii="宋体" w:hAnsi="宋体"/>
                <w:bCs/>
                <w:color w:val="auto"/>
              </w:rPr>
              <w:t>1．应对管线、法兰、阀门、附件等经常进行检查，防止气体泄漏。</w:t>
            </w:r>
          </w:p>
          <w:p>
            <w:pPr>
              <w:spacing w:line="300" w:lineRule="exact"/>
              <w:rPr>
                <w:rFonts w:ascii="宋体" w:hAnsi="宋体"/>
                <w:color w:val="auto"/>
              </w:rPr>
            </w:pPr>
            <w:r>
              <w:rPr>
                <w:rFonts w:hint="eastAsia" w:ascii="宋体" w:hAnsi="宋体"/>
                <w:color w:val="auto"/>
              </w:rPr>
              <w:t>2．加强作业场所的通风；</w:t>
            </w:r>
          </w:p>
          <w:p>
            <w:pPr>
              <w:spacing w:line="300" w:lineRule="exact"/>
              <w:rPr>
                <w:rFonts w:ascii="宋体" w:hAnsi="宋体"/>
                <w:color w:val="auto"/>
              </w:rPr>
            </w:pPr>
            <w:r>
              <w:rPr>
                <w:rFonts w:hint="eastAsia" w:ascii="宋体" w:hAnsi="宋体"/>
                <w:color w:val="auto"/>
              </w:rPr>
              <w:t>3．保证报警装置好用。</w:t>
            </w:r>
          </w:p>
          <w:p>
            <w:pPr>
              <w:spacing w:line="300" w:lineRule="exact"/>
              <w:rPr>
                <w:rFonts w:ascii="宋体" w:hAnsi="宋体"/>
                <w:color w:val="auto"/>
              </w:rPr>
            </w:pPr>
            <w:r>
              <w:rPr>
                <w:rFonts w:hint="eastAsia" w:ascii="宋体" w:hAnsi="宋体"/>
                <w:color w:val="auto"/>
              </w:rPr>
              <w:t>4.可能存在大量泄漏场所，设置事故通风系统；紧急排放时应排放至安全场所</w:t>
            </w:r>
          </w:p>
          <w:p>
            <w:pPr>
              <w:spacing w:line="300" w:lineRule="exact"/>
              <w:rPr>
                <w:rFonts w:ascii="宋体" w:hAnsi="宋体"/>
                <w:bCs/>
                <w:color w:val="auto"/>
              </w:rPr>
            </w:pPr>
            <w:r>
              <w:rPr>
                <w:rFonts w:hint="eastAsia" w:ascii="宋体" w:hAnsi="宋体"/>
                <w:color w:val="auto"/>
              </w:rPr>
              <w:t>5.</w:t>
            </w:r>
            <w:r>
              <w:rPr>
                <w:rFonts w:hint="eastAsia" w:ascii="宋体" w:hAnsi="宋体"/>
                <w:bCs/>
                <w:color w:val="auto"/>
              </w:rPr>
              <w:t xml:space="preserve"> 未经置换或置换不完全不准进入现场。</w:t>
            </w:r>
          </w:p>
          <w:p>
            <w:pPr>
              <w:spacing w:line="300" w:lineRule="exact"/>
              <w:rPr>
                <w:rFonts w:ascii="宋体" w:hAnsi="宋体"/>
                <w:color w:val="auto"/>
              </w:rPr>
            </w:pPr>
            <w:r>
              <w:rPr>
                <w:rFonts w:hint="eastAsia" w:ascii="宋体" w:hAnsi="宋体"/>
                <w:bCs/>
                <w:color w:val="auto"/>
              </w:rPr>
              <w:t>6.</w:t>
            </w:r>
            <w:r>
              <w:rPr>
                <w:rFonts w:hint="eastAsia" w:ascii="宋体" w:hAnsi="宋体"/>
                <w:color w:val="auto"/>
              </w:rPr>
              <w:t>配备相应的防护器材；</w:t>
            </w:r>
          </w:p>
          <w:p>
            <w:pPr>
              <w:spacing w:line="300" w:lineRule="exact"/>
              <w:rPr>
                <w:rFonts w:ascii="宋体" w:hAnsi="宋体"/>
                <w:color w:val="auto"/>
              </w:rPr>
            </w:pPr>
            <w:r>
              <w:rPr>
                <w:rFonts w:hint="eastAsia" w:ascii="宋体" w:hAnsi="宋体"/>
                <w:color w:val="auto"/>
              </w:rPr>
              <w:t>7.定期检修、维护保养，保持设备完好；检修时，应与其他设备或管道隔断，彻底清洗干净，并检测有毒有害物质浓度、含氧量（</w:t>
            </w:r>
            <w:r>
              <w:rPr>
                <w:color w:val="auto"/>
              </w:rPr>
              <w:t>19.5</w:t>
            </w:r>
            <w:r>
              <w:rPr>
                <w:rFonts w:hint="eastAsia" w:ascii="宋体" w:hAnsi="宋体"/>
                <w:color w:val="auto"/>
              </w:rPr>
              <w:t>～</w:t>
            </w:r>
            <w:r>
              <w:rPr>
                <w:color w:val="auto"/>
              </w:rPr>
              <w:t>23.5%</w:t>
            </w:r>
            <w:r>
              <w:rPr>
                <w:rFonts w:hint="eastAsia" w:ascii="宋体" w:hAnsi="宋体"/>
                <w:color w:val="auto"/>
              </w:rPr>
              <w:t>），合格后方可作业；作业时，穿戴劳动防护用品，有人监护并有抢救后备措施</w:t>
            </w:r>
          </w:p>
          <w:p>
            <w:pPr>
              <w:spacing w:line="300" w:lineRule="exact"/>
              <w:rPr>
                <w:rFonts w:ascii="宋体" w:hAnsi="宋体"/>
                <w:bCs/>
                <w:color w:val="auto"/>
              </w:rPr>
            </w:pPr>
            <w:r>
              <w:rPr>
                <w:rFonts w:hint="eastAsia"/>
                <w:color w:val="auto"/>
              </w:rPr>
              <w:t>8.</w:t>
            </w:r>
            <w:r>
              <w:rPr>
                <w:rFonts w:hAnsi="宋体"/>
                <w:color w:val="auto"/>
              </w:rPr>
              <w:t xml:space="preserve"> </w:t>
            </w:r>
            <w:r>
              <w:rPr>
                <w:rFonts w:hint="eastAsia" w:ascii="宋体" w:hAnsi="宋体"/>
                <w:color w:val="auto"/>
              </w:rPr>
              <w:t>要有应急预案，抢救时勿忘正确使用防毒面具及其它防护用品。</w:t>
            </w:r>
          </w:p>
          <w:p>
            <w:pPr>
              <w:spacing w:line="300" w:lineRule="exact"/>
              <w:rPr>
                <w:rFonts w:ascii="宋体" w:hAnsi="宋体"/>
                <w:bCs/>
                <w:color w:val="auto"/>
              </w:rPr>
            </w:pPr>
            <w:r>
              <w:rPr>
                <w:rFonts w:hint="eastAsia"/>
                <w:color w:val="auto"/>
              </w:rPr>
              <w:t>9.</w:t>
            </w:r>
            <w:r>
              <w:rPr>
                <w:rFonts w:hAnsi="宋体"/>
                <w:color w:val="auto"/>
              </w:rPr>
              <w:t xml:space="preserve"> </w:t>
            </w:r>
            <w:r>
              <w:rPr>
                <w:rFonts w:hint="eastAsia" w:ascii="宋体" w:hAnsi="宋体"/>
                <w:color w:val="auto"/>
              </w:rPr>
              <w:t>设立危险、有毒、窒息性标志；设立急救点，配备相应的防护用品、急救药品、器材；</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触电</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接触带电体</w:t>
            </w:r>
          </w:p>
        </w:tc>
        <w:tc>
          <w:tcPr>
            <w:tcW w:w="3222" w:type="dxa"/>
            <w:tcBorders>
              <w:top w:val="single" w:color="000000" w:sz="4" w:space="0"/>
              <w:left w:val="nil"/>
              <w:bottom w:val="single" w:color="000000" w:sz="4" w:space="0"/>
              <w:right w:val="single" w:color="000000" w:sz="6" w:space="0"/>
            </w:tcBorders>
            <w:vAlign w:val="center"/>
          </w:tcPr>
          <w:p>
            <w:pPr>
              <w:spacing w:line="300" w:lineRule="exact"/>
              <w:rPr>
                <w:rFonts w:ascii="Calibri" w:hAnsi="Calibri"/>
                <w:color w:val="auto"/>
              </w:rPr>
            </w:pPr>
            <w:r>
              <w:rPr>
                <w:rFonts w:hint="eastAsia"/>
                <w:color w:val="auto"/>
              </w:rPr>
              <w:t>1.</w:t>
            </w:r>
            <w:r>
              <w:rPr>
                <w:rFonts w:hint="eastAsia" w:ascii="宋体" w:hAnsi="宋体"/>
                <w:color w:val="auto"/>
              </w:rPr>
              <w:t>未穿戴合格的劳动防护用品；</w:t>
            </w:r>
          </w:p>
          <w:p>
            <w:pPr>
              <w:spacing w:line="300" w:lineRule="exact"/>
              <w:rPr>
                <w:color w:val="auto"/>
              </w:rPr>
            </w:pPr>
            <w:r>
              <w:rPr>
                <w:color w:val="auto"/>
              </w:rPr>
              <w:t>2</w:t>
            </w:r>
            <w:r>
              <w:rPr>
                <w:rFonts w:hint="eastAsia"/>
                <w:color w:val="auto"/>
              </w:rPr>
              <w:t>.</w:t>
            </w:r>
            <w:r>
              <w:rPr>
                <w:rFonts w:hint="eastAsia" w:ascii="宋体" w:hAnsi="宋体"/>
                <w:color w:val="auto"/>
              </w:rPr>
              <w:t>身体不慎接触带电导体；</w:t>
            </w:r>
          </w:p>
          <w:p>
            <w:pPr>
              <w:spacing w:line="300" w:lineRule="exact"/>
              <w:rPr>
                <w:rFonts w:ascii="宋体" w:hAnsi="宋体"/>
                <w:color w:val="auto"/>
              </w:rPr>
            </w:pPr>
            <w:r>
              <w:rPr>
                <w:color w:val="auto"/>
              </w:rPr>
              <w:t>3</w:t>
            </w:r>
            <w:r>
              <w:rPr>
                <w:rFonts w:hint="eastAsia"/>
                <w:color w:val="auto"/>
              </w:rPr>
              <w:t>.</w:t>
            </w:r>
            <w:r>
              <w:rPr>
                <w:rFonts w:hint="eastAsia" w:ascii="宋体" w:hAnsi="宋体"/>
                <w:color w:val="auto"/>
              </w:rPr>
              <w:t>监护措施不力或没有监护。</w:t>
            </w:r>
          </w:p>
        </w:tc>
        <w:tc>
          <w:tcPr>
            <w:tcW w:w="636"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r>
              <w:rPr>
                <w:rFonts w:hint="eastAsia" w:ascii="宋体" w:hAnsi="宋体"/>
                <w:color w:val="auto"/>
              </w:rPr>
              <w:t>人员伤亡</w:t>
            </w:r>
          </w:p>
        </w:tc>
        <w:tc>
          <w:tcPr>
            <w:tcW w:w="670" w:type="dxa"/>
            <w:tcBorders>
              <w:top w:val="single" w:color="000000" w:sz="4" w:space="0"/>
              <w:left w:val="nil"/>
              <w:bottom w:val="single" w:color="000000" w:sz="4" w:space="0"/>
              <w:right w:val="single" w:color="000000" w:sz="6" w:space="0"/>
            </w:tcBorders>
            <w:vAlign w:val="center"/>
          </w:tcPr>
          <w:p>
            <w:pPr>
              <w:spacing w:line="300" w:lineRule="exact"/>
              <w:jc w:val="center"/>
              <w:rPr>
                <w:rFonts w:ascii="宋体" w:hAnsi="宋体"/>
                <w:color w:val="auto"/>
              </w:rPr>
            </w:pPr>
            <w:r>
              <w:rPr>
                <w:rFonts w:hint="eastAsia" w:ascii="宋体" w:hAnsi="宋体"/>
                <w:color w:val="auto"/>
              </w:rPr>
              <w:t>Ⅲ</w:t>
            </w:r>
          </w:p>
        </w:tc>
        <w:tc>
          <w:tcPr>
            <w:tcW w:w="3613" w:type="dxa"/>
            <w:tcBorders>
              <w:top w:val="single" w:color="000000" w:sz="4" w:space="0"/>
              <w:left w:val="nil"/>
              <w:bottom w:val="single" w:color="000000" w:sz="4" w:space="0"/>
              <w:right w:val="single" w:color="000000" w:sz="4" w:space="0"/>
            </w:tcBorders>
          </w:tcPr>
          <w:p>
            <w:pPr>
              <w:spacing w:line="300" w:lineRule="exact"/>
              <w:rPr>
                <w:rFonts w:ascii="宋体" w:hAnsi="宋体"/>
                <w:color w:val="auto"/>
              </w:rPr>
            </w:pPr>
            <w:r>
              <w:rPr>
                <w:rFonts w:hint="eastAsia" w:ascii="宋体" w:hAnsi="宋体"/>
                <w:color w:val="auto"/>
              </w:rPr>
              <w:t>1.带电作业时要按安全工作要求并填写工作票，并制订可靠的安全防护措施；</w:t>
            </w:r>
          </w:p>
          <w:p>
            <w:pPr>
              <w:spacing w:line="300" w:lineRule="exact"/>
              <w:rPr>
                <w:rFonts w:ascii="宋体" w:hAnsi="宋体"/>
                <w:color w:val="auto"/>
              </w:rPr>
            </w:pPr>
            <w:r>
              <w:rPr>
                <w:rFonts w:hint="eastAsia" w:ascii="宋体" w:hAnsi="宋体"/>
                <w:color w:val="auto"/>
              </w:rPr>
              <w:t>2.做好监护工作；</w:t>
            </w:r>
          </w:p>
          <w:p>
            <w:pPr>
              <w:spacing w:line="300" w:lineRule="exact"/>
              <w:rPr>
                <w:rFonts w:ascii="宋体" w:hAnsi="宋体"/>
                <w:color w:val="auto"/>
              </w:rPr>
            </w:pPr>
            <w:r>
              <w:rPr>
                <w:rFonts w:hint="eastAsia" w:ascii="宋体" w:hAnsi="宋体"/>
                <w:color w:val="auto"/>
              </w:rPr>
              <w:t>3.操作人员要穿戴好劳动防护用品，使用安全防护用具；</w:t>
            </w:r>
          </w:p>
          <w:p>
            <w:pPr>
              <w:spacing w:line="300" w:lineRule="exact"/>
              <w:rPr>
                <w:rFonts w:ascii="宋体" w:hAnsi="宋体"/>
                <w:color w:val="auto"/>
              </w:rPr>
            </w:pPr>
            <w:r>
              <w:rPr>
                <w:rFonts w:hint="eastAsia" w:ascii="宋体" w:hAnsi="宋体"/>
                <w:color w:val="auto"/>
              </w:rPr>
              <w:t>4.操作时严格遵守安全操作。</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灼烫</w:t>
            </w:r>
          </w:p>
        </w:tc>
        <w:tc>
          <w:tcPr>
            <w:tcW w:w="719" w:type="dxa"/>
            <w:tcBorders>
              <w:top w:val="single" w:color="000000" w:sz="4" w:space="0"/>
              <w:left w:val="nil"/>
              <w:bottom w:val="single" w:color="000000" w:sz="4" w:space="0"/>
              <w:right w:val="single" w:color="000000" w:sz="6" w:space="0"/>
            </w:tcBorders>
          </w:tcPr>
          <w:p>
            <w:pPr>
              <w:jc w:val="center"/>
              <w:rPr>
                <w:rFonts w:ascii="宋体" w:hAnsi="宋体"/>
                <w:color w:val="auto"/>
              </w:rPr>
            </w:pPr>
            <w:r>
              <w:rPr>
                <w:rFonts w:hint="eastAsia" w:ascii="宋体" w:hAnsi="宋体"/>
                <w:color w:val="auto"/>
              </w:rPr>
              <w:t>腐蚀性物料与人体直接接触</w:t>
            </w:r>
          </w:p>
        </w:tc>
        <w:tc>
          <w:tcPr>
            <w:tcW w:w="3222" w:type="dxa"/>
            <w:tcBorders>
              <w:top w:val="single" w:color="000000" w:sz="4" w:space="0"/>
              <w:left w:val="nil"/>
              <w:bottom w:val="single" w:color="000000" w:sz="4" w:space="0"/>
              <w:right w:val="single" w:color="000000" w:sz="6" w:space="0"/>
            </w:tcBorders>
            <w:vAlign w:val="center"/>
          </w:tcPr>
          <w:p>
            <w:pPr>
              <w:rPr>
                <w:rFonts w:ascii="宋体" w:hAnsi="宋体"/>
                <w:color w:val="auto"/>
              </w:rPr>
            </w:pPr>
            <w:r>
              <w:rPr>
                <w:rFonts w:hint="eastAsia" w:ascii="宋体" w:hAnsi="宋体"/>
                <w:color w:val="auto"/>
              </w:rPr>
              <w:t>1.腐蚀性物料等故障喷出；</w:t>
            </w:r>
          </w:p>
          <w:p>
            <w:pPr>
              <w:rPr>
                <w:rFonts w:ascii="宋体" w:hAnsi="宋体"/>
                <w:color w:val="auto"/>
              </w:rPr>
            </w:pPr>
            <w:r>
              <w:rPr>
                <w:rFonts w:ascii="宋体" w:hAnsi="宋体"/>
                <w:color w:val="auto"/>
              </w:rPr>
              <w:t>2</w:t>
            </w:r>
            <w:r>
              <w:rPr>
                <w:rFonts w:hint="eastAsia" w:ascii="宋体" w:hAnsi="宋体"/>
                <w:color w:val="auto"/>
              </w:rPr>
              <w:t>. 液位等控制系统失效。</w:t>
            </w:r>
          </w:p>
          <w:p>
            <w:pPr>
              <w:rPr>
                <w:rFonts w:ascii="宋体" w:hAnsi="宋体"/>
                <w:color w:val="auto"/>
              </w:rPr>
            </w:pPr>
            <w:r>
              <w:rPr>
                <w:rFonts w:ascii="宋体" w:hAnsi="宋体"/>
                <w:color w:val="auto"/>
              </w:rPr>
              <w:t>3</w:t>
            </w:r>
            <w:r>
              <w:rPr>
                <w:rFonts w:hint="eastAsia" w:ascii="宋体" w:hAnsi="宋体"/>
                <w:color w:val="auto"/>
              </w:rPr>
              <w:t>.装置、管道密封件、垫片失效引起泄露。</w:t>
            </w:r>
          </w:p>
          <w:p>
            <w:pPr>
              <w:rPr>
                <w:rFonts w:ascii="宋体" w:hAnsi="宋体"/>
                <w:color w:val="auto"/>
              </w:rPr>
            </w:pPr>
            <w:r>
              <w:rPr>
                <w:rFonts w:ascii="宋体" w:hAnsi="宋体"/>
                <w:color w:val="auto"/>
              </w:rPr>
              <w:t>4</w:t>
            </w:r>
            <w:r>
              <w:rPr>
                <w:rFonts w:hint="eastAsia" w:ascii="宋体" w:hAnsi="宋体"/>
                <w:color w:val="auto"/>
              </w:rPr>
              <w:t>.清洗、检修管道等设备时泄漏，未使用防护用品；</w:t>
            </w:r>
          </w:p>
          <w:p>
            <w:pPr>
              <w:rPr>
                <w:rFonts w:ascii="宋体" w:hAnsi="宋体"/>
                <w:color w:val="auto"/>
              </w:rPr>
            </w:pPr>
            <w:r>
              <w:rPr>
                <w:rFonts w:ascii="宋体" w:hAnsi="宋体"/>
                <w:color w:val="auto"/>
              </w:rPr>
              <w:t>5</w:t>
            </w:r>
            <w:r>
              <w:rPr>
                <w:rFonts w:hint="eastAsia" w:ascii="宋体" w:hAnsi="宋体"/>
                <w:color w:val="auto"/>
              </w:rPr>
              <w:t>.没有按照要求穿戴劳动防护用品；</w:t>
            </w:r>
          </w:p>
          <w:p>
            <w:pPr>
              <w:spacing w:line="360" w:lineRule="exact"/>
              <w:rPr>
                <w:color w:val="auto"/>
              </w:rPr>
            </w:pPr>
            <w:r>
              <w:rPr>
                <w:rFonts w:ascii="宋体" w:hAnsi="宋体"/>
                <w:color w:val="auto"/>
              </w:rPr>
              <w:t>6</w:t>
            </w:r>
            <w:r>
              <w:rPr>
                <w:rFonts w:hint="eastAsia" w:ascii="宋体" w:hAnsi="宋体"/>
                <w:color w:val="auto"/>
              </w:rPr>
              <w:t>.违规违章操作；</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人员灼伤、甚至死亡</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Ⅱ</w:t>
            </w:r>
          </w:p>
        </w:tc>
        <w:tc>
          <w:tcPr>
            <w:tcW w:w="3613" w:type="dxa"/>
            <w:tcBorders>
              <w:top w:val="single" w:color="000000" w:sz="4" w:space="0"/>
              <w:left w:val="nil"/>
              <w:bottom w:val="single" w:color="000000" w:sz="4" w:space="0"/>
              <w:right w:val="single" w:color="000000" w:sz="4" w:space="0"/>
            </w:tcBorders>
            <w:vAlign w:val="center"/>
          </w:tcPr>
          <w:p>
            <w:pPr>
              <w:rPr>
                <w:rFonts w:ascii="宋体" w:hAnsi="宋体"/>
                <w:color w:val="auto"/>
              </w:rPr>
            </w:pPr>
            <w:r>
              <w:rPr>
                <w:rFonts w:hint="eastAsia" w:ascii="宋体" w:hAnsi="宋体"/>
                <w:color w:val="auto"/>
              </w:rPr>
              <w:t>1.处理腐蚀性物料泄漏故障时，建议工作人员佩戴防护用品；</w:t>
            </w:r>
          </w:p>
          <w:p>
            <w:pPr>
              <w:rPr>
                <w:rFonts w:ascii="宋体" w:hAnsi="宋体"/>
                <w:color w:val="auto"/>
              </w:rPr>
            </w:pPr>
            <w:r>
              <w:rPr>
                <w:rFonts w:hint="eastAsia" w:ascii="宋体" w:hAnsi="宋体"/>
                <w:color w:val="auto"/>
              </w:rPr>
              <w:t>2.严格控制设备质量，加强设备维护保养；</w:t>
            </w:r>
          </w:p>
          <w:p>
            <w:pPr>
              <w:rPr>
                <w:rFonts w:ascii="宋体" w:hAnsi="宋体"/>
                <w:color w:val="auto"/>
              </w:rPr>
            </w:pPr>
            <w:r>
              <w:rPr>
                <w:rFonts w:hint="eastAsia" w:ascii="宋体" w:hAnsi="宋体"/>
                <w:color w:val="auto"/>
              </w:rPr>
              <w:t>3.坚持巡回检查，发现问题及时处理；</w:t>
            </w:r>
          </w:p>
          <w:p>
            <w:pPr>
              <w:rPr>
                <w:rFonts w:ascii="宋体" w:hAnsi="宋体"/>
                <w:color w:val="auto"/>
              </w:rPr>
            </w:pPr>
            <w:r>
              <w:rPr>
                <w:rFonts w:hint="eastAsia" w:ascii="宋体" w:hAnsi="宋体"/>
                <w:color w:val="auto"/>
              </w:rPr>
              <w:t>4.检修存在物料设备、管线时，应将设备、管线内物料排空完，应关闭阀门，并对管线加堵盲板；</w:t>
            </w:r>
          </w:p>
          <w:p>
            <w:pPr>
              <w:autoSpaceDE w:val="0"/>
              <w:autoSpaceDN w:val="0"/>
              <w:adjustRightInd w:val="0"/>
              <w:rPr>
                <w:rFonts w:ascii="宋体" w:hAnsi="宋体"/>
                <w:color w:val="auto"/>
              </w:rPr>
            </w:pPr>
            <w:r>
              <w:rPr>
                <w:rFonts w:ascii="宋体" w:hAnsi="宋体"/>
                <w:color w:val="auto"/>
              </w:rPr>
              <w:t>5</w:t>
            </w:r>
            <w:r>
              <w:rPr>
                <w:rFonts w:hint="eastAsia" w:ascii="宋体" w:hAnsi="宋体"/>
                <w:color w:val="auto"/>
              </w:rPr>
              <w:t>.配置淋洗器、洗眼器等；</w:t>
            </w:r>
          </w:p>
          <w:p>
            <w:pPr>
              <w:autoSpaceDE w:val="0"/>
              <w:autoSpaceDN w:val="0"/>
              <w:adjustRightInd w:val="0"/>
              <w:rPr>
                <w:rFonts w:ascii="宋体" w:hAnsi="宋体"/>
                <w:color w:val="auto"/>
              </w:rPr>
            </w:pPr>
            <w:r>
              <w:rPr>
                <w:rFonts w:ascii="宋体" w:hAnsi="宋体"/>
                <w:color w:val="auto"/>
              </w:rPr>
              <w:t>6</w:t>
            </w:r>
            <w:r>
              <w:rPr>
                <w:rFonts w:hint="eastAsia" w:ascii="宋体" w:hAnsi="宋体"/>
                <w:color w:val="auto"/>
              </w:rPr>
              <w:t>.配备相应的防护用品和急救用品；</w:t>
            </w:r>
          </w:p>
          <w:p>
            <w:pPr>
              <w:rPr>
                <w:rFonts w:ascii="宋体" w:hAnsi="宋体"/>
                <w:color w:val="auto"/>
              </w:rPr>
            </w:pPr>
            <w:r>
              <w:rPr>
                <w:rFonts w:ascii="宋体" w:hAnsi="宋体"/>
                <w:color w:val="auto"/>
              </w:rPr>
              <w:t>7</w:t>
            </w:r>
            <w:r>
              <w:rPr>
                <w:rFonts w:hint="eastAsia" w:ascii="宋体" w:hAnsi="宋体"/>
                <w:color w:val="auto"/>
              </w:rPr>
              <w:t>.设置危险、灼烫性标志。</w:t>
            </w:r>
          </w:p>
          <w:p>
            <w:pPr>
              <w:rPr>
                <w:rFonts w:ascii="宋体" w:hAnsi="宋体"/>
                <w:color w:val="auto"/>
              </w:rPr>
            </w:pPr>
            <w:r>
              <w:rPr>
                <w:rFonts w:ascii="宋体" w:hAnsi="宋体"/>
                <w:color w:val="auto"/>
              </w:rPr>
              <w:t>8</w:t>
            </w:r>
            <w:r>
              <w:rPr>
                <w:rFonts w:hint="eastAsia" w:ascii="宋体" w:hAnsi="宋体"/>
                <w:color w:val="auto"/>
              </w:rPr>
              <w:t>. 按操作规程进行；</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59" w:hRule="atLeast"/>
          <w:jc w:val="center"/>
        </w:trPr>
        <w:tc>
          <w:tcPr>
            <w:tcW w:w="636" w:type="dxa"/>
            <w:tcBorders>
              <w:top w:val="single" w:color="000000" w:sz="4" w:space="0"/>
              <w:left w:val="single" w:color="000000" w:sz="4" w:space="0"/>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机械伤害</w:t>
            </w:r>
          </w:p>
        </w:tc>
        <w:tc>
          <w:tcPr>
            <w:tcW w:w="719"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与动设备直接接触</w:t>
            </w:r>
          </w:p>
        </w:tc>
        <w:tc>
          <w:tcPr>
            <w:tcW w:w="3222" w:type="dxa"/>
            <w:tcBorders>
              <w:top w:val="single" w:color="000000" w:sz="4" w:space="0"/>
              <w:left w:val="nil"/>
              <w:bottom w:val="single" w:color="000000" w:sz="4" w:space="0"/>
              <w:right w:val="single" w:color="000000" w:sz="6" w:space="0"/>
            </w:tcBorders>
            <w:vAlign w:val="center"/>
          </w:tcPr>
          <w:p>
            <w:pPr>
              <w:spacing w:line="360" w:lineRule="exact"/>
              <w:rPr>
                <w:color w:val="auto"/>
              </w:rPr>
            </w:pPr>
            <w:r>
              <w:rPr>
                <w:rFonts w:hint="eastAsia" w:ascii="宋体" w:hAnsi="宋体"/>
                <w:color w:val="auto"/>
              </w:rPr>
              <w:t>1.机械设备缺乏安全防护装置，本身的结构、强度等不合理；2.运行部件飞出；旋转、往复、滑动物撞击人体；3.安装维修不当，使设备的安全性能不佳；4.工作场所环境不良，如空间狭窄，设备布局不合理等；5.违反操作规程；7.运行状态时打扫卫生；8.设备有故障9.机械设备安全防护装置缺乏或损坏、被拆除等； 10.操作人员疏忽大意，身体进入机械危险部位；11.安全管理上存在不足。</w:t>
            </w:r>
          </w:p>
        </w:tc>
        <w:tc>
          <w:tcPr>
            <w:tcW w:w="636"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人员损伤</w:t>
            </w:r>
          </w:p>
        </w:tc>
        <w:tc>
          <w:tcPr>
            <w:tcW w:w="670" w:type="dxa"/>
            <w:tcBorders>
              <w:top w:val="single" w:color="000000" w:sz="4" w:space="0"/>
              <w:left w:val="nil"/>
              <w:bottom w:val="single" w:color="000000" w:sz="4" w:space="0"/>
              <w:right w:val="single" w:color="000000" w:sz="6" w:space="0"/>
            </w:tcBorders>
            <w:vAlign w:val="center"/>
          </w:tcPr>
          <w:p>
            <w:pPr>
              <w:jc w:val="center"/>
              <w:rPr>
                <w:rFonts w:ascii="宋体" w:hAnsi="宋体"/>
                <w:color w:val="auto"/>
              </w:rPr>
            </w:pPr>
            <w:r>
              <w:rPr>
                <w:rFonts w:hint="eastAsia" w:ascii="宋体" w:hAnsi="宋体"/>
                <w:color w:val="auto"/>
              </w:rPr>
              <w:t>Ⅱ</w:t>
            </w:r>
          </w:p>
        </w:tc>
        <w:tc>
          <w:tcPr>
            <w:tcW w:w="3613" w:type="dxa"/>
            <w:tcBorders>
              <w:top w:val="single" w:color="000000" w:sz="4" w:space="0"/>
              <w:left w:val="nil"/>
              <w:bottom w:val="single" w:color="000000" w:sz="4" w:space="0"/>
              <w:right w:val="single" w:color="000000" w:sz="4" w:space="0"/>
            </w:tcBorders>
          </w:tcPr>
          <w:p>
            <w:pPr>
              <w:rPr>
                <w:rFonts w:ascii="宋体" w:hAnsi="宋体"/>
                <w:color w:val="auto"/>
              </w:rPr>
            </w:pPr>
            <w:r>
              <w:rPr>
                <w:rFonts w:hint="eastAsia" w:ascii="宋体" w:hAnsi="宋体"/>
                <w:color w:val="auto"/>
              </w:rPr>
              <w:t>1.加强安全教育，增强职工安全意识；</w:t>
            </w:r>
          </w:p>
          <w:p>
            <w:pPr>
              <w:rPr>
                <w:rFonts w:ascii="宋体" w:hAnsi="宋体"/>
                <w:color w:val="auto"/>
              </w:rPr>
            </w:pPr>
            <w:r>
              <w:rPr>
                <w:rFonts w:hint="eastAsia" w:ascii="宋体" w:hAnsi="宋体"/>
                <w:color w:val="auto"/>
              </w:rPr>
              <w:t>2.严格遵守安全操作规程，严禁违章操作，在机械运行中禁止接触转动部分；</w:t>
            </w:r>
          </w:p>
          <w:p>
            <w:pPr>
              <w:rPr>
                <w:rFonts w:ascii="宋体" w:hAnsi="宋体"/>
                <w:color w:val="auto"/>
              </w:rPr>
            </w:pPr>
            <w:r>
              <w:rPr>
                <w:rFonts w:hint="eastAsia" w:ascii="宋体" w:hAnsi="宋体"/>
                <w:color w:val="auto"/>
              </w:rPr>
              <w:t>3.机械转动部分的安全防护装置要保持完好；</w:t>
            </w:r>
          </w:p>
          <w:p>
            <w:pPr>
              <w:rPr>
                <w:rFonts w:ascii="宋体" w:hAnsi="宋体"/>
                <w:color w:val="auto"/>
              </w:rPr>
            </w:pPr>
            <w:r>
              <w:rPr>
                <w:rFonts w:hint="eastAsia" w:ascii="宋体" w:hAnsi="宋体"/>
                <w:color w:val="auto"/>
              </w:rPr>
              <w:t>4.经常进行设备安全防护装置的检修和维护；</w:t>
            </w:r>
          </w:p>
          <w:p>
            <w:pPr>
              <w:rPr>
                <w:rFonts w:ascii="宋体" w:hAnsi="宋体"/>
                <w:color w:val="auto"/>
              </w:rPr>
            </w:pPr>
            <w:r>
              <w:rPr>
                <w:rFonts w:hint="eastAsia" w:ascii="宋体" w:hAnsi="宋体"/>
                <w:color w:val="auto"/>
              </w:rPr>
              <w:t>5.加强工作现场的安全管理。</w:t>
            </w:r>
          </w:p>
        </w:tc>
      </w:tr>
    </w:tbl>
    <w:p>
      <w:pPr>
        <w:ind w:firstLine="560" w:firstLineChars="200"/>
        <w:rPr>
          <w:rFonts w:ascii="宋体" w:hAnsi="宋体"/>
          <w:color w:val="auto"/>
          <w:sz w:val="28"/>
          <w:szCs w:val="28"/>
        </w:rPr>
      </w:pPr>
      <w:r>
        <w:rPr>
          <w:rFonts w:hint="eastAsia" w:ascii="宋体" w:hAnsi="宋体"/>
          <w:color w:val="auto"/>
          <w:sz w:val="28"/>
          <w:szCs w:val="28"/>
        </w:rPr>
        <w:t>本节评价小结：</w:t>
      </w:r>
    </w:p>
    <w:p>
      <w:pPr>
        <w:ind w:firstLine="560" w:firstLineChars="200"/>
        <w:rPr>
          <w:rFonts w:ascii="宋体" w:hAnsi="宋体"/>
          <w:color w:val="auto"/>
          <w:sz w:val="28"/>
          <w:szCs w:val="28"/>
        </w:rPr>
      </w:pPr>
      <w:r>
        <w:rPr>
          <w:rFonts w:hint="eastAsia" w:ascii="宋体" w:hAnsi="宋体"/>
          <w:color w:val="auto"/>
          <w:sz w:val="28"/>
          <w:szCs w:val="28"/>
        </w:rPr>
        <w:t>由设备及工艺等特点决定该项目生产装置具有一定的火灾爆炸、中毒窒息、灼烫、触电、机械伤害等危险特性，通过预先危险性分析，火灾爆炸、中毒窒息、触电危险程度为Ⅲ级（危险的）；灼烫、机械伤害危险程度为Ⅱ级；Ⅲ级是危险的，会造成人员伤亡和系统损坏，要立即采取防范对策措施；Ⅱ级处于事故的边缘状态，暂时还不会造成人员伤亡、系统损坏降低系统性能，但应予排除或采取控制措施。</w:t>
      </w:r>
    </w:p>
    <w:p>
      <w:pPr>
        <w:keepNext/>
        <w:keepLines/>
        <w:spacing w:line="580" w:lineRule="exact"/>
        <w:jc w:val="left"/>
        <w:outlineLvl w:val="1"/>
        <w:rPr>
          <w:rFonts w:ascii="Calibri Light" w:hAnsi="Calibri Light"/>
          <w:b/>
          <w:color w:val="auto"/>
          <w:sz w:val="30"/>
          <w:szCs w:val="30"/>
        </w:rPr>
      </w:pPr>
      <w:bookmarkStart w:id="278" w:name="_Toc144109259"/>
      <w:r>
        <w:rPr>
          <w:rFonts w:hint="eastAsia" w:ascii="Calibri Light" w:hAnsi="Calibri Light"/>
          <w:b/>
          <w:color w:val="auto"/>
          <w:sz w:val="30"/>
          <w:szCs w:val="30"/>
        </w:rPr>
        <w:t>C.</w:t>
      </w:r>
      <w:r>
        <w:rPr>
          <w:rFonts w:ascii="Calibri Light" w:hAnsi="Calibri Light"/>
          <w:b/>
          <w:color w:val="auto"/>
          <w:sz w:val="30"/>
          <w:szCs w:val="30"/>
        </w:rPr>
        <w:t>1.4</w:t>
      </w:r>
      <w:r>
        <w:rPr>
          <w:rFonts w:hint="eastAsia" w:ascii="Calibri Light" w:hAnsi="Calibri Light"/>
          <w:b/>
          <w:color w:val="auto"/>
          <w:sz w:val="30"/>
          <w:szCs w:val="30"/>
        </w:rPr>
        <w:t xml:space="preserve"> 公用工程及辅助系统单元评价</w:t>
      </w:r>
      <w:bookmarkEnd w:id="278"/>
    </w:p>
    <w:p>
      <w:pPr>
        <w:keepNext/>
        <w:keepLines/>
        <w:spacing w:line="600" w:lineRule="exact"/>
        <w:jc w:val="left"/>
        <w:outlineLvl w:val="2"/>
        <w:rPr>
          <w:rFonts w:ascii="Calibri" w:hAnsi="Calibri"/>
          <w:b/>
          <w:color w:val="auto"/>
          <w:sz w:val="28"/>
          <w:szCs w:val="32"/>
        </w:rPr>
      </w:pPr>
      <w:bookmarkStart w:id="279" w:name="_Toc144109260"/>
      <w:r>
        <w:rPr>
          <w:rFonts w:hint="eastAsia" w:ascii="Calibri" w:hAnsi="Calibri"/>
          <w:b/>
          <w:color w:val="auto"/>
          <w:sz w:val="28"/>
          <w:szCs w:val="32"/>
        </w:rPr>
        <w:t>C.</w:t>
      </w:r>
      <w:r>
        <w:rPr>
          <w:rFonts w:ascii="Calibri" w:hAnsi="Calibri"/>
          <w:b/>
          <w:color w:val="auto"/>
          <w:sz w:val="28"/>
          <w:szCs w:val="32"/>
        </w:rPr>
        <w:t>1.4.1</w:t>
      </w:r>
      <w:r>
        <w:rPr>
          <w:rFonts w:hint="eastAsia" w:ascii="Calibri" w:hAnsi="Calibri"/>
          <w:b/>
          <w:color w:val="auto"/>
          <w:sz w:val="28"/>
          <w:szCs w:val="32"/>
        </w:rPr>
        <w:t xml:space="preserve"> 电气子单元评价</w:t>
      </w:r>
      <w:bookmarkEnd w:id="279"/>
    </w:p>
    <w:p>
      <w:pPr>
        <w:spacing w:line="360" w:lineRule="auto"/>
        <w:ind w:firstLine="560" w:firstLineChars="200"/>
        <w:jc w:val="left"/>
        <w:rPr>
          <w:rFonts w:ascii="黑体" w:hAnsi="黑体" w:eastAsia="黑体"/>
          <w:color w:val="auto"/>
          <w:sz w:val="28"/>
          <w:szCs w:val="28"/>
        </w:rPr>
      </w:pPr>
      <w:r>
        <w:rPr>
          <w:rFonts w:hint="eastAsia" w:ascii="黑体" w:hAnsi="黑体" w:eastAsia="黑体"/>
          <w:color w:val="auto"/>
          <w:sz w:val="28"/>
          <w:szCs w:val="28"/>
        </w:rPr>
        <w:t>1.预先危险分析</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采用预先危险分析法（PHA）对本子单元进行分析评价，具体情况见表C</w:t>
      </w:r>
      <w:r>
        <w:rPr>
          <w:rFonts w:ascii="宋体" w:hAnsi="宋体"/>
          <w:color w:val="auto"/>
          <w:sz w:val="28"/>
          <w:szCs w:val="28"/>
        </w:rPr>
        <w:t>.1-13</w:t>
      </w:r>
      <w:r>
        <w:rPr>
          <w:rFonts w:hint="eastAsia" w:ascii="宋体" w:hAnsi="宋体"/>
          <w:color w:val="auto"/>
          <w:sz w:val="28"/>
          <w:szCs w:val="28"/>
        </w:rPr>
        <w:t>。</w:t>
      </w:r>
    </w:p>
    <w:p>
      <w:pPr>
        <w:ind w:firstLine="480" w:firstLineChars="200"/>
        <w:jc w:val="center"/>
        <w:rPr>
          <w:rFonts w:ascii="宋体" w:hAnsi="宋体"/>
          <w:color w:val="auto"/>
          <w:sz w:val="24"/>
          <w:szCs w:val="24"/>
        </w:rPr>
      </w:pPr>
      <w:r>
        <w:rPr>
          <w:rFonts w:hint="eastAsia" w:ascii="宋体" w:hAnsi="宋体"/>
          <w:color w:val="auto"/>
          <w:sz w:val="24"/>
          <w:szCs w:val="24"/>
        </w:rPr>
        <w:t>表C</w:t>
      </w:r>
      <w:r>
        <w:rPr>
          <w:rFonts w:ascii="宋体" w:hAnsi="宋体"/>
          <w:color w:val="auto"/>
          <w:sz w:val="24"/>
          <w:szCs w:val="24"/>
        </w:rPr>
        <w:t>.1</w:t>
      </w:r>
      <w:r>
        <w:rPr>
          <w:rFonts w:hint="eastAsia" w:ascii="宋体" w:hAnsi="宋体"/>
          <w:color w:val="auto"/>
          <w:sz w:val="24"/>
          <w:szCs w:val="24"/>
        </w:rPr>
        <w:t>-</w:t>
      </w:r>
      <w:r>
        <w:rPr>
          <w:rFonts w:ascii="宋体" w:hAnsi="宋体"/>
          <w:color w:val="auto"/>
          <w:sz w:val="24"/>
          <w:szCs w:val="24"/>
        </w:rPr>
        <w:t>13</w:t>
      </w:r>
      <w:r>
        <w:rPr>
          <w:rFonts w:hint="eastAsia" w:ascii="宋体" w:hAnsi="宋体"/>
          <w:color w:val="auto"/>
          <w:sz w:val="24"/>
          <w:szCs w:val="24"/>
        </w:rPr>
        <w:t>电气子单元预先危险分析表</w:t>
      </w:r>
    </w:p>
    <w:tbl>
      <w:tblPr>
        <w:tblStyle w:val="31"/>
        <w:tblW w:w="9451" w:type="dxa"/>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409"/>
        <w:gridCol w:w="456"/>
        <w:gridCol w:w="3643"/>
        <w:gridCol w:w="683"/>
        <w:gridCol w:w="720"/>
        <w:gridCol w:w="3540"/>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tcBorders>
              <w:top w:val="single" w:color="auto" w:sz="12" w:space="0"/>
              <w:left w:val="single" w:color="auto" w:sz="12" w:space="0"/>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事故</w:t>
            </w:r>
          </w:p>
        </w:tc>
        <w:tc>
          <w:tcPr>
            <w:tcW w:w="456" w:type="dxa"/>
            <w:tcBorders>
              <w:top w:val="single" w:color="auto" w:sz="12" w:space="0"/>
              <w:left w:val="nil"/>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阶段</w:t>
            </w:r>
          </w:p>
        </w:tc>
        <w:tc>
          <w:tcPr>
            <w:tcW w:w="3643" w:type="dxa"/>
            <w:tcBorders>
              <w:top w:val="single" w:color="auto" w:sz="12" w:space="0"/>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触发事件</w:t>
            </w:r>
          </w:p>
        </w:tc>
        <w:tc>
          <w:tcPr>
            <w:tcW w:w="683" w:type="dxa"/>
            <w:tcBorders>
              <w:top w:val="single" w:color="auto" w:sz="12" w:space="0"/>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事故后果</w:t>
            </w:r>
          </w:p>
        </w:tc>
        <w:tc>
          <w:tcPr>
            <w:tcW w:w="720" w:type="dxa"/>
            <w:tcBorders>
              <w:top w:val="single" w:color="auto" w:sz="12" w:space="0"/>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危险等级</w:t>
            </w:r>
          </w:p>
        </w:tc>
        <w:tc>
          <w:tcPr>
            <w:tcW w:w="3540" w:type="dxa"/>
            <w:tcBorders>
              <w:top w:val="single" w:color="auto" w:sz="12" w:space="0"/>
              <w:left w:val="nil"/>
              <w:bottom w:val="single" w:color="000000" w:sz="4"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措施建议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vMerge w:val="restart"/>
            <w:tcBorders>
              <w:top w:val="nil"/>
              <w:left w:val="single" w:color="auto" w:sz="12" w:space="0"/>
              <w:bottom w:val="single" w:color="000000" w:sz="4" w:space="0"/>
              <w:right w:val="single" w:color="000000" w:sz="4" w:space="0"/>
            </w:tcBorders>
            <w:vAlign w:val="center"/>
          </w:tcPr>
          <w:p>
            <w:pPr>
              <w:spacing w:line="300" w:lineRule="exact"/>
              <w:jc w:val="left"/>
              <w:rPr>
                <w:rFonts w:ascii="宋体" w:hAnsi="宋体"/>
                <w:color w:val="auto"/>
              </w:rPr>
            </w:pPr>
            <w:r>
              <w:rPr>
                <w:rFonts w:hint="eastAsia" w:ascii="宋体" w:hAnsi="宋体"/>
                <w:color w:val="auto"/>
              </w:rPr>
              <w:t>火灾、爆炸</w:t>
            </w:r>
          </w:p>
        </w:tc>
        <w:tc>
          <w:tcPr>
            <w:tcW w:w="456" w:type="dxa"/>
            <w:tcBorders>
              <w:top w:val="single" w:color="000000" w:sz="4" w:space="0"/>
              <w:left w:val="nil"/>
              <w:bottom w:val="single" w:color="000000" w:sz="4" w:space="0"/>
              <w:right w:val="single" w:color="000000" w:sz="4" w:space="0"/>
            </w:tcBorders>
          </w:tcPr>
          <w:p>
            <w:pPr>
              <w:spacing w:line="300" w:lineRule="exact"/>
              <w:jc w:val="left"/>
              <w:rPr>
                <w:rFonts w:ascii="宋体" w:hAnsi="宋体"/>
                <w:color w:val="auto"/>
              </w:rPr>
            </w:pPr>
            <w:r>
              <w:rPr>
                <w:rFonts w:hint="eastAsia" w:ascii="宋体" w:hAnsi="宋体"/>
                <w:color w:val="auto"/>
              </w:rPr>
              <w:t>正常生产</w:t>
            </w:r>
          </w:p>
        </w:tc>
        <w:tc>
          <w:tcPr>
            <w:tcW w:w="364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变压器或互感器发生火灾、爆炸</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1.变压器超负荷运行，引起温度升高，造成绝缘不良，变压器铁芯叠装不良，芯片间绝缘老化，引起铁损增加，造成变压器过热。如此时保护系统失灵或整定值调整过大，就会烧毁变压器。</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2.大气过电压和内部过电压，使变压器绕组主绝缘损毁，造成短路，引起变压器爆炸、着火；</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3.变压器分接开关和绕组连接处接触不良，产生高温，磁路发生故障、铁芯故障、产生涡流、环流发热。</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4.变压器线圈受机械损伤或受潮，引起层间、匝间或对地短路：或硅钢片之间绝缘老化，或者紧夹铁芯的螺栓套管损坏，使铁芯产生很大涡流，引起发热而温度升高，引发火灾</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5.变压器质量不佳。</w:t>
            </w:r>
          </w:p>
        </w:tc>
        <w:tc>
          <w:tcPr>
            <w:tcW w:w="68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人员伤亡、设备损坏、停电停产</w:t>
            </w:r>
          </w:p>
        </w:tc>
        <w:tc>
          <w:tcPr>
            <w:tcW w:w="720"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Ⅲ</w:t>
            </w:r>
          </w:p>
        </w:tc>
        <w:tc>
          <w:tcPr>
            <w:tcW w:w="3540" w:type="dxa"/>
            <w:tcBorders>
              <w:top w:val="single" w:color="000000" w:sz="4" w:space="0"/>
              <w:left w:val="nil"/>
              <w:bottom w:val="single" w:color="000000" w:sz="4" w:space="0"/>
              <w:right w:val="single" w:color="auto" w:sz="12" w:space="0"/>
            </w:tcBorders>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1.严把定货采购关，做好物资鉴定和验收工作，及早发现设备质量问题，杜绝不合格的产品应用到生产中；</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2.维护变压器内各种电器元件、电线等的完好，避免绝缘损坏造成的短路打火。</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3.确保变压器的中性点接地牢靠，防止变压器过电压击穿事故的发生。</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ascii="宋体" w:hAnsi="宋体"/>
                <w:color w:val="auto"/>
              </w:rPr>
            </w:pPr>
            <w:r>
              <w:rPr>
                <w:rFonts w:hint="eastAsia" w:ascii="宋体" w:hAnsi="宋体"/>
                <w:color w:val="auto"/>
              </w:rPr>
              <w:t>4.选用有资质生产厂家的产品</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vMerge w:val="continue"/>
            <w:tcBorders>
              <w:top w:val="nil"/>
              <w:left w:val="single" w:color="auto" w:sz="12" w:space="0"/>
              <w:bottom w:val="single" w:color="000000" w:sz="4" w:space="0"/>
              <w:right w:val="single" w:color="000000" w:sz="4" w:space="0"/>
            </w:tcBorders>
            <w:vAlign w:val="center"/>
          </w:tcPr>
          <w:p>
            <w:pPr>
              <w:widowControl/>
              <w:spacing w:line="300" w:lineRule="exact"/>
              <w:jc w:val="left"/>
              <w:rPr>
                <w:rFonts w:ascii="宋体" w:hAnsi="宋体"/>
                <w:color w:val="auto"/>
              </w:rPr>
            </w:pPr>
          </w:p>
        </w:tc>
        <w:tc>
          <w:tcPr>
            <w:tcW w:w="456" w:type="dxa"/>
            <w:tcBorders>
              <w:top w:val="single" w:color="000000" w:sz="4" w:space="0"/>
              <w:left w:val="nil"/>
              <w:bottom w:val="single" w:color="000000" w:sz="4" w:space="0"/>
              <w:right w:val="single" w:color="000000" w:sz="4" w:space="0"/>
            </w:tcBorders>
            <w:vAlign w:val="center"/>
          </w:tcPr>
          <w:p>
            <w:pPr>
              <w:spacing w:line="300" w:lineRule="exact"/>
              <w:jc w:val="left"/>
              <w:rPr>
                <w:rFonts w:ascii="宋体" w:hAnsi="宋体"/>
                <w:color w:val="auto"/>
              </w:rPr>
            </w:pPr>
            <w:r>
              <w:rPr>
                <w:rFonts w:hint="eastAsia" w:ascii="宋体" w:hAnsi="宋体"/>
                <w:color w:val="auto"/>
              </w:rPr>
              <w:t>正常生产</w:t>
            </w:r>
          </w:p>
        </w:tc>
        <w:tc>
          <w:tcPr>
            <w:tcW w:w="3643" w:type="dxa"/>
            <w:tcBorders>
              <w:top w:val="single" w:color="000000" w:sz="4" w:space="0"/>
              <w:left w:val="nil"/>
              <w:bottom w:val="single" w:color="000000" w:sz="4" w:space="0"/>
              <w:right w:val="single" w:color="000000" w:sz="4" w:space="0"/>
            </w:tcBorders>
            <w:vAlign w:val="center"/>
          </w:tcPr>
          <w:p>
            <w:pPr>
              <w:spacing w:line="300" w:lineRule="exact"/>
              <w:jc w:val="left"/>
              <w:rPr>
                <w:rFonts w:ascii="宋体" w:hAnsi="宋体"/>
                <w:color w:val="auto"/>
              </w:rPr>
            </w:pPr>
            <w:r>
              <w:rPr>
                <w:rFonts w:hint="eastAsia" w:ascii="宋体" w:hAnsi="宋体"/>
                <w:color w:val="auto"/>
              </w:rPr>
              <w:t>1.电缆的设计、材质、安装不当，导致电缆发生短路、过载、局部过热、电火花或电弧、电缆接头爆炸等</w:t>
            </w:r>
          </w:p>
          <w:p>
            <w:pPr>
              <w:spacing w:line="300" w:lineRule="exact"/>
              <w:jc w:val="left"/>
              <w:rPr>
                <w:rFonts w:ascii="宋体" w:hAnsi="宋体"/>
                <w:color w:val="auto"/>
              </w:rPr>
            </w:pPr>
            <w:r>
              <w:rPr>
                <w:rFonts w:hint="eastAsia" w:ascii="宋体" w:hAnsi="宋体"/>
                <w:color w:val="auto"/>
              </w:rPr>
              <w:t>2.电缆绝缘材料的绝缘性能下降，老化而失效；</w:t>
            </w:r>
          </w:p>
          <w:p>
            <w:pPr>
              <w:spacing w:line="300" w:lineRule="exact"/>
              <w:jc w:val="left"/>
              <w:rPr>
                <w:rFonts w:ascii="宋体" w:hAnsi="宋体"/>
                <w:color w:val="auto"/>
              </w:rPr>
            </w:pPr>
            <w:r>
              <w:rPr>
                <w:rFonts w:hint="eastAsia" w:ascii="宋体" w:hAnsi="宋体"/>
                <w:color w:val="auto"/>
              </w:rPr>
              <w:t>3.</w:t>
            </w:r>
            <w:r>
              <w:rPr>
                <w:color w:val="auto"/>
              </w:rPr>
              <w:t xml:space="preserve"> </w:t>
            </w:r>
            <w:r>
              <w:rPr>
                <w:rFonts w:hint="eastAsia" w:ascii="宋体" w:hAnsi="宋体"/>
                <w:color w:val="auto"/>
              </w:rPr>
              <w:t>未使用阻燃电缆和阻燃电缆质量不好；</w:t>
            </w:r>
          </w:p>
          <w:p>
            <w:pPr>
              <w:spacing w:line="300" w:lineRule="exact"/>
              <w:jc w:val="left"/>
              <w:rPr>
                <w:rFonts w:ascii="宋体" w:hAnsi="宋体"/>
                <w:color w:val="auto"/>
              </w:rPr>
            </w:pPr>
            <w:r>
              <w:rPr>
                <w:rFonts w:hint="eastAsia" w:ascii="宋体" w:hAnsi="宋体"/>
                <w:color w:val="auto"/>
              </w:rPr>
              <w:t>4.电缆被外界点火源点燃</w:t>
            </w:r>
          </w:p>
        </w:tc>
        <w:tc>
          <w:tcPr>
            <w:tcW w:w="683" w:type="dxa"/>
            <w:tcBorders>
              <w:top w:val="single" w:color="000000" w:sz="4" w:space="0"/>
              <w:left w:val="nil"/>
              <w:bottom w:val="single" w:color="000000" w:sz="4" w:space="0"/>
              <w:right w:val="single" w:color="000000" w:sz="4" w:space="0"/>
            </w:tcBorders>
            <w:vAlign w:val="center"/>
          </w:tcPr>
          <w:p>
            <w:pPr>
              <w:spacing w:line="300" w:lineRule="exact"/>
              <w:jc w:val="left"/>
              <w:rPr>
                <w:rFonts w:ascii="宋体" w:hAnsi="宋体"/>
                <w:color w:val="auto"/>
              </w:rPr>
            </w:pPr>
            <w:r>
              <w:rPr>
                <w:rFonts w:hint="eastAsia" w:ascii="宋体" w:hAnsi="宋体"/>
                <w:color w:val="auto"/>
              </w:rPr>
              <w:t>火灾；人员伤亡、设备损坏、停电停产</w:t>
            </w:r>
          </w:p>
        </w:tc>
        <w:tc>
          <w:tcPr>
            <w:tcW w:w="720" w:type="dxa"/>
            <w:tcBorders>
              <w:top w:val="single" w:color="000000" w:sz="4" w:space="0"/>
              <w:left w:val="nil"/>
              <w:bottom w:val="single" w:color="000000" w:sz="4" w:space="0"/>
              <w:right w:val="single" w:color="000000" w:sz="4" w:space="0"/>
            </w:tcBorders>
            <w:vAlign w:val="center"/>
          </w:tcPr>
          <w:p>
            <w:pPr>
              <w:spacing w:line="300" w:lineRule="exact"/>
              <w:jc w:val="left"/>
              <w:rPr>
                <w:rFonts w:ascii="宋体" w:hAnsi="宋体"/>
                <w:color w:val="auto"/>
              </w:rPr>
            </w:pPr>
            <w:r>
              <w:rPr>
                <w:rFonts w:hint="eastAsia" w:ascii="宋体" w:hAnsi="宋体"/>
                <w:color w:val="auto"/>
              </w:rPr>
              <w:t>Ⅲ</w:t>
            </w:r>
          </w:p>
        </w:tc>
        <w:tc>
          <w:tcPr>
            <w:tcW w:w="3540" w:type="dxa"/>
            <w:tcBorders>
              <w:top w:val="single" w:color="000000" w:sz="4" w:space="0"/>
              <w:left w:val="nil"/>
              <w:bottom w:val="single" w:color="000000" w:sz="4" w:space="0"/>
              <w:right w:val="single" w:color="auto" w:sz="12" w:space="0"/>
            </w:tcBorders>
            <w:vAlign w:val="center"/>
          </w:tcPr>
          <w:p>
            <w:pPr>
              <w:spacing w:line="300" w:lineRule="exact"/>
              <w:jc w:val="left"/>
              <w:rPr>
                <w:rFonts w:ascii="宋体" w:hAnsi="宋体"/>
                <w:color w:val="auto"/>
              </w:rPr>
            </w:pPr>
            <w:r>
              <w:rPr>
                <w:rFonts w:hint="eastAsia" w:ascii="宋体" w:hAnsi="宋体"/>
                <w:color w:val="auto"/>
              </w:rPr>
              <w:t>1.设置电缆火灾防护系统，包括：火灾自动报警、防火分隔封堵、人工与自动灭火器材等；2.在工程设计中，电缆的选择和敷设方式应根据相关规范进行；3.电缆桥架应与热管道保持足够的防火距离，易燃易爆场所应选用阻燃电缆；4.设计、施工中严格做好电缆防火分隔封堵工作。靠近带有设备的电缆沟盖板应严密；5.尽量减少电缆中间接头的数量；6.电缆隧道及重要电缆沟的人孔盖应有保安措施；7.电缆支架应有足够的强度，如有弯折，应及时更换扶正。</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tcBorders>
              <w:top w:val="single" w:color="000000" w:sz="4" w:space="0"/>
              <w:left w:val="single" w:color="auto" w:sz="12" w:space="0"/>
              <w:bottom w:val="single" w:color="000000" w:sz="4" w:space="0"/>
              <w:right w:val="single" w:color="000000" w:sz="4" w:space="0"/>
            </w:tcBorders>
            <w:vAlign w:val="center"/>
          </w:tcPr>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p>
          <w:p>
            <w:pPr>
              <w:jc w:val="left"/>
              <w:rPr>
                <w:rFonts w:ascii="宋体" w:hAnsi="宋体"/>
                <w:color w:val="auto"/>
              </w:rPr>
            </w:pPr>
            <w:r>
              <w:rPr>
                <w:rFonts w:hint="eastAsia" w:ascii="宋体" w:hAnsi="宋体"/>
                <w:color w:val="auto"/>
              </w:rPr>
              <w:t>触电</w:t>
            </w:r>
          </w:p>
        </w:tc>
        <w:tc>
          <w:tcPr>
            <w:tcW w:w="456"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正常生产、检维修</w:t>
            </w:r>
          </w:p>
        </w:tc>
        <w:tc>
          <w:tcPr>
            <w:tcW w:w="3643"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1.设备、线路因绝缘缺陷、绝缘老化而失效；</w:t>
            </w:r>
          </w:p>
          <w:p>
            <w:pPr>
              <w:jc w:val="left"/>
              <w:rPr>
                <w:rFonts w:ascii="宋体" w:hAnsi="宋体"/>
                <w:color w:val="auto"/>
              </w:rPr>
            </w:pPr>
            <w:r>
              <w:rPr>
                <w:rFonts w:hint="eastAsia" w:ascii="宋体" w:hAnsi="宋体"/>
                <w:color w:val="auto"/>
              </w:rPr>
              <w:t>2.设备、线路机械损伤、动物啃咬电缆、过载或过电压击穿而绝缘损坏；</w:t>
            </w:r>
          </w:p>
          <w:p>
            <w:pPr>
              <w:jc w:val="left"/>
              <w:rPr>
                <w:rFonts w:ascii="宋体" w:hAnsi="宋体"/>
                <w:color w:val="auto"/>
              </w:rPr>
            </w:pPr>
            <w:r>
              <w:rPr>
                <w:rFonts w:hint="eastAsia" w:ascii="宋体" w:hAnsi="宋体"/>
                <w:color w:val="auto"/>
              </w:rPr>
              <w:t>3.电气设备外壳带电，漏雨电保护装置失效或接地不合格；</w:t>
            </w:r>
          </w:p>
          <w:p>
            <w:pPr>
              <w:jc w:val="left"/>
              <w:rPr>
                <w:rFonts w:ascii="宋体" w:hAnsi="宋体"/>
                <w:color w:val="auto"/>
              </w:rPr>
            </w:pPr>
            <w:r>
              <w:rPr>
                <w:rFonts w:hint="eastAsia" w:ascii="宋体" w:hAnsi="宋体"/>
                <w:color w:val="auto"/>
              </w:rPr>
              <w:t>4.检修中设备误送电或反馈送电；</w:t>
            </w:r>
          </w:p>
          <w:p>
            <w:pPr>
              <w:jc w:val="left"/>
              <w:rPr>
                <w:rFonts w:ascii="宋体" w:hAnsi="宋体"/>
                <w:color w:val="auto"/>
              </w:rPr>
            </w:pPr>
            <w:r>
              <w:rPr>
                <w:rFonts w:hint="eastAsia" w:ascii="宋体" w:hAnsi="宋体"/>
                <w:color w:val="auto"/>
              </w:rPr>
              <w:t>5.设备检修前未放电或未充分放电而触电；</w:t>
            </w:r>
          </w:p>
          <w:p>
            <w:pPr>
              <w:jc w:val="left"/>
              <w:rPr>
                <w:rFonts w:ascii="宋体" w:hAnsi="宋体"/>
                <w:color w:val="auto"/>
              </w:rPr>
            </w:pPr>
            <w:r>
              <w:rPr>
                <w:rFonts w:hint="eastAsia" w:ascii="宋体" w:hAnsi="宋体"/>
                <w:color w:val="auto"/>
              </w:rPr>
              <w:t>6.带电作业中防护装置失效而触电；</w:t>
            </w:r>
          </w:p>
          <w:p>
            <w:pPr>
              <w:jc w:val="left"/>
              <w:rPr>
                <w:rFonts w:ascii="宋体" w:hAnsi="宋体"/>
                <w:color w:val="auto"/>
              </w:rPr>
            </w:pPr>
            <w:r>
              <w:rPr>
                <w:rFonts w:hint="eastAsia" w:ascii="宋体" w:hAnsi="宋体"/>
                <w:color w:val="auto"/>
              </w:rPr>
              <w:t>7.电气设备未标名称编号或名称编号有误、无安全标志或清晰；</w:t>
            </w:r>
          </w:p>
          <w:p>
            <w:pPr>
              <w:jc w:val="left"/>
              <w:rPr>
                <w:rFonts w:ascii="宋体" w:hAnsi="宋体"/>
                <w:color w:val="auto"/>
              </w:rPr>
            </w:pPr>
            <w:r>
              <w:rPr>
                <w:rFonts w:hint="eastAsia" w:ascii="宋体" w:hAnsi="宋体"/>
                <w:color w:val="auto"/>
              </w:rPr>
              <w:t>8.电气设备无闭锁装置或违规解除闭锁装置而走错间隔，误碰触电；</w:t>
            </w:r>
          </w:p>
          <w:p>
            <w:pPr>
              <w:jc w:val="left"/>
              <w:rPr>
                <w:rFonts w:ascii="宋体" w:hAnsi="宋体"/>
                <w:color w:val="auto"/>
              </w:rPr>
            </w:pPr>
            <w:r>
              <w:rPr>
                <w:rFonts w:hint="eastAsia" w:ascii="宋体" w:hAnsi="宋体"/>
                <w:color w:val="auto"/>
              </w:rPr>
              <w:t>9.高压柜操作和维护通道过小，带电部位裸露；</w:t>
            </w:r>
          </w:p>
          <w:p>
            <w:pPr>
              <w:jc w:val="left"/>
              <w:rPr>
                <w:rFonts w:ascii="宋体" w:hAnsi="宋体"/>
                <w:color w:val="auto"/>
              </w:rPr>
            </w:pPr>
            <w:r>
              <w:rPr>
                <w:rFonts w:hint="eastAsia" w:ascii="宋体" w:hAnsi="宋体"/>
                <w:color w:val="auto"/>
              </w:rPr>
              <w:t>10.从业人员违章作业；</w:t>
            </w:r>
          </w:p>
          <w:p>
            <w:pPr>
              <w:jc w:val="left"/>
              <w:rPr>
                <w:rFonts w:ascii="宋体" w:hAnsi="宋体"/>
                <w:color w:val="auto"/>
              </w:rPr>
            </w:pPr>
            <w:r>
              <w:rPr>
                <w:rFonts w:hint="eastAsia" w:ascii="宋体" w:hAnsi="宋体"/>
                <w:color w:val="auto"/>
              </w:rPr>
              <w:t>11.非工作人员违章进入变配电室</w:t>
            </w:r>
          </w:p>
        </w:tc>
        <w:tc>
          <w:tcPr>
            <w:tcW w:w="683"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设备损坏、人员伤害</w:t>
            </w:r>
          </w:p>
        </w:tc>
        <w:tc>
          <w:tcPr>
            <w:tcW w:w="720"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p>
          <w:p>
            <w:pPr>
              <w:jc w:val="left"/>
              <w:rPr>
                <w:rFonts w:ascii="宋体" w:hAnsi="宋体"/>
                <w:color w:val="auto"/>
              </w:rPr>
            </w:pPr>
          </w:p>
          <w:p>
            <w:pPr>
              <w:jc w:val="left"/>
              <w:rPr>
                <w:rFonts w:ascii="宋体" w:hAnsi="宋体"/>
                <w:color w:val="auto"/>
              </w:rPr>
            </w:pPr>
            <w:r>
              <w:rPr>
                <w:rFonts w:hint="eastAsia" w:ascii="宋体" w:hAnsi="宋体"/>
                <w:color w:val="auto"/>
              </w:rPr>
              <w:t>Ⅱ</w:t>
            </w:r>
          </w:p>
        </w:tc>
        <w:tc>
          <w:tcPr>
            <w:tcW w:w="3540" w:type="dxa"/>
            <w:tcBorders>
              <w:top w:val="single" w:color="000000" w:sz="4" w:space="0"/>
              <w:left w:val="nil"/>
              <w:bottom w:val="single" w:color="000000" w:sz="4" w:space="0"/>
              <w:right w:val="single" w:color="auto" w:sz="12" w:space="0"/>
            </w:tcBorders>
            <w:vAlign w:val="center"/>
          </w:tcPr>
          <w:p>
            <w:pPr>
              <w:jc w:val="left"/>
              <w:rPr>
                <w:rFonts w:ascii="宋体" w:hAnsi="宋体"/>
                <w:bCs/>
                <w:color w:val="auto"/>
              </w:rPr>
            </w:pPr>
            <w:r>
              <w:rPr>
                <w:rFonts w:hint="eastAsia" w:ascii="宋体" w:hAnsi="宋体"/>
                <w:color w:val="auto"/>
              </w:rPr>
              <w:t>1.电气设备应严格按照相关规定、规范要求设计，各种电器设备应做到良好的绝缘、接地；按规定配置过载保护器、漏电保护器；2.基建安装、生产及检修过程中要注意防护设备、线路的绝缘，加强灭鼠工作，以免发生绝缘损坏而漏雨电；3.应对正常带电部位做到良好的隔离，加强防护措施，定期检测电器设备绝缘，发现绝缘缺陷，及进修补；4.电气设备停电时，要充分放电、严格验电，挂短路接地线，做好防止突然来电的可靠措施；5.电气间隔应设置可靠的闭锁或联锁装置，开关柜应设置“五防”闭锁功能，杜绝误操作；6.高压电气设备必须设置安全防护（如围栏等隔离设施）设施，各种防护措施符合相关要求；7.安装调试、运行、维护中，注意与高压电气设备的安全距离，避免过分靠近。作业时事先应作好危险点分析，制定防范措施；8.各种电气设备上设置安全标识、标注设备名称，以防误操作。在有可能发生触电伤害的地点、场所设置警告牌和防护栏；9.电气设备的布置应按有关规范、标准留出操作和维护通道，设置必要的护栏、护网；10.值班电工必须按规程要求穿绝缘鞋、防护服；11.加强从业人员的安全知识培训，提高安全意识，正确使用安全防护用座；电气设备的检修维护中，应严格执行工作票制度，加强监护，防止误操作。严格规范作业人员的行为，杜绝违章和习惯性违章操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tcBorders>
              <w:top w:val="single" w:color="000000" w:sz="4" w:space="0"/>
              <w:left w:val="single" w:color="auto" w:sz="12" w:space="0"/>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继电保护动作异常</w:t>
            </w:r>
          </w:p>
        </w:tc>
        <w:tc>
          <w:tcPr>
            <w:tcW w:w="456" w:type="dxa"/>
            <w:tcBorders>
              <w:top w:val="single" w:color="000000" w:sz="4" w:space="0"/>
              <w:left w:val="nil"/>
              <w:bottom w:val="single" w:color="000000" w:sz="4" w:space="0"/>
              <w:right w:val="single" w:color="000000" w:sz="4" w:space="0"/>
            </w:tcBorders>
            <w:vAlign w:val="center"/>
          </w:tcPr>
          <w:p>
            <w:pPr>
              <w:pStyle w:val="12"/>
              <w:spacing w:after="0"/>
              <w:ind w:left="0" w:leftChars="0"/>
              <w:jc w:val="left"/>
              <w:rPr>
                <w:color w:val="auto"/>
              </w:rPr>
            </w:pPr>
          </w:p>
        </w:tc>
        <w:tc>
          <w:tcPr>
            <w:tcW w:w="3643"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1、直流熔断器与相关回路配置问题。</w:t>
            </w:r>
          </w:p>
          <w:p>
            <w:pPr>
              <w:jc w:val="left"/>
              <w:rPr>
                <w:rFonts w:ascii="宋体" w:hAnsi="宋体"/>
                <w:color w:val="auto"/>
              </w:rPr>
            </w:pPr>
            <w:r>
              <w:rPr>
                <w:rFonts w:hint="eastAsia" w:ascii="宋体" w:hAnsi="宋体"/>
                <w:color w:val="auto"/>
              </w:rPr>
              <w:t>2、保护装置用直流中间继电器、跳（合）闸出口继电器及相关回路问题。</w:t>
            </w:r>
          </w:p>
          <w:p>
            <w:pPr>
              <w:jc w:val="left"/>
              <w:rPr>
                <w:rFonts w:ascii="宋体" w:hAnsi="宋体"/>
                <w:color w:val="auto"/>
              </w:rPr>
            </w:pPr>
            <w:r>
              <w:rPr>
                <w:rFonts w:hint="eastAsia" w:ascii="宋体" w:hAnsi="宋体"/>
                <w:color w:val="auto"/>
              </w:rPr>
              <w:t>3、信号回路问题。</w:t>
            </w:r>
          </w:p>
          <w:p>
            <w:pPr>
              <w:jc w:val="left"/>
              <w:rPr>
                <w:rFonts w:ascii="Calibri" w:hAnsi="Calibri"/>
                <w:color w:val="auto"/>
              </w:rPr>
            </w:pPr>
            <w:r>
              <w:rPr>
                <w:rFonts w:hint="eastAsia" w:ascii="宋体" w:hAnsi="宋体"/>
                <w:color w:val="auto"/>
              </w:rPr>
              <w:t>4、仪用互感器及其二次回路问题</w:t>
            </w:r>
          </w:p>
        </w:tc>
        <w:tc>
          <w:tcPr>
            <w:tcW w:w="683" w:type="dxa"/>
            <w:tcBorders>
              <w:top w:val="single" w:color="000000" w:sz="4" w:space="0"/>
              <w:left w:val="nil"/>
              <w:bottom w:val="single" w:color="000000" w:sz="4" w:space="0"/>
              <w:right w:val="single" w:color="000000" w:sz="4" w:space="0"/>
            </w:tcBorders>
            <w:vAlign w:val="center"/>
          </w:tcPr>
          <w:p>
            <w:pPr>
              <w:jc w:val="left"/>
              <w:rPr>
                <w:color w:val="auto"/>
              </w:rPr>
            </w:pPr>
            <w:r>
              <w:rPr>
                <w:color w:val="auto"/>
              </w:rPr>
              <w:t>1</w:t>
            </w:r>
            <w:r>
              <w:rPr>
                <w:rFonts w:hint="eastAsia" w:ascii="宋体" w:hAnsi="宋体"/>
                <w:color w:val="auto"/>
              </w:rPr>
              <w:t>、保护失灵；</w:t>
            </w:r>
            <w:r>
              <w:rPr>
                <w:rFonts w:hint="eastAsia"/>
                <w:color w:val="auto"/>
              </w:rPr>
              <w:t>2</w:t>
            </w:r>
            <w:r>
              <w:rPr>
                <w:rFonts w:hint="eastAsia" w:ascii="宋体" w:hAnsi="宋体"/>
                <w:color w:val="auto"/>
              </w:rPr>
              <w:t>、信号不可靠动；</w:t>
            </w:r>
          </w:p>
          <w:p>
            <w:pPr>
              <w:pStyle w:val="92"/>
              <w:jc w:val="left"/>
              <w:rPr>
                <w:color w:val="auto"/>
              </w:rPr>
            </w:pPr>
            <w:r>
              <w:rPr>
                <w:rFonts w:hint="eastAsia"/>
                <w:color w:val="auto"/>
              </w:rPr>
              <w:t>3</w:t>
            </w:r>
            <w:r>
              <w:rPr>
                <w:rFonts w:hint="eastAsia" w:ascii="宋体" w:hAnsi="宋体"/>
                <w:color w:val="auto"/>
              </w:rPr>
              <w:t>、引起电流电压故障</w:t>
            </w:r>
          </w:p>
        </w:tc>
        <w:tc>
          <w:tcPr>
            <w:tcW w:w="720" w:type="dxa"/>
            <w:tcBorders>
              <w:top w:val="single" w:color="000000" w:sz="4" w:space="0"/>
              <w:left w:val="nil"/>
              <w:bottom w:val="single" w:color="000000" w:sz="4" w:space="0"/>
              <w:right w:val="single" w:color="000000" w:sz="4" w:space="0"/>
            </w:tcBorders>
            <w:vAlign w:val="center"/>
          </w:tcPr>
          <w:p>
            <w:pPr>
              <w:pStyle w:val="12"/>
              <w:spacing w:after="0"/>
              <w:ind w:left="0" w:leftChars="0"/>
              <w:jc w:val="left"/>
              <w:rPr>
                <w:color w:val="auto"/>
              </w:rPr>
            </w:pPr>
            <w:r>
              <w:rPr>
                <w:rFonts w:hint="eastAsia" w:ascii="宋体" w:hAnsi="宋体"/>
                <w:bCs/>
                <w:color w:val="auto"/>
              </w:rPr>
              <w:t>Ⅲ</w:t>
            </w:r>
          </w:p>
        </w:tc>
        <w:tc>
          <w:tcPr>
            <w:tcW w:w="3540" w:type="dxa"/>
            <w:tcBorders>
              <w:top w:val="single" w:color="000000" w:sz="4" w:space="0"/>
              <w:left w:val="nil"/>
              <w:bottom w:val="single" w:color="000000" w:sz="4" w:space="0"/>
              <w:right w:val="single" w:color="auto" w:sz="12" w:space="0"/>
            </w:tcBorders>
          </w:tcPr>
          <w:p>
            <w:pPr>
              <w:jc w:val="left"/>
              <w:rPr>
                <w:rFonts w:ascii="宋体" w:hAnsi="宋体"/>
                <w:color w:val="auto"/>
              </w:rPr>
            </w:pPr>
            <w:r>
              <w:rPr>
                <w:rFonts w:hint="eastAsia" w:ascii="宋体" w:hAnsi="宋体"/>
                <w:color w:val="auto"/>
              </w:rPr>
              <w:t>1、每一操作回路应分别由专用的直流熔断器供电。</w:t>
            </w:r>
          </w:p>
          <w:p>
            <w:pPr>
              <w:jc w:val="left"/>
              <w:rPr>
                <w:rFonts w:ascii="宋体" w:hAnsi="宋体"/>
                <w:color w:val="auto"/>
              </w:rPr>
            </w:pPr>
            <w:r>
              <w:rPr>
                <w:rFonts w:hint="eastAsia" w:ascii="宋体" w:hAnsi="宋体"/>
                <w:color w:val="auto"/>
              </w:rPr>
              <w:t>2、保护装置的直流回路由另一组直流熔断器供电。</w:t>
            </w:r>
          </w:p>
          <w:p>
            <w:pPr>
              <w:jc w:val="left"/>
              <w:rPr>
                <w:rFonts w:ascii="宋体" w:hAnsi="宋体"/>
                <w:color w:val="auto"/>
              </w:rPr>
            </w:pPr>
            <w:r>
              <w:rPr>
                <w:rFonts w:hint="eastAsia" w:ascii="宋体" w:hAnsi="宋体"/>
                <w:color w:val="auto"/>
              </w:rPr>
              <w:t>3、检修时严格按照规程，消除漏检项目，保证检修质量。</w:t>
            </w:r>
          </w:p>
          <w:p>
            <w:pPr>
              <w:jc w:val="left"/>
              <w:rPr>
                <w:rFonts w:ascii="宋体" w:hAnsi="宋体"/>
                <w:color w:val="auto"/>
              </w:rPr>
            </w:pPr>
            <w:r>
              <w:rPr>
                <w:rFonts w:hint="eastAsia" w:ascii="宋体" w:hAnsi="宋体"/>
                <w:color w:val="auto"/>
              </w:rPr>
              <w:t>4、跳（合）闸线圈的出口继电器跳（合）闸回路中串入电源自保持线圈。</w:t>
            </w:r>
          </w:p>
          <w:p>
            <w:pPr>
              <w:jc w:val="left"/>
              <w:rPr>
                <w:rFonts w:ascii="Calibri" w:hAnsi="Calibri"/>
                <w:color w:val="auto"/>
              </w:rPr>
            </w:pPr>
            <w:r>
              <w:rPr>
                <w:rFonts w:hint="eastAsia" w:ascii="宋体" w:hAnsi="宋体"/>
                <w:color w:val="auto"/>
              </w:rPr>
              <w:t>5、加强维护和检修人员的安全和技术素质，保证继电保护装置的正确动作。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tcBorders>
              <w:top w:val="single" w:color="000000" w:sz="4" w:space="0"/>
              <w:left w:val="single" w:color="auto" w:sz="12" w:space="0"/>
              <w:bottom w:val="single" w:color="000000" w:sz="4" w:space="0"/>
              <w:right w:val="single" w:color="000000" w:sz="4" w:space="0"/>
            </w:tcBorders>
            <w:vAlign w:val="center"/>
          </w:tcPr>
          <w:p>
            <w:pPr>
              <w:spacing w:line="340" w:lineRule="exact"/>
              <w:jc w:val="left"/>
              <w:rPr>
                <w:rFonts w:ascii="宋体" w:hAnsi="宋体"/>
                <w:color w:val="auto"/>
              </w:rPr>
            </w:pPr>
            <w:r>
              <w:rPr>
                <w:rFonts w:hint="eastAsia" w:ascii="宋体" w:hAnsi="宋体"/>
                <w:color w:val="auto"/>
              </w:rPr>
              <w:t>电气误操作</w:t>
            </w:r>
          </w:p>
        </w:tc>
        <w:tc>
          <w:tcPr>
            <w:tcW w:w="456" w:type="dxa"/>
            <w:tcBorders>
              <w:top w:val="single" w:color="000000" w:sz="4" w:space="0"/>
              <w:left w:val="nil"/>
              <w:bottom w:val="single" w:color="000000" w:sz="4" w:space="0"/>
              <w:right w:val="single" w:color="000000" w:sz="4" w:space="0"/>
            </w:tcBorders>
            <w:vAlign w:val="center"/>
          </w:tcPr>
          <w:p>
            <w:pPr>
              <w:pStyle w:val="12"/>
              <w:spacing w:after="0" w:line="340" w:lineRule="exact"/>
              <w:ind w:left="0" w:leftChars="0"/>
              <w:jc w:val="left"/>
              <w:rPr>
                <w:color w:val="auto"/>
              </w:rPr>
            </w:pPr>
          </w:p>
        </w:tc>
        <w:tc>
          <w:tcPr>
            <w:tcW w:w="3643" w:type="dxa"/>
            <w:tcBorders>
              <w:top w:val="single" w:color="000000" w:sz="4" w:space="0"/>
              <w:left w:val="nil"/>
              <w:bottom w:val="single" w:color="000000" w:sz="4" w:space="0"/>
              <w:right w:val="single" w:color="000000" w:sz="4" w:space="0"/>
            </w:tcBorders>
            <w:vAlign w:val="center"/>
          </w:tcPr>
          <w:p>
            <w:pPr>
              <w:spacing w:line="340" w:lineRule="exact"/>
              <w:jc w:val="left"/>
              <w:rPr>
                <w:rFonts w:ascii="宋体" w:hAnsi="宋体"/>
                <w:color w:val="auto"/>
              </w:rPr>
            </w:pPr>
            <w:r>
              <w:rPr>
                <w:rFonts w:hint="eastAsia"/>
                <w:color w:val="auto"/>
              </w:rPr>
              <w:t>1</w:t>
            </w:r>
            <w:r>
              <w:rPr>
                <w:rFonts w:hint="eastAsia" w:ascii="宋体" w:hAnsi="宋体"/>
                <w:color w:val="auto"/>
              </w:rPr>
              <w:t>、人员不严格执行操作票制度，违章操作；</w:t>
            </w:r>
          </w:p>
          <w:p>
            <w:pPr>
              <w:spacing w:line="340" w:lineRule="exact"/>
              <w:jc w:val="left"/>
              <w:rPr>
                <w:rFonts w:ascii="宋体" w:hAnsi="宋体"/>
                <w:color w:val="auto"/>
              </w:rPr>
            </w:pPr>
            <w:r>
              <w:rPr>
                <w:rFonts w:hint="eastAsia"/>
                <w:color w:val="auto"/>
              </w:rPr>
              <w:t>2</w:t>
            </w:r>
            <w:r>
              <w:rPr>
                <w:rFonts w:hint="eastAsia" w:ascii="宋体" w:hAnsi="宋体"/>
                <w:color w:val="auto"/>
              </w:rPr>
              <w:t>、运行检修人员误碰误动；</w:t>
            </w:r>
          </w:p>
          <w:p>
            <w:pPr>
              <w:spacing w:line="340" w:lineRule="exact"/>
              <w:jc w:val="left"/>
              <w:rPr>
                <w:rFonts w:ascii="宋体" w:hAnsi="宋体"/>
                <w:color w:val="auto"/>
              </w:rPr>
            </w:pPr>
            <w:r>
              <w:rPr>
                <w:rFonts w:hint="eastAsia"/>
                <w:color w:val="auto"/>
              </w:rPr>
              <w:t>3</w:t>
            </w:r>
            <w:r>
              <w:rPr>
                <w:rFonts w:hint="eastAsia" w:ascii="宋体" w:hAnsi="宋体"/>
                <w:color w:val="auto"/>
              </w:rPr>
              <w:t>、万用钥匙的管理规定不完善，在执行中不严肃认真；</w:t>
            </w:r>
          </w:p>
          <w:p>
            <w:pPr>
              <w:spacing w:line="340" w:lineRule="exact"/>
              <w:jc w:val="left"/>
              <w:rPr>
                <w:rFonts w:ascii="宋体" w:hAnsi="宋体"/>
                <w:color w:val="auto"/>
              </w:rPr>
            </w:pPr>
            <w:r>
              <w:rPr>
                <w:rFonts w:hint="eastAsia"/>
                <w:color w:val="auto"/>
              </w:rPr>
              <w:t>4</w:t>
            </w:r>
            <w:r>
              <w:rPr>
                <w:rFonts w:hint="eastAsia" w:ascii="宋体" w:hAnsi="宋体"/>
                <w:color w:val="auto"/>
              </w:rPr>
              <w:t>、技术措施不完备，主要是防误闭锁装置设置有疏漏，设备“五防”功能不全。</w:t>
            </w:r>
          </w:p>
        </w:tc>
        <w:tc>
          <w:tcPr>
            <w:tcW w:w="683" w:type="dxa"/>
            <w:tcBorders>
              <w:top w:val="single" w:color="000000" w:sz="4" w:space="0"/>
              <w:left w:val="nil"/>
              <w:bottom w:val="single" w:color="000000" w:sz="4" w:space="0"/>
              <w:right w:val="single" w:color="000000" w:sz="4" w:space="0"/>
            </w:tcBorders>
            <w:vAlign w:val="center"/>
          </w:tcPr>
          <w:p>
            <w:pPr>
              <w:pStyle w:val="92"/>
              <w:spacing w:line="340" w:lineRule="exact"/>
              <w:jc w:val="left"/>
              <w:rPr>
                <w:color w:val="auto"/>
              </w:rPr>
            </w:pPr>
            <w:r>
              <w:rPr>
                <w:rFonts w:hint="eastAsia" w:ascii="宋体" w:hAnsi="宋体"/>
                <w:color w:val="auto"/>
              </w:rPr>
              <w:t>设备损坏、人员伤害</w:t>
            </w:r>
          </w:p>
        </w:tc>
        <w:tc>
          <w:tcPr>
            <w:tcW w:w="720" w:type="dxa"/>
            <w:tcBorders>
              <w:top w:val="single" w:color="000000" w:sz="4" w:space="0"/>
              <w:left w:val="nil"/>
              <w:bottom w:val="single" w:color="000000" w:sz="4" w:space="0"/>
              <w:right w:val="single" w:color="000000" w:sz="4" w:space="0"/>
            </w:tcBorders>
            <w:vAlign w:val="center"/>
          </w:tcPr>
          <w:p>
            <w:pPr>
              <w:pStyle w:val="12"/>
              <w:spacing w:after="0" w:line="340" w:lineRule="exact"/>
              <w:ind w:left="0" w:leftChars="0"/>
              <w:jc w:val="left"/>
              <w:rPr>
                <w:color w:val="auto"/>
              </w:rPr>
            </w:pPr>
            <w:r>
              <w:rPr>
                <w:rFonts w:hint="eastAsia" w:ascii="宋体" w:hAnsi="宋体"/>
                <w:color w:val="auto"/>
              </w:rPr>
              <w:t>Ⅱ</w:t>
            </w:r>
          </w:p>
        </w:tc>
        <w:tc>
          <w:tcPr>
            <w:tcW w:w="3540" w:type="dxa"/>
            <w:tcBorders>
              <w:top w:val="single" w:color="000000" w:sz="4" w:space="0"/>
              <w:left w:val="nil"/>
              <w:bottom w:val="single" w:color="000000" w:sz="4" w:space="0"/>
              <w:right w:val="single" w:color="auto" w:sz="12" w:space="0"/>
            </w:tcBorders>
          </w:tcPr>
          <w:p>
            <w:pPr>
              <w:spacing w:line="340" w:lineRule="exact"/>
              <w:jc w:val="left"/>
              <w:rPr>
                <w:rFonts w:ascii="宋体" w:hAnsi="宋体"/>
                <w:color w:val="auto"/>
              </w:rPr>
            </w:pPr>
            <w:r>
              <w:rPr>
                <w:rFonts w:hint="eastAsia"/>
                <w:color w:val="auto"/>
              </w:rPr>
              <w:t>1</w:t>
            </w:r>
            <w:r>
              <w:rPr>
                <w:rFonts w:hint="eastAsia" w:ascii="宋体" w:hAnsi="宋体"/>
                <w:color w:val="auto"/>
              </w:rPr>
              <w:t>、在操作过程中，应严格执行《电力安全工作规程》的有关规定和“两票”制度；</w:t>
            </w:r>
          </w:p>
          <w:p>
            <w:pPr>
              <w:spacing w:line="340" w:lineRule="exact"/>
              <w:jc w:val="left"/>
              <w:rPr>
                <w:rFonts w:ascii="宋体" w:hAnsi="宋体"/>
                <w:color w:val="auto"/>
              </w:rPr>
            </w:pPr>
            <w:r>
              <w:rPr>
                <w:rFonts w:hint="eastAsia"/>
                <w:color w:val="auto"/>
              </w:rPr>
              <w:t>2</w:t>
            </w:r>
            <w:r>
              <w:rPr>
                <w:rFonts w:hint="eastAsia" w:ascii="宋体" w:hAnsi="宋体"/>
                <w:color w:val="auto"/>
              </w:rPr>
              <w:t>、规范电气安全工器具的管理，对安全用具应根据安全用具的有关规定，定期试验，合格后方可继续使用；</w:t>
            </w:r>
          </w:p>
          <w:p>
            <w:pPr>
              <w:spacing w:line="340" w:lineRule="exact"/>
              <w:jc w:val="left"/>
              <w:rPr>
                <w:rFonts w:ascii="宋体" w:hAnsi="宋体"/>
                <w:color w:val="auto"/>
              </w:rPr>
            </w:pPr>
            <w:r>
              <w:rPr>
                <w:rFonts w:hint="eastAsia"/>
                <w:color w:val="auto"/>
              </w:rPr>
              <w:t>3</w:t>
            </w:r>
            <w:r>
              <w:rPr>
                <w:rFonts w:hint="eastAsia" w:ascii="宋体" w:hAnsi="宋体"/>
                <w:color w:val="auto"/>
              </w:rPr>
              <w:t>、加强防误装置的管理。保证防误装置安装率、完好率、投入率</w:t>
            </w:r>
            <w:r>
              <w:rPr>
                <w:rFonts w:hint="eastAsia"/>
                <w:color w:val="auto"/>
              </w:rPr>
              <w:t>100%</w:t>
            </w:r>
            <w:r>
              <w:rPr>
                <w:rFonts w:hint="eastAsia" w:ascii="宋体" w:hAnsi="宋体"/>
                <w:color w:val="auto"/>
              </w:rPr>
              <w:t>；</w:t>
            </w:r>
          </w:p>
          <w:p>
            <w:pPr>
              <w:spacing w:line="340" w:lineRule="exact"/>
              <w:jc w:val="left"/>
              <w:rPr>
                <w:rFonts w:ascii="宋体" w:hAnsi="宋体"/>
                <w:color w:val="auto"/>
              </w:rPr>
            </w:pPr>
            <w:r>
              <w:rPr>
                <w:rFonts w:hint="eastAsia"/>
                <w:color w:val="auto"/>
              </w:rPr>
              <w:t>4</w:t>
            </w:r>
            <w:r>
              <w:rPr>
                <w:rFonts w:hint="eastAsia" w:ascii="宋体" w:hAnsi="宋体"/>
                <w:color w:val="auto"/>
              </w:rPr>
              <w:t>、现场设备都应有明显、清晰的名称、编号及色标；</w:t>
            </w:r>
          </w:p>
          <w:p>
            <w:pPr>
              <w:spacing w:line="340" w:lineRule="exact"/>
              <w:jc w:val="left"/>
              <w:rPr>
                <w:rFonts w:ascii="宋体" w:hAnsi="宋体"/>
                <w:color w:val="auto"/>
              </w:rPr>
            </w:pPr>
            <w:r>
              <w:rPr>
                <w:rFonts w:hint="eastAsia"/>
                <w:color w:val="auto"/>
              </w:rPr>
              <w:t>5</w:t>
            </w:r>
            <w:r>
              <w:rPr>
                <w:rFonts w:hint="eastAsia" w:ascii="宋体" w:hAnsi="宋体"/>
                <w:color w:val="auto"/>
              </w:rPr>
              <w:t>、严格紧急解锁钥匙使用的管理，使用必须经过批准，确认无误，在监护下使用。</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409" w:type="dxa"/>
            <w:tcBorders>
              <w:top w:val="single" w:color="000000" w:sz="4" w:space="0"/>
              <w:left w:val="single" w:color="auto" w:sz="12" w:space="0"/>
              <w:bottom w:val="single" w:color="000000" w:sz="4" w:space="0"/>
              <w:right w:val="single" w:color="000000" w:sz="4" w:space="0"/>
            </w:tcBorders>
            <w:vAlign w:val="center"/>
          </w:tcPr>
          <w:p>
            <w:pPr>
              <w:jc w:val="left"/>
              <w:rPr>
                <w:rFonts w:ascii="宋体" w:hAnsi="宋体"/>
                <w:color w:val="auto"/>
              </w:rPr>
            </w:pPr>
            <w:r>
              <w:rPr>
                <w:rFonts w:hint="eastAsia" w:ascii="宋体" w:hAnsi="宋体"/>
                <w:color w:val="auto"/>
              </w:rPr>
              <w:t>无功电容器爆炸</w:t>
            </w:r>
          </w:p>
        </w:tc>
        <w:tc>
          <w:tcPr>
            <w:tcW w:w="456" w:type="dxa"/>
            <w:tcBorders>
              <w:top w:val="single" w:color="000000" w:sz="4" w:space="0"/>
              <w:left w:val="nil"/>
              <w:bottom w:val="single" w:color="000000" w:sz="4" w:space="0"/>
              <w:right w:val="single" w:color="000000" w:sz="4" w:space="0"/>
            </w:tcBorders>
            <w:vAlign w:val="center"/>
          </w:tcPr>
          <w:p>
            <w:pPr>
              <w:pStyle w:val="12"/>
              <w:spacing w:after="0"/>
              <w:ind w:left="0" w:leftChars="0"/>
              <w:jc w:val="left"/>
              <w:rPr>
                <w:color w:val="auto"/>
              </w:rPr>
            </w:pPr>
          </w:p>
        </w:tc>
        <w:tc>
          <w:tcPr>
            <w:tcW w:w="3643" w:type="dxa"/>
            <w:tcBorders>
              <w:top w:val="single" w:color="000000" w:sz="4" w:space="0"/>
              <w:left w:val="nil"/>
              <w:bottom w:val="single" w:color="000000" w:sz="4" w:space="0"/>
              <w:right w:val="single" w:color="000000" w:sz="4" w:space="0"/>
            </w:tcBorders>
            <w:vAlign w:val="center"/>
          </w:tcPr>
          <w:p>
            <w:pPr>
              <w:jc w:val="left"/>
              <w:rPr>
                <w:rFonts w:ascii="宋体" w:hAnsi="宋体"/>
                <w:color w:val="auto"/>
              </w:rPr>
            </w:pPr>
            <w:r>
              <w:rPr>
                <w:rFonts w:hint="eastAsia"/>
                <w:color w:val="auto"/>
              </w:rPr>
              <w:t>1</w:t>
            </w:r>
            <w:r>
              <w:rPr>
                <w:rFonts w:hint="eastAsia" w:ascii="宋体" w:hAnsi="宋体"/>
                <w:color w:val="auto"/>
              </w:rPr>
              <w:t>、电容器漏电流过大被击穿；</w:t>
            </w:r>
          </w:p>
          <w:p>
            <w:pPr>
              <w:jc w:val="left"/>
              <w:rPr>
                <w:rFonts w:ascii="宋体" w:hAnsi="宋体"/>
                <w:color w:val="auto"/>
              </w:rPr>
            </w:pPr>
            <w:r>
              <w:rPr>
                <w:rFonts w:hint="eastAsia"/>
                <w:color w:val="auto"/>
              </w:rPr>
              <w:t>2</w:t>
            </w:r>
            <w:r>
              <w:rPr>
                <w:rFonts w:hint="eastAsia" w:ascii="宋体" w:hAnsi="宋体"/>
                <w:color w:val="auto"/>
              </w:rPr>
              <w:t>、电容器在短时间内产生较大的热能；</w:t>
            </w:r>
          </w:p>
          <w:p>
            <w:pPr>
              <w:jc w:val="left"/>
              <w:rPr>
                <w:rFonts w:ascii="宋体" w:hAnsi="宋体"/>
                <w:color w:val="auto"/>
              </w:rPr>
            </w:pPr>
            <w:r>
              <w:rPr>
                <w:rFonts w:hint="eastAsia"/>
                <w:color w:val="auto"/>
              </w:rPr>
              <w:t>3</w:t>
            </w:r>
            <w:r>
              <w:rPr>
                <w:rFonts w:hint="eastAsia" w:ascii="宋体" w:hAnsi="宋体"/>
                <w:color w:val="auto"/>
              </w:rPr>
              <w:t>、温升过高。</w:t>
            </w:r>
          </w:p>
        </w:tc>
        <w:tc>
          <w:tcPr>
            <w:tcW w:w="683" w:type="dxa"/>
            <w:tcBorders>
              <w:top w:val="single" w:color="000000" w:sz="4" w:space="0"/>
              <w:left w:val="nil"/>
              <w:bottom w:val="single" w:color="000000" w:sz="4" w:space="0"/>
              <w:right w:val="single" w:color="000000" w:sz="4" w:space="0"/>
            </w:tcBorders>
            <w:vAlign w:val="center"/>
          </w:tcPr>
          <w:p>
            <w:pPr>
              <w:pStyle w:val="92"/>
              <w:jc w:val="left"/>
              <w:rPr>
                <w:color w:val="auto"/>
              </w:rPr>
            </w:pPr>
            <w:r>
              <w:rPr>
                <w:rFonts w:hint="eastAsia" w:ascii="宋体" w:hAnsi="宋体"/>
                <w:color w:val="auto"/>
              </w:rPr>
              <w:t>设备损坏、人员伤害</w:t>
            </w:r>
          </w:p>
        </w:tc>
        <w:tc>
          <w:tcPr>
            <w:tcW w:w="720" w:type="dxa"/>
            <w:tcBorders>
              <w:top w:val="single" w:color="000000" w:sz="4" w:space="0"/>
              <w:left w:val="nil"/>
              <w:bottom w:val="single" w:color="000000" w:sz="4" w:space="0"/>
              <w:right w:val="single" w:color="000000" w:sz="4" w:space="0"/>
            </w:tcBorders>
            <w:vAlign w:val="center"/>
          </w:tcPr>
          <w:p>
            <w:pPr>
              <w:pStyle w:val="12"/>
              <w:spacing w:after="0"/>
              <w:ind w:left="0" w:leftChars="0"/>
              <w:jc w:val="left"/>
              <w:rPr>
                <w:rFonts w:ascii="宋体" w:hAnsi="宋体"/>
                <w:color w:val="auto"/>
              </w:rPr>
            </w:pPr>
            <w:r>
              <w:rPr>
                <w:rFonts w:hint="eastAsia" w:ascii="宋体" w:hAnsi="宋体"/>
                <w:color w:val="auto"/>
              </w:rPr>
              <w:t>Ⅱ</w:t>
            </w:r>
          </w:p>
        </w:tc>
        <w:tc>
          <w:tcPr>
            <w:tcW w:w="3540" w:type="dxa"/>
            <w:tcBorders>
              <w:top w:val="single" w:color="000000" w:sz="4" w:space="0"/>
              <w:left w:val="nil"/>
              <w:bottom w:val="single" w:color="000000" w:sz="4" w:space="0"/>
              <w:right w:val="single" w:color="auto" w:sz="12" w:space="0"/>
            </w:tcBorders>
          </w:tcPr>
          <w:p>
            <w:pPr>
              <w:jc w:val="left"/>
              <w:rPr>
                <w:rFonts w:ascii="宋体" w:hAnsi="宋体"/>
                <w:color w:val="auto"/>
              </w:rPr>
            </w:pPr>
            <w:r>
              <w:rPr>
                <w:rFonts w:hint="eastAsia"/>
                <w:color w:val="auto"/>
              </w:rPr>
              <w:t>1</w:t>
            </w:r>
            <w:r>
              <w:rPr>
                <w:rFonts w:hint="eastAsia" w:ascii="宋体" w:hAnsi="宋体"/>
                <w:color w:val="auto"/>
              </w:rPr>
              <w:t>、在每组每相上安装快速熔断器；</w:t>
            </w:r>
          </w:p>
          <w:p>
            <w:pPr>
              <w:jc w:val="left"/>
              <w:rPr>
                <w:rFonts w:ascii="宋体" w:hAnsi="宋体"/>
                <w:color w:val="auto"/>
              </w:rPr>
            </w:pPr>
            <w:r>
              <w:rPr>
                <w:rFonts w:hint="eastAsia"/>
                <w:color w:val="auto"/>
              </w:rPr>
              <w:t>2</w:t>
            </w:r>
            <w:r>
              <w:rPr>
                <w:rFonts w:hint="eastAsia" w:ascii="宋体" w:hAnsi="宋体"/>
                <w:color w:val="auto"/>
              </w:rPr>
              <w:t>、在补偿器的每相上安装一电流表，当发现三相电流不平衡时，补偿柜立即运行、检查、找出漏电流过大或被击穿的电容器；</w:t>
            </w:r>
          </w:p>
          <w:p>
            <w:pPr>
              <w:jc w:val="left"/>
              <w:rPr>
                <w:rFonts w:ascii="宋体" w:hAnsi="宋体"/>
                <w:color w:val="auto"/>
              </w:rPr>
            </w:pPr>
            <w:r>
              <w:rPr>
                <w:rFonts w:hint="eastAsia"/>
                <w:color w:val="auto"/>
              </w:rPr>
              <w:t>3</w:t>
            </w:r>
            <w:r>
              <w:rPr>
                <w:rFonts w:hint="eastAsia" w:ascii="宋体" w:hAnsi="宋体"/>
                <w:color w:val="auto"/>
              </w:rPr>
              <w:t>、定期监视电容器的温升情况；</w:t>
            </w:r>
          </w:p>
          <w:p>
            <w:pPr>
              <w:jc w:val="left"/>
              <w:rPr>
                <w:rFonts w:ascii="宋体" w:hAnsi="宋体"/>
                <w:color w:val="auto"/>
              </w:rPr>
            </w:pPr>
            <w:r>
              <w:rPr>
                <w:rFonts w:hint="eastAsia"/>
                <w:color w:val="auto"/>
              </w:rPr>
              <w:t>4</w:t>
            </w:r>
            <w:r>
              <w:rPr>
                <w:rFonts w:hint="eastAsia" w:ascii="宋体" w:hAnsi="宋体"/>
                <w:color w:val="auto"/>
              </w:rPr>
              <w:t>、加强对电容器组的巡视检查。</w:t>
            </w:r>
          </w:p>
        </w:tc>
      </w:tr>
    </w:tbl>
    <w:p>
      <w:pPr>
        <w:spacing w:line="360" w:lineRule="auto"/>
        <w:ind w:firstLine="560" w:firstLineChars="200"/>
        <w:jc w:val="left"/>
        <w:rPr>
          <w:rFonts w:ascii="黑体" w:hAnsi="黑体" w:eastAsia="黑体"/>
          <w:color w:val="auto"/>
          <w:sz w:val="28"/>
          <w:szCs w:val="28"/>
        </w:rPr>
      </w:pPr>
    </w:p>
    <w:p>
      <w:pPr>
        <w:spacing w:line="360" w:lineRule="auto"/>
        <w:ind w:firstLine="560" w:firstLineChars="200"/>
        <w:jc w:val="left"/>
        <w:rPr>
          <w:rFonts w:ascii="黑体" w:hAnsi="黑体" w:eastAsia="黑体" w:cs="Calibri"/>
          <w:color w:val="auto"/>
          <w:sz w:val="28"/>
          <w:szCs w:val="28"/>
        </w:rPr>
      </w:pPr>
      <w:r>
        <w:rPr>
          <w:rFonts w:ascii="黑体" w:hAnsi="黑体" w:eastAsia="黑体"/>
          <w:color w:val="auto"/>
          <w:sz w:val="28"/>
          <w:szCs w:val="28"/>
        </w:rPr>
        <w:t>2</w:t>
      </w:r>
      <w:r>
        <w:rPr>
          <w:rFonts w:hint="eastAsia" w:ascii="黑体" w:hAnsi="黑体" w:eastAsia="黑体"/>
          <w:color w:val="auto"/>
          <w:sz w:val="28"/>
          <w:szCs w:val="28"/>
        </w:rPr>
        <w:t>.评价小结</w:t>
      </w:r>
    </w:p>
    <w:p>
      <w:pPr>
        <w:ind w:firstLine="560" w:firstLineChars="200"/>
        <w:rPr>
          <w:color w:val="auto"/>
          <w:sz w:val="28"/>
          <w:szCs w:val="28"/>
        </w:rPr>
      </w:pPr>
      <w:r>
        <w:rPr>
          <w:rFonts w:hint="eastAsia" w:ascii="宋体" w:hAnsi="宋体"/>
          <w:color w:val="auto"/>
          <w:kern w:val="0"/>
          <w:sz w:val="28"/>
          <w:szCs w:val="28"/>
        </w:rPr>
        <w:t>通过预先危险分析，电气子单元主要危险、有害因素为：火灾、爆炸、继电保护动作异常危险程度为Ⅲ级（危险的），会造成人员伤亡和系统损坏，要立即采取防范对策措施；触电、电气误操作、无功电容器爆炸危险程度为Ⅱ级（临界的），处于事故的边缘状态，暂时还不会造成人员伤亡、系统损坏降低系统性能，但应予排除或采取控制措施。</w:t>
      </w:r>
    </w:p>
    <w:p>
      <w:pPr>
        <w:keepNext/>
        <w:keepLines/>
        <w:spacing w:line="600" w:lineRule="exact"/>
        <w:jc w:val="left"/>
        <w:outlineLvl w:val="2"/>
        <w:rPr>
          <w:rFonts w:ascii="Calibri" w:hAnsi="Calibri"/>
          <w:b/>
          <w:color w:val="auto"/>
          <w:sz w:val="28"/>
          <w:szCs w:val="32"/>
        </w:rPr>
      </w:pPr>
      <w:bookmarkStart w:id="280" w:name="_Toc144109261"/>
      <w:r>
        <w:rPr>
          <w:rFonts w:hint="eastAsia" w:ascii="Calibri" w:hAnsi="Calibri"/>
          <w:b/>
          <w:color w:val="auto"/>
          <w:sz w:val="28"/>
          <w:szCs w:val="32"/>
        </w:rPr>
        <w:t>C.</w:t>
      </w:r>
      <w:r>
        <w:rPr>
          <w:rFonts w:ascii="Calibri" w:hAnsi="Calibri"/>
          <w:b/>
          <w:color w:val="auto"/>
          <w:sz w:val="28"/>
          <w:szCs w:val="32"/>
        </w:rPr>
        <w:t>1.4</w:t>
      </w:r>
      <w:r>
        <w:rPr>
          <w:rFonts w:hint="eastAsia" w:ascii="Calibri" w:hAnsi="Calibri"/>
          <w:b/>
          <w:color w:val="auto"/>
          <w:sz w:val="28"/>
          <w:szCs w:val="32"/>
        </w:rPr>
        <w:t>.</w:t>
      </w:r>
      <w:r>
        <w:rPr>
          <w:rFonts w:ascii="Calibri" w:hAnsi="Calibri"/>
          <w:b/>
          <w:color w:val="auto"/>
          <w:sz w:val="28"/>
          <w:szCs w:val="32"/>
        </w:rPr>
        <w:t>2</w:t>
      </w:r>
      <w:r>
        <w:rPr>
          <w:rFonts w:hint="eastAsia" w:ascii="Calibri" w:hAnsi="Calibri"/>
          <w:b/>
          <w:color w:val="auto"/>
          <w:sz w:val="28"/>
          <w:szCs w:val="32"/>
        </w:rPr>
        <w:t xml:space="preserve"> 仪表自动控制系统子单元评价</w:t>
      </w:r>
      <w:bookmarkEnd w:id="280"/>
    </w:p>
    <w:p>
      <w:pPr>
        <w:ind w:firstLine="560" w:firstLineChars="200"/>
        <w:rPr>
          <w:rFonts w:ascii="宋体" w:hAnsi="宋体"/>
          <w:color w:val="auto"/>
          <w:sz w:val="28"/>
          <w:szCs w:val="28"/>
        </w:rPr>
      </w:pPr>
      <w:r>
        <w:rPr>
          <w:rFonts w:hint="eastAsia" w:ascii="宋体" w:hAnsi="宋体"/>
          <w:color w:val="auto"/>
          <w:sz w:val="28"/>
          <w:szCs w:val="28"/>
        </w:rPr>
        <w:t>1.预先危险分析</w:t>
      </w:r>
    </w:p>
    <w:p>
      <w:pPr>
        <w:ind w:firstLine="560" w:firstLineChars="200"/>
        <w:rPr>
          <w:color w:val="auto"/>
          <w:sz w:val="28"/>
          <w:szCs w:val="28"/>
        </w:rPr>
      </w:pPr>
      <w:r>
        <w:rPr>
          <w:rFonts w:hint="eastAsia" w:ascii="宋体" w:hAnsi="宋体"/>
          <w:color w:val="auto"/>
          <w:sz w:val="28"/>
          <w:szCs w:val="28"/>
        </w:rPr>
        <w:t>采用预先危险分析法（PHA）对本子单元进行分析评价，具体情况见表C</w:t>
      </w:r>
      <w:r>
        <w:rPr>
          <w:rFonts w:ascii="宋体" w:hAnsi="宋体"/>
          <w:color w:val="auto"/>
          <w:sz w:val="28"/>
          <w:szCs w:val="28"/>
        </w:rPr>
        <w:t>.1-14</w:t>
      </w:r>
      <w:r>
        <w:rPr>
          <w:rFonts w:hint="eastAsia" w:ascii="宋体" w:hAnsi="宋体"/>
          <w:color w:val="auto"/>
          <w:sz w:val="28"/>
          <w:szCs w:val="28"/>
        </w:rPr>
        <w:t>。</w:t>
      </w:r>
    </w:p>
    <w:p>
      <w:pPr>
        <w:ind w:firstLine="472" w:firstLineChars="200"/>
        <w:jc w:val="center"/>
        <w:rPr>
          <w:rFonts w:ascii="宋体" w:hAnsi="宋体" w:cs="Courier New"/>
          <w:color w:val="auto"/>
          <w:spacing w:val="-2"/>
          <w:sz w:val="24"/>
          <w:szCs w:val="24"/>
        </w:rPr>
      </w:pPr>
      <w:r>
        <w:rPr>
          <w:rFonts w:hint="eastAsia" w:ascii="宋体" w:hAnsi="宋体" w:cs="Courier New"/>
          <w:color w:val="auto"/>
          <w:spacing w:val="-2"/>
          <w:sz w:val="24"/>
          <w:szCs w:val="24"/>
        </w:rPr>
        <w:t>表C</w:t>
      </w:r>
      <w:r>
        <w:rPr>
          <w:rFonts w:ascii="宋体" w:hAnsi="宋体" w:cs="Courier New"/>
          <w:color w:val="auto"/>
          <w:spacing w:val="-2"/>
          <w:sz w:val="24"/>
          <w:szCs w:val="24"/>
        </w:rPr>
        <w:t>.1-14</w:t>
      </w:r>
      <w:r>
        <w:rPr>
          <w:rFonts w:hint="eastAsia" w:ascii="宋体" w:hAnsi="宋体" w:cs="Courier New"/>
          <w:color w:val="auto"/>
          <w:spacing w:val="-2"/>
          <w:sz w:val="24"/>
          <w:szCs w:val="24"/>
        </w:rPr>
        <w:t xml:space="preserve"> 仪表自动控制子单元预先危险分析</w:t>
      </w:r>
    </w:p>
    <w:tbl>
      <w:tblPr>
        <w:tblStyle w:val="31"/>
        <w:tblW w:w="92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676"/>
        <w:gridCol w:w="3027"/>
        <w:gridCol w:w="683"/>
        <w:gridCol w:w="713"/>
        <w:gridCol w:w="35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op w:val="single" w:color="auto" w:sz="12" w:space="0"/>
              <w:left w:val="single" w:color="auto" w:sz="12" w:space="0"/>
              <w:bottom w:val="single" w:color="auto" w:sz="12" w:space="0"/>
              <w:right w:val="single" w:color="auto" w:sz="4" w:space="0"/>
            </w:tcBorders>
            <w:vAlign w:val="center"/>
          </w:tcPr>
          <w:p>
            <w:pPr>
              <w:jc w:val="center"/>
              <w:rPr>
                <w:rFonts w:ascii="宋体" w:hAnsi="宋体"/>
                <w:color w:val="auto"/>
              </w:rPr>
            </w:pPr>
            <w:r>
              <w:rPr>
                <w:rFonts w:hint="eastAsia" w:ascii="宋体" w:hAnsi="宋体"/>
                <w:color w:val="auto"/>
              </w:rPr>
              <w:t>事故</w:t>
            </w:r>
          </w:p>
        </w:tc>
        <w:tc>
          <w:tcPr>
            <w:tcW w:w="676"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阶段</w:t>
            </w:r>
          </w:p>
        </w:tc>
        <w:tc>
          <w:tcPr>
            <w:tcW w:w="3027"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原因</w:t>
            </w:r>
          </w:p>
        </w:tc>
        <w:tc>
          <w:tcPr>
            <w:tcW w:w="683"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事故后果</w:t>
            </w:r>
          </w:p>
        </w:tc>
        <w:tc>
          <w:tcPr>
            <w:tcW w:w="713"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危险等级</w:t>
            </w:r>
          </w:p>
        </w:tc>
        <w:tc>
          <w:tcPr>
            <w:tcW w:w="3525" w:type="dxa"/>
            <w:tcBorders>
              <w:top w:val="single" w:color="auto" w:sz="12" w:space="0"/>
              <w:left w:val="nil"/>
              <w:bottom w:val="single" w:color="auto" w:sz="12" w:space="0"/>
              <w:right w:val="single" w:color="auto" w:sz="12" w:space="0"/>
            </w:tcBorders>
            <w:vAlign w:val="center"/>
          </w:tcPr>
          <w:p>
            <w:pPr>
              <w:spacing w:line="330" w:lineRule="exact"/>
              <w:jc w:val="center"/>
              <w:rPr>
                <w:rFonts w:ascii="宋体" w:hAnsi="宋体"/>
                <w:color w:val="auto"/>
              </w:rPr>
            </w:pPr>
            <w:r>
              <w:rPr>
                <w:rFonts w:hint="eastAsia" w:ascii="宋体" w:hAnsi="宋体"/>
                <w:color w:val="auto"/>
              </w:rPr>
              <w:t>措施建议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op w:val="single" w:color="auto" w:sz="12" w:space="0"/>
              <w:left w:val="single" w:color="auto" w:sz="12" w:space="0"/>
              <w:bottom w:val="single" w:color="auto" w:sz="12" w:space="0"/>
              <w:right w:val="single" w:color="auto" w:sz="4" w:space="0"/>
            </w:tcBorders>
            <w:vAlign w:val="center"/>
          </w:tcPr>
          <w:p>
            <w:pPr>
              <w:jc w:val="center"/>
              <w:rPr>
                <w:rFonts w:ascii="宋体" w:hAnsi="宋体"/>
                <w:color w:val="auto"/>
              </w:rPr>
            </w:pPr>
            <w:r>
              <w:rPr>
                <w:rFonts w:hint="eastAsia" w:ascii="宋体" w:hAnsi="宋体"/>
                <w:color w:val="auto"/>
                <w:spacing w:val="-6"/>
              </w:rPr>
              <w:t>（控制室）火灾</w:t>
            </w:r>
          </w:p>
        </w:tc>
        <w:tc>
          <w:tcPr>
            <w:tcW w:w="676"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sz w:val="23"/>
                <w:szCs w:val="23"/>
              </w:rPr>
              <w:t>运行</w:t>
            </w:r>
          </w:p>
        </w:tc>
        <w:tc>
          <w:tcPr>
            <w:tcW w:w="3027" w:type="dxa"/>
            <w:tcBorders>
              <w:top w:val="single" w:color="auto" w:sz="12" w:space="0"/>
              <w:left w:val="nil"/>
              <w:bottom w:val="single" w:color="auto" w:sz="12" w:space="0"/>
              <w:right w:val="single" w:color="auto" w:sz="4" w:space="0"/>
            </w:tcBorders>
            <w:vAlign w:val="center"/>
          </w:tcPr>
          <w:p>
            <w:pPr>
              <w:pStyle w:val="92"/>
              <w:spacing w:line="330" w:lineRule="exact"/>
              <w:jc w:val="left"/>
              <w:rPr>
                <w:rFonts w:ascii="宋体" w:hAnsi="宋体"/>
                <w:color w:val="auto"/>
              </w:rPr>
            </w:pPr>
            <w:r>
              <w:rPr>
                <w:rFonts w:hint="eastAsia" w:ascii="宋体" w:hAnsi="宋体"/>
                <w:color w:val="auto"/>
              </w:rPr>
              <w:t>1、控制室内的电气、控制电线选型不当或不符合安装规定要求，因短路、超负荷等引发火灾事故；</w:t>
            </w:r>
          </w:p>
          <w:p>
            <w:pPr>
              <w:pStyle w:val="92"/>
              <w:spacing w:line="330" w:lineRule="exact"/>
              <w:jc w:val="left"/>
              <w:rPr>
                <w:rFonts w:ascii="宋体" w:hAnsi="宋体"/>
                <w:color w:val="auto"/>
              </w:rPr>
            </w:pPr>
            <w:r>
              <w:rPr>
                <w:rFonts w:hint="eastAsia" w:ascii="宋体" w:hAnsi="宋体"/>
                <w:color w:val="auto"/>
              </w:rPr>
              <w:t>2、计算机发生故障，造成绝缘被击穿，稳压电源短路或高阻抗元件接触不良等发热而着火；</w:t>
            </w:r>
          </w:p>
          <w:p>
            <w:pPr>
              <w:spacing w:line="330" w:lineRule="exact"/>
              <w:rPr>
                <w:color w:val="auto"/>
              </w:rPr>
            </w:pPr>
            <w:r>
              <w:rPr>
                <w:rFonts w:hint="eastAsia" w:ascii="宋体" w:hAnsi="宋体"/>
                <w:color w:val="auto"/>
              </w:rPr>
              <w:t>3、控制室内装修采用大量的木板、胶合板、塑料板等可燃物，易引起火势的蔓延与扩大。</w:t>
            </w:r>
          </w:p>
          <w:p>
            <w:pPr>
              <w:pStyle w:val="92"/>
              <w:spacing w:line="330" w:lineRule="exact"/>
              <w:jc w:val="left"/>
              <w:rPr>
                <w:rFonts w:ascii="宋体" w:hAnsi="宋体"/>
                <w:color w:val="auto"/>
              </w:rPr>
            </w:pPr>
            <w:r>
              <w:rPr>
                <w:rFonts w:hint="eastAsia" w:ascii="宋体" w:hAnsi="宋体"/>
                <w:color w:val="auto"/>
              </w:rPr>
              <w:t>4、防雷、防静电措施不当或失效</w:t>
            </w:r>
          </w:p>
          <w:p>
            <w:pPr>
              <w:spacing w:line="330" w:lineRule="exact"/>
              <w:rPr>
                <w:color w:val="auto"/>
              </w:rPr>
            </w:pPr>
            <w:r>
              <w:rPr>
                <w:rFonts w:hint="eastAsia" w:ascii="宋体" w:hAnsi="宋体"/>
                <w:color w:val="auto"/>
              </w:rPr>
              <w:t>5、接地电阻值不符合规范要求</w:t>
            </w:r>
          </w:p>
        </w:tc>
        <w:tc>
          <w:tcPr>
            <w:tcW w:w="683"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人员伤亡设备损坏</w:t>
            </w:r>
          </w:p>
        </w:tc>
        <w:tc>
          <w:tcPr>
            <w:tcW w:w="713"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Ⅲ</w:t>
            </w:r>
          </w:p>
        </w:tc>
        <w:tc>
          <w:tcPr>
            <w:tcW w:w="3525" w:type="dxa"/>
            <w:tcBorders>
              <w:top w:val="single" w:color="auto" w:sz="12" w:space="0"/>
              <w:left w:val="nil"/>
              <w:bottom w:val="single" w:color="auto" w:sz="12" w:space="0"/>
              <w:right w:val="single" w:color="auto" w:sz="12" w:space="0"/>
            </w:tcBorders>
            <w:vAlign w:val="center"/>
          </w:tcPr>
          <w:p>
            <w:pPr>
              <w:spacing w:line="330" w:lineRule="exact"/>
              <w:rPr>
                <w:rFonts w:ascii="宋体" w:hAnsi="宋体"/>
                <w:color w:val="auto"/>
              </w:rPr>
            </w:pPr>
            <w:r>
              <w:rPr>
                <w:rFonts w:hint="eastAsia" w:ascii="宋体" w:hAnsi="宋体"/>
                <w:color w:val="auto"/>
              </w:rPr>
              <w:t>1．加强日常维护，计算机系统的信号线、电源电缆和地线等分开铺设，控制室外应有良好的防雷设施；</w:t>
            </w:r>
          </w:p>
          <w:p>
            <w:pPr>
              <w:spacing w:line="330" w:lineRule="exact"/>
              <w:rPr>
                <w:rFonts w:ascii="宋体" w:hAnsi="宋体"/>
                <w:color w:val="auto"/>
              </w:rPr>
            </w:pPr>
            <w:r>
              <w:rPr>
                <w:rFonts w:hint="eastAsia" w:ascii="宋体" w:hAnsi="宋体"/>
                <w:color w:val="auto"/>
              </w:rPr>
              <w:t>2、电气、控制设备的安装、检修、改线，应符合防火要求；</w:t>
            </w:r>
          </w:p>
          <w:p>
            <w:pPr>
              <w:spacing w:line="330" w:lineRule="exact"/>
              <w:rPr>
                <w:rFonts w:ascii="宋体" w:hAnsi="宋体"/>
                <w:color w:val="auto"/>
              </w:rPr>
            </w:pPr>
            <w:r>
              <w:rPr>
                <w:rFonts w:hint="eastAsia" w:ascii="宋体" w:hAnsi="宋体"/>
                <w:color w:val="auto"/>
              </w:rPr>
              <w:t>3、合理配置消防设施和器材，并定期组织检验、维修，确保消防设施和器材完好、有效</w:t>
            </w:r>
          </w:p>
          <w:p>
            <w:pPr>
              <w:spacing w:line="330" w:lineRule="exact"/>
              <w:rPr>
                <w:rFonts w:ascii="宋体" w:hAnsi="宋体"/>
                <w:color w:val="auto"/>
              </w:rPr>
            </w:pPr>
            <w:r>
              <w:rPr>
                <w:rFonts w:hint="eastAsia" w:ascii="宋体" w:hAnsi="宋体"/>
                <w:color w:val="auto"/>
              </w:rPr>
              <w:t>4、防雷、防静电设施按规范设计、施工；</w:t>
            </w:r>
          </w:p>
          <w:p>
            <w:pPr>
              <w:spacing w:line="330" w:lineRule="exact"/>
              <w:rPr>
                <w:color w:val="auto"/>
              </w:rPr>
            </w:pPr>
            <w:r>
              <w:rPr>
                <w:rFonts w:hint="eastAsia" w:ascii="宋体" w:hAnsi="宋体"/>
                <w:color w:val="auto"/>
              </w:rPr>
              <w:t>5、接地电阻值定期检测。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op w:val="single" w:color="auto" w:sz="12" w:space="0"/>
              <w:left w:val="single" w:color="auto" w:sz="12" w:space="0"/>
              <w:bottom w:val="single" w:color="auto" w:sz="12" w:space="0"/>
              <w:right w:val="single" w:color="auto" w:sz="4" w:space="0"/>
            </w:tcBorders>
            <w:vAlign w:val="center"/>
          </w:tcPr>
          <w:p>
            <w:pPr>
              <w:spacing w:line="300" w:lineRule="exact"/>
              <w:jc w:val="center"/>
              <w:rPr>
                <w:rFonts w:ascii="宋体" w:hAnsi="宋体"/>
                <w:color w:val="auto"/>
              </w:rPr>
            </w:pPr>
            <w:r>
              <w:rPr>
                <w:rFonts w:hint="eastAsia" w:ascii="宋体" w:hAnsi="宋体"/>
                <w:color w:val="auto"/>
                <w:spacing w:val="-6"/>
              </w:rPr>
              <w:t>自动控制系统错误</w:t>
            </w:r>
          </w:p>
        </w:tc>
        <w:tc>
          <w:tcPr>
            <w:tcW w:w="676" w:type="dxa"/>
            <w:tcBorders>
              <w:top w:val="single" w:color="auto" w:sz="12" w:space="0"/>
              <w:left w:val="nil"/>
              <w:bottom w:val="single" w:color="auto" w:sz="12" w:space="0"/>
              <w:right w:val="single" w:color="auto" w:sz="4" w:space="0"/>
            </w:tcBorders>
            <w:vAlign w:val="center"/>
          </w:tcPr>
          <w:p>
            <w:pPr>
              <w:spacing w:line="330" w:lineRule="exact"/>
              <w:jc w:val="center"/>
              <w:rPr>
                <w:rFonts w:ascii="宋体" w:hAnsi="宋体"/>
                <w:color w:val="auto"/>
              </w:rPr>
            </w:pPr>
            <w:r>
              <w:rPr>
                <w:rFonts w:hint="eastAsia" w:ascii="宋体" w:hAnsi="宋体"/>
                <w:color w:val="auto"/>
              </w:rPr>
              <w:t>运行</w:t>
            </w:r>
          </w:p>
        </w:tc>
        <w:tc>
          <w:tcPr>
            <w:tcW w:w="3027" w:type="dxa"/>
            <w:tcBorders>
              <w:top w:val="single" w:color="auto" w:sz="12" w:space="0"/>
              <w:left w:val="nil"/>
              <w:bottom w:val="single" w:color="auto" w:sz="12" w:space="0"/>
              <w:right w:val="single" w:color="auto" w:sz="4" w:space="0"/>
            </w:tcBorders>
            <w:vAlign w:val="center"/>
          </w:tcPr>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1、腐蚀性气体损害密封线路、印刷电路板等；</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2、附着在集成块上的灰尘影响其散热或引起接触不良，还会引起数据的读写错误；</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3、温度升高导致电阻绝缘性能下降；</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4、低质量的供电损坏计算机的电源系统，并对元器件造成损坏；</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5、接地不良造成零部件的烧毁损坏；</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6、振动对硬件的损害最为严重，若离振动源较近又无避振措施时会受到影响。</w:t>
            </w:r>
          </w:p>
        </w:tc>
        <w:tc>
          <w:tcPr>
            <w:tcW w:w="68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人员伤亡设备损坏</w:t>
            </w:r>
          </w:p>
        </w:tc>
        <w:tc>
          <w:tcPr>
            <w:tcW w:w="71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Ⅱ</w:t>
            </w:r>
          </w:p>
        </w:tc>
        <w:tc>
          <w:tcPr>
            <w:tcW w:w="3525" w:type="dxa"/>
            <w:tcBorders>
              <w:top w:val="single" w:color="auto" w:sz="12" w:space="0"/>
              <w:left w:val="nil"/>
              <w:bottom w:val="single" w:color="auto" w:sz="12"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1、在对自动控制装置进行运输、开箱、保管、安装各阶段、严格按照指导说明书要求的环境与步骤进行；</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2、提供良好的外部环境条件，如控制室温、湿度控制；良好的接地系统以及防灰、防震、防腐蚀；远离振动源、高噪音源，还应考虑机柜进线的内、外部密封及消防措施等；</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3、必须配置不间断电源UPS。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op w:val="single" w:color="auto" w:sz="12" w:space="0"/>
              <w:left w:val="single" w:color="auto" w:sz="12" w:space="0"/>
              <w:bottom w:val="single" w:color="auto" w:sz="12" w:space="0"/>
              <w:right w:val="single" w:color="auto" w:sz="4" w:space="0"/>
            </w:tcBorders>
            <w:vAlign w:val="center"/>
          </w:tcPr>
          <w:p>
            <w:pPr>
              <w:jc w:val="center"/>
              <w:rPr>
                <w:rFonts w:ascii="宋体" w:hAnsi="宋体"/>
                <w:color w:val="auto"/>
                <w:spacing w:val="-6"/>
              </w:rPr>
            </w:pPr>
            <w:r>
              <w:rPr>
                <w:rFonts w:hint="eastAsia" w:ascii="宋体" w:hAnsi="宋体"/>
                <w:color w:val="auto"/>
                <w:spacing w:val="-6"/>
              </w:rPr>
              <w:t>自动控制系统运行不正常</w:t>
            </w:r>
          </w:p>
        </w:tc>
        <w:tc>
          <w:tcPr>
            <w:tcW w:w="676" w:type="dxa"/>
            <w:tcBorders>
              <w:top w:val="single" w:color="auto" w:sz="12" w:space="0"/>
              <w:left w:val="nil"/>
              <w:bottom w:val="single" w:color="auto" w:sz="12" w:space="0"/>
              <w:right w:val="single" w:color="auto" w:sz="4" w:space="0"/>
            </w:tcBorders>
            <w:vAlign w:val="center"/>
          </w:tcPr>
          <w:p>
            <w:pPr>
              <w:jc w:val="center"/>
              <w:rPr>
                <w:rFonts w:ascii="宋体" w:hAnsi="宋体"/>
                <w:color w:val="auto"/>
              </w:rPr>
            </w:pPr>
            <w:r>
              <w:rPr>
                <w:rFonts w:hint="eastAsia" w:ascii="宋体" w:hAnsi="宋体"/>
                <w:color w:val="auto"/>
              </w:rPr>
              <w:t>运行</w:t>
            </w:r>
          </w:p>
        </w:tc>
        <w:tc>
          <w:tcPr>
            <w:tcW w:w="3027" w:type="dxa"/>
            <w:tcBorders>
              <w:top w:val="single" w:color="auto" w:sz="12" w:space="0"/>
              <w:left w:val="nil"/>
              <w:bottom w:val="single" w:color="auto" w:sz="12" w:space="0"/>
              <w:right w:val="single" w:color="auto" w:sz="4" w:space="0"/>
            </w:tcBorders>
            <w:vAlign w:val="center"/>
          </w:tcPr>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1、电力线、电机设备的负荷电流通过电磁感应对信号线及DCS显示系统产生干扰，使CRT屏幕上出现麻点和闪动；</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2、控制室防雷接地单独设置，与控制系统的接地体没有足够的绝缘距离；</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3、仪表电源的波动、信号线连接点的接触电阻等对电信号传输引起干扰。</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4、硬盘、存储器等因多次读写产生坏磁道，若未及时修复，会丢失数据，造成控制精度下降甚至死机等大的故障。</w:t>
            </w:r>
          </w:p>
        </w:tc>
        <w:tc>
          <w:tcPr>
            <w:tcW w:w="68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人员伤亡设备损坏</w:t>
            </w:r>
          </w:p>
        </w:tc>
        <w:tc>
          <w:tcPr>
            <w:tcW w:w="71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Ⅱ</w:t>
            </w:r>
          </w:p>
        </w:tc>
        <w:tc>
          <w:tcPr>
            <w:tcW w:w="3525" w:type="dxa"/>
            <w:tcBorders>
              <w:top w:val="single" w:color="auto" w:sz="12" w:space="0"/>
              <w:left w:val="nil"/>
              <w:bottom w:val="single" w:color="auto" w:sz="12"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1、仪表信号线路与电力线及能产生交变电磁场的设备，相隔最小间距应按有关配线设计规定施工规范来执行；</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2、机电设备、电源开关等应有铁质壳体屏蔽，信号线与电源线严格分开，不得穿同一金属管或敷设于同一金属槽盒内；</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3、采用对绞线可很好抑制电磁感应引入的干扰，又可明显抑制静电感应引入的干扰；</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4、设置自动控制系统保护接地和工作接地。在自动控制系统调试前应经过接地电阻测试，达不到要求不能调试，更不能进行生产的联动试车；</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5、自动控制系统的接地系统和防雷接地系统应进行等电位联接，以避免DCS电子元件受到雷电反击。</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6、利用设备诊断和检测技术，确切掌握设备状态以掌握设备的老化程度，预测故障，决定点检内容、周期，决定更新周期，以维持和提高设备的可靠性、稳定性。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op w:val="single" w:color="auto" w:sz="12" w:space="0"/>
              <w:left w:val="single" w:color="auto" w:sz="12" w:space="0"/>
              <w:bottom w:val="single" w:color="auto" w:sz="12" w:space="0"/>
              <w:right w:val="single" w:color="auto" w:sz="4" w:space="0"/>
            </w:tcBorders>
            <w:vAlign w:val="center"/>
          </w:tcPr>
          <w:p>
            <w:pPr>
              <w:jc w:val="center"/>
              <w:rPr>
                <w:rFonts w:ascii="宋体" w:hAnsi="宋体"/>
                <w:color w:val="auto"/>
                <w:spacing w:val="-6"/>
              </w:rPr>
            </w:pPr>
            <w:r>
              <w:rPr>
                <w:rFonts w:hint="eastAsia" w:ascii="宋体" w:hAnsi="宋体"/>
                <w:color w:val="auto"/>
                <w:spacing w:val="-6"/>
              </w:rPr>
              <w:t>自动控制调节装置运行不正常</w:t>
            </w:r>
          </w:p>
        </w:tc>
        <w:tc>
          <w:tcPr>
            <w:tcW w:w="676" w:type="dxa"/>
            <w:tcBorders>
              <w:top w:val="single" w:color="auto" w:sz="12" w:space="0"/>
              <w:left w:val="nil"/>
              <w:bottom w:val="single" w:color="auto" w:sz="12" w:space="0"/>
              <w:right w:val="single" w:color="auto" w:sz="4" w:space="0"/>
            </w:tcBorders>
            <w:vAlign w:val="center"/>
          </w:tcPr>
          <w:p>
            <w:pPr>
              <w:jc w:val="center"/>
              <w:rPr>
                <w:rFonts w:ascii="宋体" w:hAnsi="宋体"/>
                <w:color w:val="auto"/>
              </w:rPr>
            </w:pPr>
            <w:r>
              <w:rPr>
                <w:rFonts w:hint="eastAsia" w:ascii="宋体" w:hAnsi="宋体"/>
                <w:color w:val="auto"/>
              </w:rPr>
              <w:t>运行</w:t>
            </w:r>
          </w:p>
        </w:tc>
        <w:tc>
          <w:tcPr>
            <w:tcW w:w="3027" w:type="dxa"/>
            <w:tcBorders>
              <w:top w:val="single" w:color="auto" w:sz="12" w:space="0"/>
              <w:left w:val="nil"/>
              <w:bottom w:val="single" w:color="auto" w:sz="12" w:space="0"/>
              <w:right w:val="single" w:color="auto" w:sz="4" w:space="0"/>
            </w:tcBorders>
            <w:vAlign w:val="center"/>
          </w:tcPr>
          <w:p>
            <w:pPr>
              <w:pStyle w:val="92"/>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1、自动调节系统电源回路失电，或其导线故障，导致自动调节失控或调节系统无动作。</w:t>
            </w:r>
          </w:p>
          <w:p>
            <w:pPr>
              <w:pStyle w:val="92"/>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2、调节用一次检测装置及其接线回路损坏，或断线/短路，致使调节信号异常，导致调整门突然开大或关小。</w:t>
            </w:r>
          </w:p>
          <w:p>
            <w:pPr>
              <w:pStyle w:val="92"/>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3、执行机构故障，导致自动调节无动作或突大突小。</w:t>
            </w:r>
          </w:p>
          <w:p>
            <w:pPr>
              <w:pStyle w:val="92"/>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4、双路冗余互为备用的通讯环路，自动切换时瞬时故障，丢失信息导致自动控制失控。</w:t>
            </w:r>
          </w:p>
          <w:p>
            <w:pPr>
              <w:pStyle w:val="92"/>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5、DCS调节用的CPU，超过使用有效期，或受外界干扰或PID运算出错，导致自动调节失控。</w:t>
            </w:r>
          </w:p>
          <w:p>
            <w:pPr>
              <w:pStyle w:val="92"/>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p>
        </w:tc>
        <w:tc>
          <w:tcPr>
            <w:tcW w:w="68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可能造成人员伤亡或设备损坏</w:t>
            </w:r>
          </w:p>
        </w:tc>
        <w:tc>
          <w:tcPr>
            <w:tcW w:w="713" w:type="dxa"/>
            <w:tcBorders>
              <w:top w:val="single" w:color="auto" w:sz="12"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ascii="宋体" w:hAnsi="宋体"/>
                <w:color w:val="auto"/>
              </w:rPr>
            </w:pPr>
            <w:r>
              <w:rPr>
                <w:rFonts w:hint="eastAsia" w:ascii="宋体" w:hAnsi="宋体"/>
                <w:color w:val="auto"/>
              </w:rPr>
              <w:t>Ⅱ</w:t>
            </w:r>
          </w:p>
        </w:tc>
        <w:tc>
          <w:tcPr>
            <w:tcW w:w="3525" w:type="dxa"/>
            <w:tcBorders>
              <w:top w:val="single" w:color="auto" w:sz="12" w:space="0"/>
              <w:left w:val="nil"/>
              <w:bottom w:val="single" w:color="auto" w:sz="12"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1、加强系统自动调节系统电源回路(电源开关、熔断器、电缆、接插件)维护管理工组。</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2、加强系统调节用一次检测装置、执行机构、调节机构、DCS通讯组件、I/O输入/输出组件、CPU主机组件的维护管理工作。对超过有效期使用的组件，及时更换备用件。</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3、把好仪表等检测设备入口关，“三证”齐全方可使用。</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4、重要调节系统设计，应具有“当调节信号偏差大时，自动由自动调节方式转为手动调节方式”的功能。</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ascii="宋体" w:hAnsi="宋体"/>
                <w:color w:val="auto"/>
              </w:rPr>
            </w:pPr>
            <w:r>
              <w:rPr>
                <w:rFonts w:hint="eastAsia" w:ascii="宋体" w:hAnsi="宋体"/>
                <w:color w:val="auto"/>
              </w:rPr>
              <w:t>5、重要调节系统，应定期进行内外扰动动作试验。</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ascii="宋体" w:hAnsi="宋体"/>
                <w:color w:val="auto"/>
              </w:rPr>
            </w:pPr>
            <w:r>
              <w:rPr>
                <w:rFonts w:hint="eastAsia" w:ascii="宋体" w:hAnsi="宋体"/>
                <w:color w:val="auto"/>
              </w:rPr>
              <w:t>6、当在线仪表发生损坏时，DCS系统应能及时的显示、报警，必要时，可启动联锁保护系统按规定要求动作，以确保工艺装置的安全生产或停机。</w:t>
            </w:r>
          </w:p>
        </w:tc>
      </w:tr>
    </w:tbl>
    <w:p>
      <w:pPr>
        <w:ind w:firstLine="472" w:firstLineChars="200"/>
        <w:rPr>
          <w:rFonts w:ascii="宋体" w:hAnsi="宋体" w:cs="Courier New"/>
          <w:color w:val="auto"/>
          <w:spacing w:val="-2"/>
          <w:sz w:val="24"/>
          <w:szCs w:val="24"/>
        </w:rPr>
      </w:pPr>
    </w:p>
    <w:p>
      <w:pPr>
        <w:ind w:firstLine="552" w:firstLineChars="200"/>
        <w:rPr>
          <w:rFonts w:ascii="宋体" w:hAnsi="宋体" w:cs="Courier New"/>
          <w:color w:val="auto"/>
          <w:spacing w:val="-2"/>
          <w:sz w:val="28"/>
          <w:szCs w:val="28"/>
        </w:rPr>
      </w:pPr>
      <w:r>
        <w:rPr>
          <w:rFonts w:hint="eastAsia" w:ascii="宋体" w:hAnsi="宋体" w:cs="Courier New"/>
          <w:color w:val="auto"/>
          <w:spacing w:val="-2"/>
          <w:sz w:val="28"/>
          <w:szCs w:val="28"/>
        </w:rPr>
        <w:t>2.评价小结</w:t>
      </w:r>
    </w:p>
    <w:p>
      <w:pPr>
        <w:ind w:firstLine="560" w:firstLineChars="200"/>
        <w:rPr>
          <w:color w:val="auto"/>
        </w:rPr>
      </w:pPr>
      <w:r>
        <w:rPr>
          <w:rFonts w:hint="eastAsia" w:ascii="宋体" w:hAnsi="宋体"/>
          <w:color w:val="auto"/>
          <w:kern w:val="0"/>
          <w:sz w:val="28"/>
          <w:szCs w:val="28"/>
        </w:rPr>
        <w:t>通过预先危险分析，仪表自动控制子单元主要危险、有害因素为：火灾危险程度为Ⅲ级（危险的），会造成人员伤亡和系统损坏，要立即采取防范对策措施；自动控制系统系统错误、自动控制系统系统运行不正常、自动控制调节装置运行不正常危险程度为Ⅱ级（临界的），处于事故的边缘状态，暂时还不会造成人员伤亡、系统损坏降低系统性能，但应予排除或采取控制措施。</w:t>
      </w:r>
    </w:p>
    <w:p>
      <w:pPr>
        <w:keepNext/>
        <w:keepLines/>
        <w:spacing w:line="600" w:lineRule="exact"/>
        <w:jc w:val="left"/>
        <w:outlineLvl w:val="2"/>
        <w:rPr>
          <w:rFonts w:ascii="Calibri" w:hAnsi="Calibri"/>
          <w:b/>
          <w:color w:val="auto"/>
          <w:sz w:val="28"/>
          <w:szCs w:val="32"/>
        </w:rPr>
      </w:pPr>
      <w:bookmarkStart w:id="281" w:name="_Toc144109262"/>
      <w:r>
        <w:rPr>
          <w:rFonts w:hint="eastAsia" w:ascii="Calibri" w:hAnsi="Calibri"/>
          <w:b/>
          <w:color w:val="auto"/>
          <w:sz w:val="28"/>
          <w:szCs w:val="32"/>
        </w:rPr>
        <w:t>C.</w:t>
      </w:r>
      <w:r>
        <w:rPr>
          <w:rFonts w:ascii="Calibri" w:hAnsi="Calibri"/>
          <w:b/>
          <w:color w:val="auto"/>
          <w:sz w:val="28"/>
          <w:szCs w:val="32"/>
        </w:rPr>
        <w:t>1.4</w:t>
      </w:r>
      <w:r>
        <w:rPr>
          <w:rFonts w:hint="eastAsia" w:ascii="Calibri" w:hAnsi="Calibri"/>
          <w:b/>
          <w:color w:val="auto"/>
          <w:sz w:val="28"/>
          <w:szCs w:val="32"/>
        </w:rPr>
        <w:t>.</w:t>
      </w:r>
      <w:r>
        <w:rPr>
          <w:rFonts w:ascii="Calibri" w:hAnsi="Calibri"/>
          <w:b/>
          <w:color w:val="auto"/>
          <w:sz w:val="28"/>
          <w:szCs w:val="32"/>
        </w:rPr>
        <w:t>3</w:t>
      </w:r>
      <w:r>
        <w:rPr>
          <w:rFonts w:hint="eastAsia" w:ascii="Calibri" w:hAnsi="Calibri"/>
          <w:b/>
          <w:color w:val="auto"/>
          <w:sz w:val="28"/>
          <w:szCs w:val="32"/>
        </w:rPr>
        <w:t xml:space="preserve"> 空压单元</w:t>
      </w:r>
      <w:bookmarkEnd w:id="281"/>
    </w:p>
    <w:p>
      <w:pPr>
        <w:autoSpaceDE w:val="0"/>
        <w:autoSpaceDN w:val="0"/>
        <w:adjustRightInd w:val="0"/>
        <w:ind w:firstLine="560" w:firstLineChars="200"/>
        <w:rPr>
          <w:rFonts w:ascii="宋体" w:hAnsi="宋体" w:cs="宋体"/>
          <w:color w:val="auto"/>
          <w:sz w:val="28"/>
          <w:szCs w:val="28"/>
        </w:rPr>
      </w:pPr>
      <w:r>
        <w:rPr>
          <w:rFonts w:ascii="宋体" w:hAnsi="宋体" w:cs="宋体"/>
          <w:color w:val="auto"/>
          <w:sz w:val="28"/>
          <w:szCs w:val="28"/>
        </w:rPr>
        <w:t>本报告对空压单元有可能造成人员伤亡的危险因素采用预先危险性分析法进行分析评价，具体见表</w:t>
      </w:r>
      <w:r>
        <w:rPr>
          <w:rFonts w:hint="eastAsia" w:ascii="宋体" w:hAnsi="宋体" w:cs="宋体"/>
          <w:color w:val="auto"/>
          <w:sz w:val="28"/>
          <w:szCs w:val="28"/>
        </w:rPr>
        <w:t>C</w:t>
      </w:r>
      <w:r>
        <w:rPr>
          <w:rFonts w:ascii="宋体" w:hAnsi="宋体" w:cs="宋体"/>
          <w:color w:val="auto"/>
          <w:sz w:val="28"/>
          <w:szCs w:val="28"/>
        </w:rPr>
        <w:t>.1-15。</w:t>
      </w:r>
    </w:p>
    <w:p>
      <w:pPr>
        <w:ind w:firstLine="570"/>
        <w:jc w:val="center"/>
        <w:rPr>
          <w:rFonts w:ascii="Courier New" w:hAnsi="Courier New" w:cs="Courier New"/>
          <w:color w:val="auto"/>
        </w:rPr>
      </w:pPr>
      <w:r>
        <w:rPr>
          <w:rFonts w:ascii="Courier New" w:hAnsi="Courier New" w:cs="Courier New"/>
          <w:color w:val="auto"/>
        </w:rPr>
        <w:t>表</w:t>
      </w:r>
      <w:r>
        <w:rPr>
          <w:rFonts w:hint="eastAsia"/>
          <w:color w:val="auto"/>
        </w:rPr>
        <w:t>C</w:t>
      </w:r>
      <w:r>
        <w:rPr>
          <w:color w:val="auto"/>
        </w:rPr>
        <w:t>.1-15</w:t>
      </w:r>
      <w:r>
        <w:rPr>
          <w:rFonts w:hint="eastAsia"/>
          <w:color w:val="auto"/>
        </w:rPr>
        <w:t xml:space="preserve"> </w:t>
      </w:r>
      <w:r>
        <w:rPr>
          <w:rFonts w:ascii="Courier New" w:hAnsi="Courier New" w:cs="Courier New"/>
          <w:color w:val="auto"/>
        </w:rPr>
        <w:t>空压单元预先危险性分析</w:t>
      </w:r>
    </w:p>
    <w:tbl>
      <w:tblPr>
        <w:tblStyle w:val="31"/>
        <w:tblW w:w="83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6"/>
        <w:gridCol w:w="6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before="40" w:after="40" w:line="240" w:lineRule="exact"/>
              <w:ind w:right="-57"/>
              <w:jc w:val="center"/>
              <w:rPr>
                <w:color w:val="auto"/>
                <w:spacing w:val="20"/>
              </w:rPr>
            </w:pPr>
            <w:r>
              <w:rPr>
                <w:color w:val="auto"/>
                <w:spacing w:val="20"/>
              </w:rPr>
              <w:t>潜在事故</w:t>
            </w:r>
          </w:p>
        </w:tc>
        <w:tc>
          <w:tcPr>
            <w:tcW w:w="682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before="40" w:after="40" w:line="240" w:lineRule="exact"/>
              <w:ind w:right="-57"/>
              <w:jc w:val="center"/>
              <w:rPr>
                <w:color w:val="auto"/>
                <w:spacing w:val="20"/>
              </w:rPr>
            </w:pPr>
            <w:r>
              <w:rPr>
                <w:rFonts w:hint="eastAsia"/>
                <w:color w:val="auto"/>
                <w:spacing w:val="20"/>
              </w:rPr>
              <w:t>物理爆炸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作业场所</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hint="eastAsia"/>
                <w:color w:val="auto"/>
              </w:rPr>
              <w:t>空压机房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危险因素</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hint="eastAsia"/>
                <w:color w:val="auto"/>
              </w:rPr>
              <w:t>压力容器或设备超压或存在缺陷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ind w:right="-57"/>
              <w:jc w:val="center"/>
              <w:rPr>
                <w:color w:val="auto"/>
                <w:spacing w:val="20"/>
              </w:rPr>
            </w:pPr>
            <w:r>
              <w:rPr>
                <w:color w:val="auto"/>
                <w:spacing w:val="20"/>
              </w:rPr>
              <w:t>触发事件</w:t>
            </w:r>
          </w:p>
        </w:tc>
        <w:tc>
          <w:tcPr>
            <w:tcW w:w="682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ind w:right="-57"/>
              <w:rPr>
                <w:color w:val="auto"/>
              </w:rPr>
            </w:pPr>
            <w:r>
              <w:rPr>
                <w:color w:val="auto"/>
              </w:rPr>
              <w:t>1</w:t>
            </w:r>
            <w:r>
              <w:rPr>
                <w:rFonts w:ascii="Courier New" w:hAnsi="Courier New" w:cs="Courier New"/>
                <w:color w:val="auto"/>
              </w:rPr>
              <w:t>、超压</w:t>
            </w:r>
          </w:p>
          <w:p>
            <w:pPr>
              <w:adjustRightInd w:val="0"/>
              <w:snapToGrid w:val="0"/>
              <w:spacing w:line="240" w:lineRule="exact"/>
              <w:ind w:right="-57"/>
              <w:rPr>
                <w:color w:val="auto"/>
              </w:rPr>
            </w:pPr>
            <w:r>
              <w:rPr>
                <w:rFonts w:ascii="宋体" w:hAnsi="宋体" w:cs="宋体"/>
                <w:color w:val="auto"/>
              </w:rPr>
              <w:t>①</w:t>
            </w:r>
            <w:r>
              <w:rPr>
                <w:rFonts w:ascii="Courier New" w:hAnsi="Courier New" w:cs="Courier New"/>
                <w:color w:val="auto"/>
              </w:rPr>
              <w:t>空压机因冷却能力不足，造成出口压力高；</w:t>
            </w:r>
          </w:p>
          <w:p>
            <w:pPr>
              <w:adjustRightInd w:val="0"/>
              <w:snapToGrid w:val="0"/>
              <w:spacing w:line="240" w:lineRule="exact"/>
              <w:ind w:right="-57"/>
              <w:rPr>
                <w:color w:val="auto"/>
              </w:rPr>
            </w:pPr>
            <w:r>
              <w:rPr>
                <w:rFonts w:ascii="宋体" w:hAnsi="宋体" w:cs="宋体"/>
                <w:color w:val="auto"/>
              </w:rPr>
              <w:t>②</w:t>
            </w:r>
            <w:r>
              <w:rPr>
                <w:rFonts w:ascii="Courier New" w:hAnsi="Courier New" w:cs="Courier New"/>
                <w:color w:val="auto"/>
              </w:rPr>
              <w:t>空压机出口管道存在堵塞或出口阀门故障造成出口压力高；</w:t>
            </w:r>
          </w:p>
          <w:p>
            <w:pPr>
              <w:adjustRightInd w:val="0"/>
              <w:snapToGrid w:val="0"/>
              <w:spacing w:line="240" w:lineRule="exact"/>
              <w:ind w:right="-57"/>
              <w:rPr>
                <w:color w:val="auto"/>
              </w:rPr>
            </w:pPr>
            <w:r>
              <w:rPr>
                <w:color w:val="auto"/>
              </w:rPr>
              <w:t>2</w:t>
            </w:r>
            <w:r>
              <w:rPr>
                <w:rFonts w:ascii="Courier New" w:hAnsi="Courier New" w:cs="Courier New"/>
                <w:color w:val="auto"/>
              </w:rPr>
              <w:t>、安全泄压装置失灵</w:t>
            </w:r>
          </w:p>
          <w:p>
            <w:pPr>
              <w:adjustRightInd w:val="0"/>
              <w:snapToGrid w:val="0"/>
              <w:spacing w:line="240" w:lineRule="exact"/>
              <w:ind w:right="-57"/>
              <w:rPr>
                <w:color w:val="auto"/>
              </w:rPr>
            </w:pPr>
            <w:r>
              <w:rPr>
                <w:rFonts w:ascii="宋体" w:hAnsi="宋体" w:cs="宋体"/>
                <w:color w:val="auto"/>
              </w:rPr>
              <w:t>①</w:t>
            </w:r>
            <w:r>
              <w:rPr>
                <w:rFonts w:ascii="Courier New" w:hAnsi="Courier New" w:cs="Courier New"/>
                <w:color w:val="auto"/>
              </w:rPr>
              <w:t>安全阀起跳压力过高；</w:t>
            </w:r>
          </w:p>
          <w:p>
            <w:pPr>
              <w:adjustRightInd w:val="0"/>
              <w:snapToGrid w:val="0"/>
              <w:spacing w:line="240" w:lineRule="exact"/>
              <w:ind w:right="-57"/>
              <w:rPr>
                <w:color w:val="auto"/>
              </w:rPr>
            </w:pPr>
            <w:r>
              <w:rPr>
                <w:rFonts w:ascii="宋体" w:hAnsi="宋体" w:cs="宋体"/>
                <w:color w:val="auto"/>
              </w:rPr>
              <w:t>②</w:t>
            </w:r>
            <w:r>
              <w:rPr>
                <w:rFonts w:ascii="Courier New" w:hAnsi="Courier New" w:cs="Courier New"/>
                <w:color w:val="auto"/>
              </w:rPr>
              <w:t>安全阀的排放能力不足；</w:t>
            </w:r>
          </w:p>
          <w:p>
            <w:pPr>
              <w:adjustRightInd w:val="0"/>
              <w:snapToGrid w:val="0"/>
              <w:spacing w:line="240" w:lineRule="exact"/>
              <w:ind w:right="-57"/>
              <w:rPr>
                <w:color w:val="auto"/>
              </w:rPr>
            </w:pPr>
            <w:r>
              <w:rPr>
                <w:rFonts w:ascii="宋体" w:hAnsi="宋体" w:cs="宋体"/>
                <w:color w:val="auto"/>
              </w:rPr>
              <w:t>③</w:t>
            </w:r>
            <w:r>
              <w:rPr>
                <w:rFonts w:ascii="Courier New" w:hAnsi="Courier New" w:cs="Courier New"/>
                <w:color w:val="auto"/>
              </w:rPr>
              <w:t>安全阀机械卡死或其他原因不动作。</w:t>
            </w:r>
          </w:p>
          <w:p>
            <w:pPr>
              <w:adjustRightInd w:val="0"/>
              <w:snapToGrid w:val="0"/>
              <w:spacing w:line="240" w:lineRule="exact"/>
              <w:ind w:right="-57"/>
              <w:rPr>
                <w:color w:val="auto"/>
              </w:rPr>
            </w:pPr>
            <w:r>
              <w:rPr>
                <w:color w:val="auto"/>
              </w:rPr>
              <w:t>3</w:t>
            </w:r>
            <w:r>
              <w:rPr>
                <w:rFonts w:ascii="Courier New" w:hAnsi="Courier New" w:cs="Courier New"/>
                <w:color w:val="auto"/>
              </w:rPr>
              <w:t>、设备缺陷</w:t>
            </w:r>
          </w:p>
          <w:p>
            <w:pPr>
              <w:adjustRightInd w:val="0"/>
              <w:snapToGrid w:val="0"/>
              <w:spacing w:line="240" w:lineRule="exact"/>
              <w:ind w:right="-57"/>
              <w:rPr>
                <w:color w:val="auto"/>
              </w:rPr>
            </w:pPr>
            <w:r>
              <w:rPr>
                <w:rFonts w:ascii="宋体" w:hAnsi="宋体" w:cs="宋体"/>
                <w:color w:val="auto"/>
              </w:rPr>
              <w:t>①</w:t>
            </w:r>
            <w:r>
              <w:rPr>
                <w:rFonts w:ascii="Courier New" w:hAnsi="Courier New" w:cs="Courier New"/>
                <w:color w:val="auto"/>
              </w:rPr>
              <w:t>设备的联锁装置不齐全、人工解除或失灵；</w:t>
            </w:r>
          </w:p>
          <w:p>
            <w:pPr>
              <w:adjustRightInd w:val="0"/>
              <w:snapToGrid w:val="0"/>
              <w:spacing w:line="240" w:lineRule="exact"/>
              <w:ind w:right="-57"/>
              <w:rPr>
                <w:color w:val="auto"/>
              </w:rPr>
            </w:pPr>
            <w:r>
              <w:rPr>
                <w:rFonts w:ascii="宋体" w:hAnsi="宋体" w:cs="宋体"/>
                <w:color w:val="auto"/>
              </w:rPr>
              <w:t>②</w:t>
            </w:r>
            <w:r>
              <w:rPr>
                <w:rFonts w:ascii="Courier New" w:hAnsi="Courier New" w:cs="Courier New"/>
                <w:color w:val="auto"/>
              </w:rPr>
              <w:t>设备、管道制造缺陷，承受的压力达不到设计压力的要求；</w:t>
            </w:r>
          </w:p>
          <w:p>
            <w:pPr>
              <w:adjustRightInd w:val="0"/>
              <w:snapToGrid w:val="0"/>
              <w:spacing w:line="240" w:lineRule="exact"/>
              <w:ind w:right="-57"/>
              <w:rPr>
                <w:color w:val="auto"/>
              </w:rPr>
            </w:pPr>
            <w:r>
              <w:rPr>
                <w:rFonts w:ascii="宋体" w:hAnsi="宋体" w:cs="宋体"/>
                <w:color w:val="auto"/>
              </w:rPr>
              <w:t>③</w:t>
            </w:r>
            <w:r>
              <w:rPr>
                <w:rFonts w:ascii="Courier New" w:hAnsi="Courier New" w:cs="Courier New"/>
                <w:color w:val="auto"/>
              </w:rPr>
              <w:t>仪表失灵；</w:t>
            </w:r>
          </w:p>
          <w:p>
            <w:pPr>
              <w:adjustRightInd w:val="0"/>
              <w:snapToGrid w:val="0"/>
              <w:spacing w:line="240" w:lineRule="exact"/>
              <w:ind w:right="-57"/>
              <w:rPr>
                <w:color w:val="auto"/>
              </w:rPr>
            </w:pPr>
            <w:r>
              <w:rPr>
                <w:rFonts w:ascii="宋体" w:hAnsi="宋体" w:cs="宋体"/>
                <w:color w:val="auto"/>
              </w:rPr>
              <w:t>④</w:t>
            </w:r>
            <w:r>
              <w:rPr>
                <w:rFonts w:ascii="Courier New" w:hAnsi="Courier New" w:cs="Courier New"/>
                <w:color w:val="auto"/>
              </w:rPr>
              <w:t>设备长期运行发生腐蚀、磨损造成承受压力的能力降低；</w:t>
            </w:r>
          </w:p>
          <w:p>
            <w:pPr>
              <w:autoSpaceDE w:val="0"/>
              <w:autoSpaceDN w:val="0"/>
              <w:adjustRightInd w:val="0"/>
              <w:spacing w:line="240" w:lineRule="exact"/>
              <w:rPr>
                <w:color w:val="auto"/>
              </w:rPr>
            </w:pPr>
            <w:r>
              <w:rPr>
                <w:rFonts w:ascii="宋体" w:hAnsi="宋体" w:cs="宋体"/>
                <w:color w:val="auto"/>
              </w:rPr>
              <w:t>⑤</w:t>
            </w:r>
            <w:r>
              <w:rPr>
                <w:rFonts w:ascii="Courier New" w:hAnsi="Courier New" w:cs="Courier New"/>
                <w:color w:val="auto"/>
              </w:rPr>
              <w:t>设备受到机械损伤，或者发生机械疲劳或应力脆变。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发生条件</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hint="eastAsia"/>
                <w:color w:val="auto"/>
              </w:rPr>
              <w:t>爆炸碎片击打人体</w:t>
            </w:r>
            <w:r>
              <w:rPr>
                <w:color w:val="auto"/>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事故后果</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color w:val="auto"/>
              </w:rPr>
              <w:t>人员伤害、</w:t>
            </w:r>
            <w:r>
              <w:rPr>
                <w:rFonts w:hint="eastAsia"/>
                <w:color w:val="auto"/>
              </w:rPr>
              <w:t>设备损毁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危险等级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ascii="宋体" w:hAnsi="宋体" w:cs="宋体"/>
                <w:color w:val="auto"/>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发生的可能性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ascii="Courier New" w:hAnsi="Courier New" w:cs="Courier New"/>
                <w:color w:val="auto"/>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风险等级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风险程度</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color w:val="auto"/>
              </w:rPr>
            </w:pPr>
            <w:r>
              <w:rPr>
                <w:rFonts w:hint="eastAsia"/>
                <w:color w:val="auto"/>
              </w:rPr>
              <w:t>危险</w:t>
            </w:r>
            <w:r>
              <w:rPr>
                <w:color w:val="auto"/>
              </w:rPr>
              <w:t>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防范措施</w:t>
            </w:r>
          </w:p>
        </w:tc>
        <w:tc>
          <w:tcPr>
            <w:tcW w:w="682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ind w:right="-57"/>
              <w:rPr>
                <w:color w:val="auto"/>
              </w:rPr>
            </w:pPr>
            <w:r>
              <w:rPr>
                <w:color w:val="auto"/>
              </w:rPr>
              <w:t>1</w:t>
            </w:r>
            <w:r>
              <w:rPr>
                <w:rFonts w:ascii="Courier New" w:hAnsi="Courier New" w:cs="Courier New"/>
                <w:color w:val="auto"/>
              </w:rPr>
              <w:t>、采用国家定点生产的定型产品，安全附件齐全；</w:t>
            </w:r>
          </w:p>
          <w:p>
            <w:pPr>
              <w:adjustRightInd w:val="0"/>
              <w:snapToGrid w:val="0"/>
              <w:spacing w:line="240" w:lineRule="exact"/>
              <w:ind w:right="-57"/>
              <w:rPr>
                <w:color w:val="auto"/>
              </w:rPr>
            </w:pPr>
            <w:r>
              <w:rPr>
                <w:color w:val="auto"/>
              </w:rPr>
              <w:t>2</w:t>
            </w:r>
            <w:r>
              <w:rPr>
                <w:rFonts w:ascii="Courier New" w:hAnsi="Courier New" w:cs="Courier New"/>
                <w:color w:val="auto"/>
              </w:rPr>
              <w:t>、定期检测、校验检测仪表、安全阀；</w:t>
            </w:r>
          </w:p>
          <w:p>
            <w:pPr>
              <w:adjustRightInd w:val="0"/>
              <w:snapToGrid w:val="0"/>
              <w:spacing w:line="240" w:lineRule="exact"/>
              <w:ind w:right="-57"/>
              <w:rPr>
                <w:color w:val="auto"/>
              </w:rPr>
            </w:pPr>
            <w:r>
              <w:rPr>
                <w:color w:val="auto"/>
              </w:rPr>
              <w:t>3</w:t>
            </w:r>
            <w:r>
              <w:rPr>
                <w:rFonts w:ascii="Courier New" w:hAnsi="Courier New" w:cs="Courier New"/>
                <w:color w:val="auto"/>
              </w:rPr>
              <w:t>、联锁装置不得随意解除，并定期进行空试；</w:t>
            </w:r>
          </w:p>
          <w:p>
            <w:pPr>
              <w:adjustRightInd w:val="0"/>
              <w:snapToGrid w:val="0"/>
              <w:spacing w:line="240" w:lineRule="exact"/>
              <w:ind w:right="-57"/>
              <w:rPr>
                <w:color w:val="auto"/>
              </w:rPr>
            </w:pPr>
            <w:r>
              <w:rPr>
                <w:color w:val="auto"/>
              </w:rPr>
              <w:t>4</w:t>
            </w:r>
            <w:r>
              <w:rPr>
                <w:rFonts w:ascii="Courier New" w:hAnsi="Courier New" w:cs="Courier New"/>
                <w:color w:val="auto"/>
              </w:rPr>
              <w:t>、压力容器、管道定期进行检验；</w:t>
            </w:r>
          </w:p>
          <w:p>
            <w:pPr>
              <w:autoSpaceDE w:val="0"/>
              <w:autoSpaceDN w:val="0"/>
              <w:adjustRightInd w:val="0"/>
              <w:spacing w:line="240" w:lineRule="exact"/>
              <w:rPr>
                <w:color w:val="auto"/>
              </w:rPr>
            </w:pPr>
            <w:r>
              <w:rPr>
                <w:rFonts w:ascii="Courier New" w:hAnsi="Courier New" w:cs="Courier New"/>
                <w:color w:val="auto"/>
              </w:rPr>
              <w:t>5、加强工艺管理，严格按操作规程操作。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before="40" w:after="40" w:line="240" w:lineRule="exact"/>
              <w:ind w:right="-57"/>
              <w:jc w:val="center"/>
              <w:rPr>
                <w:color w:val="auto"/>
                <w:spacing w:val="20"/>
              </w:rPr>
            </w:pPr>
            <w:r>
              <w:rPr>
                <w:color w:val="auto"/>
                <w:spacing w:val="20"/>
              </w:rPr>
              <w:t>潜在事故</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jc w:val="center"/>
              <w:rPr>
                <w:rFonts w:ascii="Courier New" w:hAnsi="Courier New" w:cs="Courier New"/>
                <w:color w:val="auto"/>
              </w:rPr>
            </w:pPr>
            <w:r>
              <w:rPr>
                <w:rFonts w:hint="eastAsia" w:ascii="Courier New" w:hAnsi="Courier New" w:cs="Courier New"/>
                <w:color w:val="auto"/>
              </w:rPr>
              <w:t>机械伤害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作业场所</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color w:val="auto"/>
              </w:rPr>
              <w:t>空压机房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危险因素</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ascii="Courier New" w:hAnsi="Courier New" w:cs="Courier New"/>
                <w:color w:val="auto"/>
              </w:rPr>
              <w:t>工作时</w:t>
            </w:r>
            <w:r>
              <w:rPr>
                <w:rFonts w:hint="eastAsia" w:ascii="宋体" w:hAnsi="宋体" w:cs="宋体"/>
                <w:color w:val="auto"/>
              </w:rPr>
              <w:t>接触机械转动部位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ind w:right="-57"/>
              <w:jc w:val="center"/>
              <w:rPr>
                <w:color w:val="auto"/>
                <w:spacing w:val="20"/>
              </w:rPr>
            </w:pPr>
            <w:r>
              <w:rPr>
                <w:color w:val="auto"/>
                <w:spacing w:val="20"/>
              </w:rPr>
              <w:t>触发事件</w:t>
            </w:r>
          </w:p>
        </w:tc>
        <w:tc>
          <w:tcPr>
            <w:tcW w:w="6820" w:type="dxa"/>
            <w:tcBorders>
              <w:top w:val="single" w:color="auto" w:sz="4" w:space="0"/>
              <w:left w:val="single" w:color="auto" w:sz="4" w:space="0"/>
              <w:bottom w:val="single" w:color="auto" w:sz="4" w:space="0"/>
              <w:right w:val="single" w:color="auto" w:sz="4" w:space="0"/>
            </w:tcBorders>
            <w:vAlign w:val="center"/>
          </w:tcPr>
          <w:p>
            <w:pPr>
              <w:numPr>
                <w:ilvl w:val="0"/>
                <w:numId w:val="37"/>
              </w:numPr>
              <w:spacing w:line="320" w:lineRule="exact"/>
              <w:ind w:left="2" w:hanging="2"/>
              <w:jc w:val="left"/>
              <w:rPr>
                <w:rFonts w:ascii="Courier New" w:hAnsi="Courier New" w:cs="Courier New"/>
                <w:color w:val="auto"/>
              </w:rPr>
            </w:pPr>
            <w:r>
              <w:rPr>
                <w:rFonts w:ascii="Courier New" w:hAnsi="Courier New" w:cs="Courier New"/>
                <w:color w:val="auto"/>
              </w:rPr>
              <w:t>转动或传动部位无防护罩；</w:t>
            </w:r>
          </w:p>
          <w:p>
            <w:pPr>
              <w:numPr>
                <w:ilvl w:val="0"/>
                <w:numId w:val="37"/>
              </w:numPr>
              <w:spacing w:line="320" w:lineRule="exact"/>
              <w:ind w:left="0" w:firstLine="34"/>
              <w:jc w:val="left"/>
              <w:rPr>
                <w:rFonts w:ascii="Courier New" w:hAnsi="Courier New" w:cs="Courier New"/>
                <w:color w:val="auto"/>
              </w:rPr>
            </w:pPr>
            <w:r>
              <w:rPr>
                <w:rFonts w:ascii="Courier New" w:hAnsi="Courier New" w:cs="Courier New"/>
                <w:color w:val="auto"/>
              </w:rPr>
              <w:t>设备检修时未断电和设立警示标志，误起动造成机械伤害；</w:t>
            </w:r>
          </w:p>
          <w:p>
            <w:pPr>
              <w:numPr>
                <w:ilvl w:val="0"/>
                <w:numId w:val="37"/>
              </w:numPr>
              <w:spacing w:line="320" w:lineRule="exact"/>
              <w:ind w:left="0" w:firstLine="34"/>
              <w:jc w:val="left"/>
              <w:rPr>
                <w:rFonts w:ascii="Courier New" w:hAnsi="Courier New" w:cs="Courier New"/>
                <w:color w:val="auto"/>
              </w:rPr>
            </w:pPr>
            <w:r>
              <w:rPr>
                <w:rFonts w:ascii="Courier New" w:hAnsi="Courier New" w:cs="Courier New"/>
                <w:color w:val="auto"/>
              </w:rPr>
              <w:t>衣物绞入。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发生条件</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ascii="宋体" w:hAnsi="宋体" w:cs="宋体"/>
                <w:color w:val="auto"/>
              </w:rPr>
              <w:t>人体与机械转动部位直接接触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事故后果</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ascii="Courier New" w:hAnsi="Courier New" w:cs="Courier New"/>
                <w:color w:val="auto"/>
              </w:rPr>
              <w:t>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危险等级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ascii="宋体" w:hAnsi="宋体" w:cs="宋体"/>
                <w:color w:val="auto"/>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发生的可能性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ascii="Courier New" w:hAnsi="Courier New" w:cs="Courier New"/>
                <w:color w:val="auto"/>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风险等级</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ascii="Courier New" w:hAnsi="Courier New" w:cs="Courier New"/>
                <w:color w:val="auto"/>
              </w:rPr>
              <w:t>1</w:t>
            </w:r>
            <w:r>
              <w:rPr>
                <w:rFonts w:ascii="Courier New" w:hAnsi="Courier New" w:cs="Courier New"/>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风险程度</w:t>
            </w:r>
          </w:p>
        </w:tc>
        <w:tc>
          <w:tcPr>
            <w:tcW w:w="682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240" w:lineRule="exact"/>
              <w:rPr>
                <w:rFonts w:ascii="Courier New" w:hAnsi="Courier New" w:cs="Courier New"/>
                <w:color w:val="auto"/>
              </w:rPr>
            </w:pPr>
            <w:r>
              <w:rPr>
                <w:rFonts w:hint="eastAsia" w:ascii="Courier New" w:hAnsi="Courier New" w:cs="Courier New"/>
                <w:color w:val="auto"/>
              </w:rPr>
              <w:t>临界的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防范措施</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ascii="Courier New" w:hAnsi="Courier New" w:cs="Courier New"/>
                <w:color w:val="auto"/>
              </w:rPr>
              <w:t>1、设置防护罩或栏；</w:t>
            </w:r>
          </w:p>
          <w:p>
            <w:pPr>
              <w:adjustRightInd w:val="0"/>
              <w:snapToGrid w:val="0"/>
              <w:spacing w:line="240" w:lineRule="exact"/>
              <w:ind w:left="94" w:hanging="94" w:hangingChars="45"/>
              <w:jc w:val="left"/>
              <w:rPr>
                <w:color w:val="auto"/>
              </w:rPr>
            </w:pPr>
            <w:r>
              <w:rPr>
                <w:color w:val="auto"/>
              </w:rPr>
              <w:t>2</w:t>
            </w:r>
            <w:r>
              <w:rPr>
                <w:rFonts w:ascii="Courier New" w:hAnsi="Courier New" w:cs="Courier New"/>
                <w:color w:val="auto"/>
              </w:rPr>
              <w:t>、正确穿戴好劳动防护用品；</w:t>
            </w:r>
          </w:p>
          <w:p>
            <w:pPr>
              <w:adjustRightInd w:val="0"/>
              <w:snapToGrid w:val="0"/>
              <w:spacing w:line="240" w:lineRule="exact"/>
              <w:ind w:left="94" w:hanging="94" w:hangingChars="45"/>
              <w:jc w:val="left"/>
              <w:rPr>
                <w:color w:val="auto"/>
              </w:rPr>
            </w:pPr>
            <w:r>
              <w:rPr>
                <w:color w:val="auto"/>
              </w:rPr>
              <w:t>3</w:t>
            </w:r>
            <w:r>
              <w:rPr>
                <w:rFonts w:ascii="Courier New" w:hAnsi="Courier New" w:cs="Courier New"/>
                <w:color w:val="auto"/>
              </w:rPr>
              <w:t>、作业过程中严格遵守操作规程；</w:t>
            </w:r>
          </w:p>
          <w:p>
            <w:pPr>
              <w:adjustRightInd w:val="0"/>
              <w:snapToGrid w:val="0"/>
              <w:spacing w:line="240" w:lineRule="exact"/>
              <w:ind w:left="94" w:hanging="94" w:hangingChars="45"/>
              <w:jc w:val="left"/>
              <w:rPr>
                <w:color w:val="auto"/>
              </w:rPr>
            </w:pPr>
            <w:r>
              <w:rPr>
                <w:color w:val="auto"/>
              </w:rPr>
              <w:t>4</w:t>
            </w:r>
            <w:r>
              <w:rPr>
                <w:rFonts w:ascii="Courier New" w:hAnsi="Courier New" w:cs="Courier New"/>
                <w:color w:val="auto"/>
              </w:rPr>
              <w:t>、检修时断电并设立警示标志；</w:t>
            </w:r>
          </w:p>
          <w:p>
            <w:pPr>
              <w:autoSpaceDE w:val="0"/>
              <w:autoSpaceDN w:val="0"/>
              <w:adjustRightInd w:val="0"/>
              <w:spacing w:line="240" w:lineRule="exact"/>
              <w:rPr>
                <w:rFonts w:ascii="Courier New" w:hAnsi="Courier New" w:cs="Courier New"/>
                <w:color w:val="auto"/>
              </w:rPr>
            </w:pPr>
            <w:r>
              <w:rPr>
                <w:color w:val="auto"/>
              </w:rPr>
              <w:t>5</w:t>
            </w:r>
            <w:r>
              <w:rPr>
                <w:rFonts w:ascii="Courier New" w:hAnsi="Courier New" w:cs="Courier New"/>
                <w:color w:val="auto"/>
              </w:rPr>
              <w:t>、工作时衣着应符合</w:t>
            </w:r>
            <w:r>
              <w:rPr>
                <w:color w:val="auto"/>
              </w:rPr>
              <w:t>“</w:t>
            </w:r>
            <w:r>
              <w:rPr>
                <w:rFonts w:ascii="Courier New" w:hAnsi="Courier New" w:cs="Courier New"/>
                <w:color w:val="auto"/>
              </w:rPr>
              <w:t>三紧</w:t>
            </w:r>
            <w:r>
              <w:rPr>
                <w:color w:val="auto"/>
              </w:rPr>
              <w:t>”</w:t>
            </w:r>
            <w:r>
              <w:rPr>
                <w:rFonts w:ascii="Courier New" w:hAnsi="Courier New" w:cs="Courier New"/>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before="40" w:after="40" w:line="240" w:lineRule="exact"/>
              <w:ind w:right="-57"/>
              <w:jc w:val="center"/>
              <w:rPr>
                <w:color w:val="auto"/>
                <w:spacing w:val="20"/>
              </w:rPr>
            </w:pPr>
            <w:r>
              <w:rPr>
                <w:color w:val="auto"/>
                <w:spacing w:val="20"/>
              </w:rPr>
              <w:t>潜在事故</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jc w:val="center"/>
              <w:rPr>
                <w:rFonts w:ascii="Courier New" w:hAnsi="Courier New" w:cs="Courier New"/>
                <w:color w:val="auto"/>
              </w:rPr>
            </w:pPr>
            <w:r>
              <w:rPr>
                <w:rFonts w:hint="eastAsia" w:ascii="Courier New" w:hAnsi="Courier New" w:cs="Courier New"/>
                <w:color w:val="auto"/>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作业场所</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color w:val="auto"/>
              </w:rPr>
              <w:t>空压机房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w:t>
            </w:r>
            <w:r>
              <w:rPr>
                <w:rFonts w:hint="eastAsia"/>
                <w:color w:val="auto"/>
                <w:spacing w:val="20"/>
              </w:rPr>
              <w:t>、有害</w:t>
            </w:r>
            <w:r>
              <w:rPr>
                <w:color w:val="auto"/>
                <w:spacing w:val="20"/>
              </w:rPr>
              <w:t>因素</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在空压机房长时间作业，机房噪声较大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ind w:right="-57"/>
              <w:jc w:val="center"/>
              <w:rPr>
                <w:color w:val="auto"/>
                <w:spacing w:val="20"/>
              </w:rPr>
            </w:pPr>
            <w:r>
              <w:rPr>
                <w:color w:val="auto"/>
                <w:spacing w:val="20"/>
              </w:rPr>
              <w:t>触发事件</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ascii="Courier New" w:hAnsi="Courier New" w:cs="Courier New"/>
                <w:color w:val="auto"/>
              </w:rPr>
              <w:t>设备运行时产生的机械性噪声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发生条件</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长期并经常处于噪声大的环境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事故后果</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听力损伤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危险等级</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ascii="宋体" w:hAnsi="宋体" w:cs="宋体"/>
                <w:color w:val="auto"/>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发生的可能性</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风险等级</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1</w:t>
            </w:r>
            <w:r>
              <w:rPr>
                <w:rFonts w:ascii="Courier New" w:hAnsi="Courier New" w:cs="Courier New"/>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风险程度</w:t>
            </w:r>
          </w:p>
        </w:tc>
        <w:tc>
          <w:tcPr>
            <w:tcW w:w="6820" w:type="dxa"/>
            <w:tcBorders>
              <w:top w:val="single" w:color="auto" w:sz="4" w:space="0"/>
              <w:left w:val="single" w:color="auto" w:sz="4" w:space="0"/>
              <w:bottom w:val="single" w:color="auto" w:sz="4" w:space="0"/>
              <w:right w:val="single" w:color="auto" w:sz="4" w:space="0"/>
            </w:tcBorders>
            <w:vAlign w:val="center"/>
          </w:tcPr>
          <w:p>
            <w:pPr>
              <w:spacing w:line="240" w:lineRule="exact"/>
              <w:ind w:left="94" w:hanging="94" w:hangingChars="45"/>
              <w:rPr>
                <w:rFonts w:ascii="Courier New" w:hAnsi="Courier New" w:cs="Courier New"/>
                <w:color w:val="auto"/>
              </w:rPr>
            </w:pPr>
            <w:r>
              <w:rPr>
                <w:rFonts w:hint="eastAsia" w:ascii="Courier New" w:hAnsi="Courier New" w:cs="Courier New"/>
                <w:color w:val="auto"/>
              </w:rPr>
              <w:t>临界的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148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color w:val="auto"/>
                <w:spacing w:val="20"/>
              </w:rPr>
            </w:pPr>
            <w:r>
              <w:rPr>
                <w:color w:val="auto"/>
                <w:spacing w:val="20"/>
              </w:rPr>
              <w:t>防范措施</w:t>
            </w:r>
          </w:p>
        </w:tc>
        <w:tc>
          <w:tcPr>
            <w:tcW w:w="6820" w:type="dxa"/>
            <w:tcBorders>
              <w:top w:val="single" w:color="auto" w:sz="4" w:space="0"/>
              <w:left w:val="single" w:color="auto" w:sz="4" w:space="0"/>
              <w:bottom w:val="single" w:color="auto" w:sz="4" w:space="0"/>
              <w:right w:val="single" w:color="auto" w:sz="4" w:space="0"/>
            </w:tcBorders>
            <w:vAlign w:val="center"/>
          </w:tcPr>
          <w:p>
            <w:pPr>
              <w:numPr>
                <w:ilvl w:val="0"/>
                <w:numId w:val="38"/>
              </w:numPr>
              <w:spacing w:line="240" w:lineRule="exact"/>
              <w:ind w:left="94" w:hanging="94" w:hangingChars="45"/>
              <w:jc w:val="left"/>
              <w:rPr>
                <w:rFonts w:ascii="Courier New" w:hAnsi="Courier New" w:cs="Courier New"/>
                <w:color w:val="auto"/>
              </w:rPr>
            </w:pPr>
            <w:r>
              <w:rPr>
                <w:rFonts w:ascii="Courier New" w:hAnsi="Courier New" w:cs="Courier New"/>
                <w:color w:val="auto"/>
              </w:rPr>
              <w:t>设置减噪减振基础；</w:t>
            </w:r>
          </w:p>
          <w:p>
            <w:pPr>
              <w:numPr>
                <w:ilvl w:val="0"/>
                <w:numId w:val="38"/>
              </w:numPr>
              <w:spacing w:line="240" w:lineRule="exact"/>
              <w:ind w:left="94" w:hanging="94" w:hangingChars="45"/>
              <w:jc w:val="left"/>
              <w:rPr>
                <w:rFonts w:ascii="Courier New" w:hAnsi="Courier New" w:cs="Courier New"/>
                <w:color w:val="auto"/>
              </w:rPr>
            </w:pPr>
            <w:r>
              <w:rPr>
                <w:rFonts w:ascii="Courier New" w:hAnsi="Courier New" w:cs="Courier New"/>
                <w:color w:val="auto"/>
              </w:rPr>
              <w:t>隔离操作；</w:t>
            </w:r>
          </w:p>
          <w:p>
            <w:pPr>
              <w:numPr>
                <w:ilvl w:val="0"/>
                <w:numId w:val="38"/>
              </w:numPr>
              <w:spacing w:line="240" w:lineRule="exact"/>
              <w:ind w:left="94" w:hanging="94" w:hangingChars="45"/>
              <w:jc w:val="left"/>
              <w:rPr>
                <w:rFonts w:ascii="Courier New" w:hAnsi="Courier New" w:cs="Courier New"/>
                <w:color w:val="auto"/>
              </w:rPr>
            </w:pPr>
            <w:r>
              <w:rPr>
                <w:rFonts w:ascii="Courier New" w:hAnsi="Courier New" w:cs="Courier New"/>
                <w:color w:val="auto"/>
              </w:rPr>
              <w:t>配备防噪耳塞或耳罩。</w:t>
            </w:r>
          </w:p>
        </w:tc>
      </w:tr>
    </w:tbl>
    <w:p>
      <w:pPr>
        <w:ind w:firstLine="560" w:firstLineChars="200"/>
        <w:rPr>
          <w:rFonts w:ascii="宋体" w:hAnsi="宋体" w:cs="宋体"/>
          <w:color w:val="auto"/>
          <w:sz w:val="28"/>
          <w:szCs w:val="28"/>
        </w:rPr>
      </w:pPr>
      <w:r>
        <w:rPr>
          <w:rFonts w:hint="eastAsia" w:ascii="Courier New" w:hAnsi="Courier New" w:cs="Courier New"/>
          <w:color w:val="auto"/>
          <w:sz w:val="28"/>
          <w:szCs w:val="28"/>
        </w:rPr>
        <w:t>评价小结：</w:t>
      </w:r>
    </w:p>
    <w:p>
      <w:pPr>
        <w:ind w:firstLine="560" w:firstLineChars="200"/>
        <w:rPr>
          <w:rFonts w:ascii="宋体" w:hAnsi="宋体" w:cs="Courier New"/>
          <w:color w:val="auto"/>
          <w:spacing w:val="-2"/>
          <w:sz w:val="28"/>
          <w:szCs w:val="28"/>
        </w:rPr>
      </w:pPr>
      <w:r>
        <w:rPr>
          <w:rFonts w:ascii="Courier New" w:hAnsi="Courier New" w:cs="Courier New"/>
          <w:color w:val="auto"/>
          <w:sz w:val="28"/>
          <w:szCs w:val="28"/>
        </w:rPr>
        <w:t>空压</w:t>
      </w:r>
      <w:r>
        <w:rPr>
          <w:rFonts w:ascii="Courier New" w:hAnsi="Courier New" w:cs="Courier New"/>
          <w:color w:val="auto"/>
          <w:spacing w:val="-2"/>
          <w:sz w:val="28"/>
          <w:szCs w:val="28"/>
        </w:rPr>
        <w:t>设备为国家定点生产的产品，目前该装置为定型产品，安全附件及联锁装置均随机配置；在正常运行过程中只要加强维护保养及校验工作，保证安全附件完好灵敏，</w:t>
      </w:r>
      <w:r>
        <w:rPr>
          <w:rFonts w:hint="eastAsia" w:ascii="Courier New" w:hAnsi="Courier New" w:cs="Courier New"/>
          <w:color w:val="auto"/>
          <w:spacing w:val="-2"/>
          <w:sz w:val="28"/>
          <w:szCs w:val="28"/>
        </w:rPr>
        <w:t>设备设施</w:t>
      </w:r>
      <w:r>
        <w:rPr>
          <w:rFonts w:ascii="Courier New" w:hAnsi="Courier New" w:cs="Courier New"/>
          <w:color w:val="auto"/>
          <w:spacing w:val="-2"/>
          <w:sz w:val="28"/>
          <w:szCs w:val="28"/>
        </w:rPr>
        <w:t>按规定进行检测，运行是安全的。</w:t>
      </w:r>
    </w:p>
    <w:p>
      <w:pPr>
        <w:keepNext/>
        <w:keepLines/>
        <w:spacing w:line="600" w:lineRule="exact"/>
        <w:jc w:val="left"/>
        <w:outlineLvl w:val="2"/>
        <w:rPr>
          <w:rFonts w:ascii="Calibri" w:hAnsi="Calibri"/>
          <w:b/>
          <w:color w:val="auto"/>
          <w:sz w:val="28"/>
          <w:szCs w:val="32"/>
        </w:rPr>
      </w:pPr>
      <w:bookmarkStart w:id="282" w:name="_Toc144109263"/>
      <w:r>
        <w:rPr>
          <w:rFonts w:hint="eastAsia" w:ascii="Calibri" w:hAnsi="Calibri"/>
          <w:b/>
          <w:color w:val="auto"/>
          <w:sz w:val="28"/>
          <w:szCs w:val="32"/>
        </w:rPr>
        <w:t>C.</w:t>
      </w:r>
      <w:r>
        <w:rPr>
          <w:rFonts w:ascii="Calibri" w:hAnsi="Calibri"/>
          <w:b/>
          <w:color w:val="auto"/>
          <w:sz w:val="28"/>
          <w:szCs w:val="32"/>
        </w:rPr>
        <w:t>1.4</w:t>
      </w:r>
      <w:r>
        <w:rPr>
          <w:rFonts w:hint="eastAsia" w:ascii="Calibri" w:hAnsi="Calibri"/>
          <w:b/>
          <w:color w:val="auto"/>
          <w:sz w:val="28"/>
          <w:szCs w:val="32"/>
        </w:rPr>
        <w:t>.</w:t>
      </w:r>
      <w:r>
        <w:rPr>
          <w:rFonts w:ascii="Calibri" w:hAnsi="Calibri"/>
          <w:b/>
          <w:color w:val="auto"/>
          <w:sz w:val="28"/>
          <w:szCs w:val="32"/>
        </w:rPr>
        <w:t>4</w:t>
      </w:r>
      <w:r>
        <w:rPr>
          <w:rFonts w:hint="eastAsia" w:ascii="Calibri" w:hAnsi="Calibri"/>
          <w:b/>
          <w:color w:val="auto"/>
          <w:sz w:val="28"/>
          <w:szCs w:val="32"/>
        </w:rPr>
        <w:t xml:space="preserve"> 给排水子单元</w:t>
      </w:r>
      <w:bookmarkEnd w:id="282"/>
    </w:p>
    <w:p>
      <w:pPr>
        <w:spacing w:line="360" w:lineRule="auto"/>
        <w:ind w:firstLine="560" w:firstLineChars="200"/>
        <w:rPr>
          <w:rFonts w:ascii="黑体" w:hAnsi="宋体" w:eastAsia="黑体"/>
          <w:color w:val="auto"/>
          <w:sz w:val="28"/>
          <w:szCs w:val="28"/>
        </w:rPr>
      </w:pPr>
      <w:r>
        <w:rPr>
          <w:rFonts w:hint="eastAsia" w:ascii="黑体" w:hAnsi="黑体" w:eastAsia="黑体"/>
          <w:color w:val="auto"/>
          <w:sz w:val="28"/>
          <w:szCs w:val="28"/>
        </w:rPr>
        <w:t>1.预先危险分析评价</w:t>
      </w:r>
    </w:p>
    <w:p>
      <w:pPr>
        <w:spacing w:line="360" w:lineRule="auto"/>
        <w:ind w:firstLine="560" w:firstLineChars="200"/>
        <w:rPr>
          <w:rFonts w:ascii="宋体" w:hAnsi="宋体"/>
          <w:color w:val="auto"/>
          <w:sz w:val="28"/>
          <w:szCs w:val="28"/>
        </w:rPr>
      </w:pPr>
      <w:r>
        <w:rPr>
          <w:rFonts w:hint="eastAsia" w:ascii="宋体" w:hAnsi="宋体"/>
          <w:color w:val="auto"/>
          <w:sz w:val="28"/>
          <w:szCs w:val="28"/>
        </w:rPr>
        <w:t>采用预先危险分析法（PHA）对该项目给排水方面进行分析评价，具体情况见表C.1-1</w:t>
      </w:r>
      <w:r>
        <w:rPr>
          <w:rFonts w:ascii="宋体" w:hAnsi="宋体"/>
          <w:color w:val="auto"/>
          <w:sz w:val="28"/>
          <w:szCs w:val="28"/>
        </w:rPr>
        <w:t>6</w:t>
      </w:r>
      <w:r>
        <w:rPr>
          <w:rFonts w:hint="eastAsia" w:ascii="宋体" w:hAnsi="宋体"/>
          <w:color w:val="auto"/>
          <w:sz w:val="28"/>
          <w:szCs w:val="28"/>
        </w:rPr>
        <w:t>。</w:t>
      </w:r>
    </w:p>
    <w:p>
      <w:pPr>
        <w:pStyle w:val="102"/>
        <w:ind w:firstLine="420"/>
        <w:jc w:val="center"/>
        <w:rPr>
          <w:rFonts w:ascii="宋体" w:hAnsi="宋体"/>
          <w:color w:val="auto"/>
          <w:sz w:val="21"/>
          <w:szCs w:val="21"/>
        </w:rPr>
      </w:pPr>
    </w:p>
    <w:p>
      <w:pPr>
        <w:pStyle w:val="102"/>
        <w:ind w:firstLine="420"/>
        <w:jc w:val="center"/>
        <w:rPr>
          <w:rFonts w:ascii="宋体" w:hAnsi="宋体"/>
          <w:color w:val="auto"/>
          <w:sz w:val="21"/>
          <w:szCs w:val="21"/>
        </w:rPr>
      </w:pPr>
      <w:r>
        <w:rPr>
          <w:rFonts w:hint="eastAsia" w:ascii="宋体" w:hAnsi="宋体"/>
          <w:color w:val="auto"/>
          <w:sz w:val="21"/>
          <w:szCs w:val="21"/>
        </w:rPr>
        <w:t>表C.1-1</w:t>
      </w:r>
      <w:r>
        <w:rPr>
          <w:rFonts w:ascii="宋体" w:hAnsi="宋体"/>
          <w:color w:val="auto"/>
          <w:sz w:val="21"/>
          <w:szCs w:val="21"/>
        </w:rPr>
        <w:t>6</w:t>
      </w:r>
      <w:r>
        <w:rPr>
          <w:rFonts w:hint="eastAsia" w:ascii="宋体" w:hAnsi="宋体"/>
          <w:color w:val="auto"/>
          <w:sz w:val="21"/>
          <w:szCs w:val="21"/>
        </w:rPr>
        <w:t xml:space="preserve"> 给排水预先危险分析表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6"/>
        <w:gridCol w:w="654"/>
        <w:gridCol w:w="3467"/>
        <w:gridCol w:w="682"/>
        <w:gridCol w:w="682"/>
        <w:gridCol w:w="30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386" w:type="pct"/>
            <w:tcBorders>
              <w:top w:val="single" w:color="auto" w:sz="12" w:space="0"/>
              <w:left w:val="single" w:color="auto" w:sz="12"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事故</w:t>
            </w:r>
          </w:p>
        </w:tc>
        <w:tc>
          <w:tcPr>
            <w:tcW w:w="352" w:type="pct"/>
            <w:tcBorders>
              <w:top w:val="single" w:color="auto" w:sz="12"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阶段</w:t>
            </w:r>
          </w:p>
        </w:tc>
        <w:tc>
          <w:tcPr>
            <w:tcW w:w="1867" w:type="pct"/>
            <w:tcBorders>
              <w:top w:val="single" w:color="auto" w:sz="12"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原因</w:t>
            </w:r>
          </w:p>
        </w:tc>
        <w:tc>
          <w:tcPr>
            <w:tcW w:w="367" w:type="pct"/>
            <w:tcBorders>
              <w:top w:val="single" w:color="auto" w:sz="12"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事故后果</w:t>
            </w:r>
          </w:p>
        </w:tc>
        <w:tc>
          <w:tcPr>
            <w:tcW w:w="367" w:type="pct"/>
            <w:tcBorders>
              <w:top w:val="single" w:color="auto" w:sz="12"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危险等级</w:t>
            </w:r>
          </w:p>
        </w:tc>
        <w:tc>
          <w:tcPr>
            <w:tcW w:w="1661" w:type="pct"/>
            <w:tcBorders>
              <w:top w:val="single" w:color="auto" w:sz="12" w:space="0"/>
              <w:left w:val="single" w:color="auto" w:sz="6" w:space="0"/>
              <w:bottom w:val="single" w:color="auto" w:sz="6" w:space="0"/>
              <w:right w:val="single" w:color="auto" w:sz="12" w:space="0"/>
            </w:tcBorders>
            <w:vAlign w:val="center"/>
          </w:tcPr>
          <w:p>
            <w:pPr>
              <w:spacing w:line="290" w:lineRule="exact"/>
              <w:jc w:val="center"/>
              <w:rPr>
                <w:rFonts w:ascii="宋体" w:hAnsi="宋体"/>
                <w:color w:val="auto"/>
              </w:rPr>
            </w:pPr>
            <w:r>
              <w:rPr>
                <w:rFonts w:hint="eastAsia" w:ascii="宋体" w:hAnsi="宋体"/>
                <w:color w:val="auto"/>
              </w:rPr>
              <w:t>对策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86" w:type="pct"/>
            <w:tcBorders>
              <w:top w:val="single" w:color="auto" w:sz="6" w:space="0"/>
              <w:left w:val="single" w:color="auto" w:sz="12"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火灾</w:t>
            </w:r>
          </w:p>
        </w:tc>
        <w:tc>
          <w:tcPr>
            <w:tcW w:w="352" w:type="pct"/>
            <w:tcBorders>
              <w:top w:val="single" w:color="auto" w:sz="6" w:space="0"/>
              <w:left w:val="single" w:color="auto" w:sz="6" w:space="0"/>
              <w:bottom w:val="single" w:color="auto" w:sz="6" w:space="0"/>
              <w:right w:val="single" w:color="auto" w:sz="6" w:space="0"/>
            </w:tcBorders>
            <w:vAlign w:val="center"/>
          </w:tcPr>
          <w:p>
            <w:pPr>
              <w:spacing w:line="290" w:lineRule="exact"/>
              <w:rPr>
                <w:rFonts w:ascii="宋体" w:hAnsi="宋体"/>
                <w:color w:val="auto"/>
              </w:rPr>
            </w:pPr>
            <w:r>
              <w:rPr>
                <w:rFonts w:hint="eastAsia" w:ascii="宋体" w:hAnsi="宋体"/>
                <w:color w:val="auto"/>
              </w:rPr>
              <w:t>运行、检维修</w:t>
            </w:r>
          </w:p>
        </w:tc>
        <w:tc>
          <w:tcPr>
            <w:tcW w:w="1867" w:type="pct"/>
            <w:tcBorders>
              <w:top w:val="single" w:color="auto" w:sz="6" w:space="0"/>
              <w:left w:val="single" w:color="auto" w:sz="6" w:space="0"/>
              <w:bottom w:val="single" w:color="auto" w:sz="6" w:space="0"/>
              <w:right w:val="single" w:color="auto" w:sz="6" w:space="0"/>
            </w:tcBorders>
            <w:vAlign w:val="center"/>
          </w:tcPr>
          <w:p>
            <w:pPr>
              <w:tabs>
                <w:tab w:val="left" w:pos="57"/>
              </w:tabs>
              <w:spacing w:line="290" w:lineRule="exact"/>
              <w:rPr>
                <w:rFonts w:ascii="宋体" w:hAnsi="宋体"/>
                <w:color w:val="auto"/>
              </w:rPr>
            </w:pPr>
            <w:r>
              <w:rPr>
                <w:rFonts w:hint="eastAsia" w:ascii="宋体" w:hAnsi="宋体"/>
                <w:color w:val="auto"/>
              </w:rPr>
              <w:t>1.循环水中进入易燃、可燃液体；</w:t>
            </w:r>
          </w:p>
          <w:p>
            <w:pPr>
              <w:tabs>
                <w:tab w:val="left" w:pos="57"/>
              </w:tabs>
              <w:spacing w:line="290" w:lineRule="exact"/>
              <w:rPr>
                <w:rFonts w:ascii="宋体" w:hAnsi="宋体"/>
                <w:color w:val="auto"/>
              </w:rPr>
            </w:pPr>
            <w:r>
              <w:rPr>
                <w:rFonts w:hint="eastAsia" w:ascii="宋体" w:hAnsi="宋体"/>
                <w:color w:val="auto"/>
              </w:rPr>
              <w:t>2.设计选型不当、填料材质不合格，3.冷却塔换填料内部坍塌，大量的热无法排出，达到了某些材质的燃烧点，导致燃烧</w:t>
            </w:r>
          </w:p>
          <w:p>
            <w:pPr>
              <w:tabs>
                <w:tab w:val="left" w:pos="57"/>
              </w:tabs>
              <w:spacing w:line="290" w:lineRule="exact"/>
              <w:rPr>
                <w:rFonts w:ascii="宋体" w:hAnsi="宋体"/>
                <w:color w:val="auto"/>
              </w:rPr>
            </w:pPr>
            <w:r>
              <w:rPr>
                <w:rFonts w:hint="eastAsia" w:ascii="宋体" w:hAnsi="宋体"/>
                <w:color w:val="auto"/>
              </w:rPr>
              <w:t>4.短路，导致线路发热，电路表层燃烧引起着火。</w:t>
            </w:r>
          </w:p>
          <w:p>
            <w:pPr>
              <w:tabs>
                <w:tab w:val="left" w:pos="57"/>
              </w:tabs>
              <w:spacing w:line="290" w:lineRule="exact"/>
              <w:rPr>
                <w:rFonts w:ascii="宋体" w:hAnsi="宋体"/>
                <w:color w:val="auto"/>
              </w:rPr>
            </w:pPr>
            <w:r>
              <w:rPr>
                <w:rFonts w:hint="eastAsia" w:ascii="宋体" w:hAnsi="宋体"/>
                <w:color w:val="auto"/>
              </w:rPr>
              <w:t xml:space="preserve">5.检维修动动火作业不规范； </w:t>
            </w:r>
          </w:p>
          <w:p>
            <w:pPr>
              <w:tabs>
                <w:tab w:val="left" w:pos="57"/>
              </w:tabs>
              <w:spacing w:line="290" w:lineRule="exact"/>
              <w:rPr>
                <w:rFonts w:ascii="宋体" w:hAnsi="宋体"/>
                <w:color w:val="auto"/>
              </w:rPr>
            </w:pPr>
            <w:r>
              <w:rPr>
                <w:rFonts w:hint="eastAsia" w:ascii="宋体" w:hAnsi="宋体"/>
                <w:color w:val="auto"/>
              </w:rPr>
              <w:t>6.雷击</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人员伤亡或设备损坏</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Ⅱ</w:t>
            </w:r>
          </w:p>
        </w:tc>
        <w:tc>
          <w:tcPr>
            <w:tcW w:w="1661" w:type="pct"/>
            <w:tcBorders>
              <w:top w:val="single" w:color="auto" w:sz="6" w:space="0"/>
              <w:left w:val="single" w:color="auto" w:sz="6" w:space="0"/>
              <w:bottom w:val="single" w:color="auto" w:sz="6" w:space="0"/>
              <w:right w:val="single" w:color="auto" w:sz="12" w:space="0"/>
            </w:tcBorders>
            <w:vAlign w:val="center"/>
          </w:tcPr>
          <w:p>
            <w:pPr>
              <w:tabs>
                <w:tab w:val="left" w:pos="57"/>
              </w:tabs>
              <w:spacing w:line="290" w:lineRule="exact"/>
              <w:rPr>
                <w:rFonts w:ascii="宋体" w:hAnsi="宋体"/>
                <w:color w:val="auto"/>
              </w:rPr>
            </w:pPr>
            <w:r>
              <w:rPr>
                <w:rFonts w:hint="eastAsia" w:ascii="宋体" w:hAnsi="宋体"/>
                <w:color w:val="auto"/>
              </w:rPr>
              <w:t>1.设备的工程设计、专业制造厂及施工、安装、检修单位必须具有相应的资质及许可证；施工、安装、检修完毕，应做好安全、质量检查和验收交接。</w:t>
            </w:r>
          </w:p>
          <w:p>
            <w:pPr>
              <w:tabs>
                <w:tab w:val="left" w:pos="57"/>
              </w:tabs>
              <w:spacing w:line="290" w:lineRule="exact"/>
              <w:rPr>
                <w:rFonts w:ascii="宋体" w:hAnsi="宋体"/>
                <w:color w:val="auto"/>
              </w:rPr>
            </w:pPr>
            <w:r>
              <w:rPr>
                <w:rFonts w:hint="eastAsia" w:ascii="宋体" w:hAnsi="宋体"/>
                <w:color w:val="auto"/>
              </w:rPr>
              <w:t>2．加强现场检查维护，减缓设备或管道、密封件等腐蚀、老化程度；</w:t>
            </w:r>
          </w:p>
          <w:p>
            <w:pPr>
              <w:tabs>
                <w:tab w:val="left" w:pos="57"/>
              </w:tabs>
              <w:spacing w:line="290" w:lineRule="exact"/>
              <w:rPr>
                <w:rFonts w:ascii="宋体" w:hAnsi="宋体"/>
                <w:color w:val="auto"/>
              </w:rPr>
            </w:pPr>
            <w:r>
              <w:rPr>
                <w:rFonts w:hint="eastAsia" w:ascii="宋体" w:hAnsi="宋体"/>
                <w:color w:val="auto"/>
              </w:rPr>
              <w:t>3.定期检查，禁止违章作业，发现隐患及时整改；</w:t>
            </w:r>
          </w:p>
          <w:p>
            <w:pPr>
              <w:tabs>
                <w:tab w:val="left" w:pos="57"/>
              </w:tabs>
              <w:spacing w:line="290" w:lineRule="exact"/>
              <w:rPr>
                <w:rFonts w:ascii="宋体" w:hAnsi="宋体"/>
                <w:color w:val="auto"/>
              </w:rPr>
            </w:pPr>
            <w:r>
              <w:rPr>
                <w:rFonts w:hint="eastAsia" w:ascii="宋体" w:hAnsi="宋体"/>
                <w:color w:val="auto"/>
              </w:rPr>
              <w:t>4.接地电阻必须符合安全要求外，还必须采取接地故障监测、过电压保护、等电位联结等安全措施</w:t>
            </w:r>
          </w:p>
          <w:p>
            <w:pPr>
              <w:tabs>
                <w:tab w:val="left" w:pos="57"/>
              </w:tabs>
              <w:spacing w:line="290" w:lineRule="exact"/>
              <w:rPr>
                <w:rFonts w:ascii="宋体" w:hAnsi="宋体"/>
                <w:color w:val="auto"/>
              </w:rPr>
            </w:pPr>
            <w:r>
              <w:rPr>
                <w:rFonts w:hint="eastAsia" w:ascii="宋体" w:hAnsi="宋体"/>
                <w:color w:val="auto"/>
              </w:rPr>
              <w:t>5.遵守动火作业安全规程，杜绝违章动火和无证动火。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86" w:type="pct"/>
            <w:tcBorders>
              <w:top w:val="single" w:color="auto" w:sz="6" w:space="0"/>
              <w:left w:val="single" w:color="auto" w:sz="12"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淹溺</w:t>
            </w:r>
          </w:p>
        </w:tc>
        <w:tc>
          <w:tcPr>
            <w:tcW w:w="352" w:type="pct"/>
            <w:tcBorders>
              <w:top w:val="single" w:color="auto" w:sz="6" w:space="0"/>
              <w:left w:val="single" w:color="auto" w:sz="6" w:space="0"/>
              <w:bottom w:val="single" w:color="auto" w:sz="6" w:space="0"/>
              <w:right w:val="single" w:color="auto" w:sz="6" w:space="0"/>
            </w:tcBorders>
            <w:vAlign w:val="center"/>
          </w:tcPr>
          <w:p>
            <w:pPr>
              <w:spacing w:line="290" w:lineRule="exact"/>
              <w:rPr>
                <w:rFonts w:ascii="宋体" w:hAnsi="宋体"/>
                <w:color w:val="auto"/>
              </w:rPr>
            </w:pPr>
            <w:r>
              <w:rPr>
                <w:rFonts w:hint="eastAsia" w:ascii="宋体" w:hAnsi="宋体"/>
                <w:color w:val="auto"/>
              </w:rPr>
              <w:t>设备运行</w:t>
            </w:r>
          </w:p>
        </w:tc>
        <w:tc>
          <w:tcPr>
            <w:tcW w:w="1867" w:type="pct"/>
            <w:tcBorders>
              <w:top w:val="single" w:color="auto" w:sz="6" w:space="0"/>
              <w:left w:val="single" w:color="auto" w:sz="6" w:space="0"/>
              <w:bottom w:val="single" w:color="auto" w:sz="6" w:space="0"/>
              <w:right w:val="single" w:color="auto" w:sz="6" w:space="0"/>
            </w:tcBorders>
            <w:vAlign w:val="center"/>
          </w:tcPr>
          <w:p>
            <w:pPr>
              <w:numPr>
                <w:ilvl w:val="0"/>
                <w:numId w:val="39"/>
              </w:numPr>
              <w:spacing w:line="290" w:lineRule="exact"/>
              <w:rPr>
                <w:rFonts w:ascii="宋体" w:hAnsi="宋体"/>
                <w:color w:val="auto"/>
              </w:rPr>
            </w:pPr>
            <w:r>
              <w:rPr>
                <w:rFonts w:hint="eastAsia" w:ascii="宋体" w:hAnsi="宋体"/>
                <w:color w:val="auto"/>
              </w:rPr>
              <w:t>水池防护设施不健全。</w:t>
            </w:r>
          </w:p>
          <w:p>
            <w:pPr>
              <w:numPr>
                <w:ilvl w:val="0"/>
                <w:numId w:val="39"/>
              </w:numPr>
              <w:spacing w:line="290" w:lineRule="exact"/>
              <w:rPr>
                <w:rFonts w:ascii="宋体" w:hAnsi="宋体"/>
                <w:color w:val="auto"/>
              </w:rPr>
            </w:pPr>
            <w:r>
              <w:rPr>
                <w:rFonts w:hint="eastAsia" w:ascii="宋体" w:hAnsi="宋体"/>
                <w:color w:val="auto"/>
              </w:rPr>
              <w:t>人员安全意识差。</w:t>
            </w:r>
          </w:p>
          <w:p>
            <w:pPr>
              <w:spacing w:line="290" w:lineRule="exact"/>
              <w:rPr>
                <w:rFonts w:ascii="宋体" w:hAnsi="宋体"/>
                <w:color w:val="auto"/>
              </w:rPr>
            </w:pPr>
            <w:r>
              <w:rPr>
                <w:rFonts w:hint="eastAsia" w:ascii="宋体" w:hAnsi="宋体"/>
                <w:color w:val="auto"/>
              </w:rPr>
              <w:t>运行或检修操作规程不健全。</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人员伤亡</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Ⅱ</w:t>
            </w:r>
          </w:p>
        </w:tc>
        <w:tc>
          <w:tcPr>
            <w:tcW w:w="1661" w:type="pct"/>
            <w:tcBorders>
              <w:top w:val="single" w:color="auto" w:sz="6" w:space="0"/>
              <w:left w:val="single" w:color="auto" w:sz="6" w:space="0"/>
              <w:bottom w:val="single" w:color="auto" w:sz="6" w:space="0"/>
              <w:right w:val="single" w:color="auto" w:sz="12" w:space="0"/>
            </w:tcBorders>
            <w:vAlign w:val="center"/>
          </w:tcPr>
          <w:p>
            <w:pPr>
              <w:numPr>
                <w:ilvl w:val="0"/>
                <w:numId w:val="40"/>
              </w:numPr>
              <w:spacing w:line="290" w:lineRule="exact"/>
              <w:rPr>
                <w:rFonts w:ascii="宋体" w:hAnsi="宋体"/>
                <w:color w:val="auto"/>
              </w:rPr>
            </w:pPr>
            <w:r>
              <w:rPr>
                <w:rFonts w:hint="eastAsia" w:ascii="宋体" w:hAnsi="宋体"/>
                <w:color w:val="auto"/>
              </w:rPr>
              <w:t>健全水池防护设施。</w:t>
            </w:r>
          </w:p>
          <w:p>
            <w:pPr>
              <w:numPr>
                <w:ilvl w:val="0"/>
                <w:numId w:val="40"/>
              </w:numPr>
              <w:spacing w:line="290" w:lineRule="exact"/>
              <w:rPr>
                <w:rFonts w:ascii="宋体" w:hAnsi="宋体"/>
                <w:color w:val="auto"/>
              </w:rPr>
            </w:pPr>
            <w:r>
              <w:rPr>
                <w:rFonts w:hint="eastAsia" w:ascii="宋体" w:hAnsi="宋体"/>
                <w:color w:val="auto"/>
              </w:rPr>
              <w:t>加强安全教育工作。</w:t>
            </w:r>
          </w:p>
          <w:p>
            <w:pPr>
              <w:numPr>
                <w:ilvl w:val="0"/>
                <w:numId w:val="40"/>
              </w:numPr>
              <w:spacing w:line="290" w:lineRule="exact"/>
              <w:rPr>
                <w:rFonts w:ascii="宋体" w:hAnsi="宋体"/>
                <w:color w:val="auto"/>
              </w:rPr>
            </w:pPr>
            <w:r>
              <w:rPr>
                <w:rFonts w:hint="eastAsia" w:ascii="宋体" w:hAnsi="宋体"/>
                <w:color w:val="auto"/>
              </w:rPr>
              <w:t>建立健全运行或检修操作规程。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86" w:type="pct"/>
            <w:tcBorders>
              <w:top w:val="single" w:color="auto" w:sz="6" w:space="0"/>
              <w:left w:val="single" w:color="auto" w:sz="12"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机械</w:t>
            </w:r>
          </w:p>
          <w:p>
            <w:pPr>
              <w:spacing w:line="290" w:lineRule="exact"/>
              <w:jc w:val="center"/>
              <w:rPr>
                <w:rFonts w:ascii="宋体" w:hAnsi="宋体"/>
                <w:color w:val="auto"/>
              </w:rPr>
            </w:pPr>
            <w:r>
              <w:rPr>
                <w:rFonts w:hint="eastAsia" w:ascii="宋体" w:hAnsi="宋体"/>
                <w:color w:val="auto"/>
              </w:rPr>
              <w:t>伤害</w:t>
            </w:r>
          </w:p>
        </w:tc>
        <w:tc>
          <w:tcPr>
            <w:tcW w:w="352" w:type="pct"/>
            <w:tcBorders>
              <w:top w:val="single" w:color="auto" w:sz="6" w:space="0"/>
              <w:left w:val="single" w:color="auto" w:sz="6" w:space="0"/>
              <w:bottom w:val="single" w:color="auto" w:sz="6" w:space="0"/>
              <w:right w:val="single" w:color="auto" w:sz="6" w:space="0"/>
            </w:tcBorders>
            <w:vAlign w:val="center"/>
          </w:tcPr>
          <w:p>
            <w:pPr>
              <w:spacing w:line="290" w:lineRule="exact"/>
              <w:rPr>
                <w:rFonts w:ascii="宋体" w:hAnsi="宋体"/>
                <w:color w:val="auto"/>
              </w:rPr>
            </w:pPr>
            <w:r>
              <w:rPr>
                <w:rFonts w:hint="eastAsia" w:ascii="宋体" w:hAnsi="宋体"/>
                <w:color w:val="auto"/>
              </w:rPr>
              <w:t>运行、检修、维修过程</w:t>
            </w:r>
          </w:p>
        </w:tc>
        <w:tc>
          <w:tcPr>
            <w:tcW w:w="1867" w:type="pct"/>
            <w:tcBorders>
              <w:top w:val="single" w:color="auto" w:sz="6" w:space="0"/>
              <w:left w:val="single" w:color="auto" w:sz="6" w:space="0"/>
              <w:bottom w:val="single" w:color="auto" w:sz="6" w:space="0"/>
              <w:right w:val="single" w:color="auto" w:sz="6" w:space="0"/>
            </w:tcBorders>
            <w:vAlign w:val="center"/>
          </w:tcPr>
          <w:p>
            <w:pPr>
              <w:numPr>
                <w:ilvl w:val="0"/>
                <w:numId w:val="41"/>
              </w:numPr>
              <w:spacing w:line="290" w:lineRule="exact"/>
              <w:rPr>
                <w:rFonts w:ascii="宋体" w:hAnsi="宋体"/>
                <w:color w:val="auto"/>
              </w:rPr>
            </w:pPr>
            <w:r>
              <w:rPr>
                <w:rFonts w:hint="eastAsia" w:ascii="宋体" w:hAnsi="宋体"/>
                <w:color w:val="auto"/>
              </w:rPr>
              <w:t>检修中或检修后的转动机械试运行启动时，未先撤离人员。</w:t>
            </w:r>
          </w:p>
          <w:p>
            <w:pPr>
              <w:numPr>
                <w:ilvl w:val="0"/>
                <w:numId w:val="41"/>
              </w:numPr>
              <w:spacing w:line="290" w:lineRule="exact"/>
              <w:rPr>
                <w:rFonts w:ascii="宋体" w:hAnsi="宋体"/>
                <w:color w:val="auto"/>
              </w:rPr>
            </w:pPr>
            <w:r>
              <w:rPr>
                <w:rFonts w:hint="eastAsia" w:ascii="宋体" w:hAnsi="宋体"/>
                <w:color w:val="auto"/>
              </w:rPr>
              <w:t>电动机启动和运行人员在电动机合闸前未先撤离人员。</w:t>
            </w:r>
          </w:p>
          <w:p>
            <w:pPr>
              <w:numPr>
                <w:ilvl w:val="0"/>
                <w:numId w:val="41"/>
              </w:numPr>
              <w:spacing w:line="290" w:lineRule="exact"/>
              <w:rPr>
                <w:rFonts w:ascii="宋体" w:hAnsi="宋体"/>
                <w:color w:val="auto"/>
              </w:rPr>
            </w:pPr>
            <w:r>
              <w:rPr>
                <w:rFonts w:hint="eastAsia" w:ascii="宋体" w:hAnsi="宋体"/>
                <w:color w:val="auto"/>
              </w:rPr>
              <w:t>违章操作。</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人员伤亡</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Ⅱ</w:t>
            </w:r>
          </w:p>
        </w:tc>
        <w:tc>
          <w:tcPr>
            <w:tcW w:w="1661" w:type="pct"/>
            <w:tcBorders>
              <w:top w:val="single" w:color="auto" w:sz="6" w:space="0"/>
              <w:left w:val="single" w:color="auto" w:sz="6" w:space="0"/>
              <w:bottom w:val="single" w:color="auto" w:sz="6" w:space="0"/>
              <w:right w:val="single" w:color="auto" w:sz="12" w:space="0"/>
            </w:tcBorders>
            <w:vAlign w:val="center"/>
          </w:tcPr>
          <w:p>
            <w:pPr>
              <w:numPr>
                <w:ilvl w:val="0"/>
                <w:numId w:val="42"/>
              </w:numPr>
              <w:spacing w:line="290" w:lineRule="exact"/>
              <w:rPr>
                <w:rFonts w:ascii="宋体" w:hAnsi="宋体"/>
                <w:color w:val="auto"/>
              </w:rPr>
            </w:pPr>
            <w:r>
              <w:rPr>
                <w:rFonts w:hint="eastAsia" w:ascii="宋体" w:hAnsi="宋体"/>
                <w:color w:val="auto"/>
              </w:rPr>
              <w:t>检修中要彼此配合好，在闸刀处设置禁止合闸标志。</w:t>
            </w:r>
          </w:p>
          <w:p>
            <w:pPr>
              <w:numPr>
                <w:ilvl w:val="0"/>
                <w:numId w:val="42"/>
              </w:numPr>
              <w:spacing w:line="290" w:lineRule="exact"/>
              <w:rPr>
                <w:rFonts w:ascii="宋体" w:hAnsi="宋体"/>
                <w:color w:val="auto"/>
              </w:rPr>
            </w:pPr>
            <w:r>
              <w:rPr>
                <w:rFonts w:hint="eastAsia" w:ascii="宋体" w:hAnsi="宋体"/>
                <w:color w:val="auto"/>
              </w:rPr>
              <w:t>严禁违章操作。</w:t>
            </w:r>
          </w:p>
          <w:p>
            <w:pPr>
              <w:numPr>
                <w:ilvl w:val="0"/>
                <w:numId w:val="42"/>
              </w:numPr>
              <w:spacing w:line="290" w:lineRule="exact"/>
              <w:rPr>
                <w:rFonts w:ascii="宋体" w:hAnsi="宋体"/>
                <w:color w:val="auto"/>
              </w:rPr>
            </w:pPr>
            <w:r>
              <w:rPr>
                <w:rFonts w:hint="eastAsia" w:ascii="宋体" w:hAnsi="宋体"/>
                <w:color w:val="auto"/>
              </w:rPr>
              <w:t>转动部位要安装防护罩。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86" w:type="pct"/>
            <w:tcBorders>
              <w:top w:val="single" w:color="auto" w:sz="6" w:space="0"/>
              <w:left w:val="single" w:color="auto" w:sz="12"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触电</w:t>
            </w:r>
          </w:p>
        </w:tc>
        <w:tc>
          <w:tcPr>
            <w:tcW w:w="352" w:type="pct"/>
            <w:tcBorders>
              <w:top w:val="single" w:color="auto" w:sz="6" w:space="0"/>
              <w:left w:val="single" w:color="auto" w:sz="6" w:space="0"/>
              <w:bottom w:val="single" w:color="auto" w:sz="6" w:space="0"/>
              <w:right w:val="single" w:color="auto" w:sz="6" w:space="0"/>
            </w:tcBorders>
            <w:vAlign w:val="center"/>
          </w:tcPr>
          <w:p>
            <w:pPr>
              <w:spacing w:line="290" w:lineRule="exact"/>
              <w:rPr>
                <w:rFonts w:ascii="宋体" w:hAnsi="宋体"/>
                <w:color w:val="auto"/>
              </w:rPr>
            </w:pPr>
            <w:r>
              <w:rPr>
                <w:rFonts w:hint="eastAsia" w:ascii="宋体" w:hAnsi="宋体"/>
                <w:color w:val="auto"/>
              </w:rPr>
              <w:t>设备运转、检修或维修过程</w:t>
            </w:r>
          </w:p>
        </w:tc>
        <w:tc>
          <w:tcPr>
            <w:tcW w:w="1867" w:type="pct"/>
            <w:tcBorders>
              <w:top w:val="single" w:color="auto" w:sz="6" w:space="0"/>
              <w:left w:val="single" w:color="auto" w:sz="6" w:space="0"/>
              <w:bottom w:val="single" w:color="auto" w:sz="6" w:space="0"/>
              <w:right w:val="single" w:color="auto" w:sz="6" w:space="0"/>
            </w:tcBorders>
            <w:vAlign w:val="center"/>
          </w:tcPr>
          <w:p>
            <w:pPr>
              <w:numPr>
                <w:ilvl w:val="0"/>
                <w:numId w:val="43"/>
              </w:numPr>
              <w:spacing w:line="290" w:lineRule="exact"/>
              <w:rPr>
                <w:rFonts w:ascii="宋体" w:hAnsi="宋体"/>
                <w:color w:val="auto"/>
              </w:rPr>
            </w:pPr>
            <w:r>
              <w:rPr>
                <w:rFonts w:hint="eastAsia" w:ascii="宋体" w:hAnsi="宋体"/>
                <w:color w:val="auto"/>
              </w:rPr>
              <w:t>不按用电安全操作规程，违章进行操作。</w:t>
            </w:r>
          </w:p>
          <w:p>
            <w:pPr>
              <w:numPr>
                <w:ilvl w:val="0"/>
                <w:numId w:val="43"/>
              </w:numPr>
              <w:spacing w:line="290" w:lineRule="exact"/>
              <w:rPr>
                <w:rFonts w:ascii="宋体" w:hAnsi="宋体"/>
                <w:color w:val="auto"/>
              </w:rPr>
            </w:pPr>
            <w:r>
              <w:rPr>
                <w:rFonts w:hint="eastAsia" w:ascii="宋体" w:hAnsi="宋体"/>
                <w:color w:val="auto"/>
              </w:rPr>
              <w:t>设备电气部分安全防护装置缺乏或损坏、被拆除等。</w:t>
            </w:r>
          </w:p>
          <w:p>
            <w:pPr>
              <w:numPr>
                <w:ilvl w:val="0"/>
                <w:numId w:val="43"/>
              </w:numPr>
              <w:spacing w:line="290" w:lineRule="exact"/>
              <w:rPr>
                <w:rFonts w:ascii="宋体" w:hAnsi="宋体"/>
                <w:color w:val="auto"/>
              </w:rPr>
            </w:pPr>
            <w:r>
              <w:rPr>
                <w:rFonts w:hint="eastAsia" w:ascii="宋体" w:hAnsi="宋体"/>
                <w:color w:val="auto"/>
              </w:rPr>
              <w:t>电气设备未按规定接地，未安装漏电保护装置或绝缘不良。</w:t>
            </w:r>
          </w:p>
          <w:p>
            <w:pPr>
              <w:numPr>
                <w:ilvl w:val="0"/>
                <w:numId w:val="43"/>
              </w:numPr>
              <w:spacing w:line="290" w:lineRule="exact"/>
              <w:rPr>
                <w:rFonts w:ascii="宋体" w:hAnsi="宋体"/>
                <w:color w:val="auto"/>
              </w:rPr>
            </w:pPr>
            <w:r>
              <w:rPr>
                <w:rFonts w:hint="eastAsia" w:ascii="宋体" w:hAnsi="宋体"/>
                <w:color w:val="auto"/>
              </w:rPr>
              <w:t>在检修电气故障工作时，未按规定切断电源或未在电源开关处挂上明显的作业标志。</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人员伤亡</w:t>
            </w:r>
          </w:p>
        </w:tc>
        <w:tc>
          <w:tcPr>
            <w:tcW w:w="367" w:type="pct"/>
            <w:tcBorders>
              <w:top w:val="single" w:color="auto" w:sz="6" w:space="0"/>
              <w:left w:val="single" w:color="auto" w:sz="6" w:space="0"/>
              <w:bottom w:val="single" w:color="auto" w:sz="6"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Ⅱ</w:t>
            </w:r>
          </w:p>
        </w:tc>
        <w:tc>
          <w:tcPr>
            <w:tcW w:w="1661" w:type="pct"/>
            <w:tcBorders>
              <w:top w:val="single" w:color="auto" w:sz="6" w:space="0"/>
              <w:left w:val="single" w:color="auto" w:sz="6" w:space="0"/>
              <w:bottom w:val="single" w:color="auto" w:sz="6" w:space="0"/>
              <w:right w:val="single" w:color="auto" w:sz="12" w:space="0"/>
            </w:tcBorders>
            <w:vAlign w:val="center"/>
          </w:tcPr>
          <w:p>
            <w:pPr>
              <w:numPr>
                <w:ilvl w:val="0"/>
                <w:numId w:val="44"/>
              </w:numPr>
              <w:spacing w:line="290" w:lineRule="exact"/>
              <w:rPr>
                <w:rFonts w:ascii="宋体" w:hAnsi="宋体"/>
                <w:color w:val="auto"/>
              </w:rPr>
            </w:pPr>
            <w:r>
              <w:rPr>
                <w:rFonts w:hint="eastAsia" w:ascii="宋体" w:hAnsi="宋体"/>
                <w:color w:val="auto"/>
              </w:rPr>
              <w:t>操作人员上岗前培训，持证上岗。</w:t>
            </w:r>
          </w:p>
          <w:p>
            <w:pPr>
              <w:numPr>
                <w:ilvl w:val="0"/>
                <w:numId w:val="44"/>
              </w:numPr>
              <w:spacing w:line="290" w:lineRule="exact"/>
              <w:rPr>
                <w:rFonts w:ascii="宋体" w:hAnsi="宋体"/>
                <w:color w:val="auto"/>
              </w:rPr>
            </w:pPr>
            <w:r>
              <w:rPr>
                <w:rFonts w:hint="eastAsia" w:ascii="宋体" w:hAnsi="宋体"/>
                <w:color w:val="auto"/>
              </w:rPr>
              <w:t>严格用电安全操作规程，严禁违章进行操作。</w:t>
            </w:r>
          </w:p>
          <w:p>
            <w:pPr>
              <w:numPr>
                <w:ilvl w:val="0"/>
                <w:numId w:val="44"/>
              </w:numPr>
              <w:spacing w:line="290" w:lineRule="exact"/>
              <w:rPr>
                <w:rFonts w:ascii="宋体" w:hAnsi="宋体"/>
                <w:color w:val="auto"/>
              </w:rPr>
            </w:pPr>
            <w:r>
              <w:rPr>
                <w:rFonts w:hint="eastAsia" w:ascii="宋体" w:hAnsi="宋体"/>
                <w:color w:val="auto"/>
              </w:rPr>
              <w:t>保持设备电气部分安全防护装置的良好状态。</w:t>
            </w:r>
          </w:p>
          <w:p>
            <w:pPr>
              <w:numPr>
                <w:ilvl w:val="0"/>
                <w:numId w:val="44"/>
              </w:numPr>
              <w:spacing w:line="290" w:lineRule="exact"/>
              <w:rPr>
                <w:rFonts w:ascii="宋体" w:hAnsi="宋体"/>
                <w:color w:val="auto"/>
              </w:rPr>
            </w:pPr>
            <w:r>
              <w:rPr>
                <w:rFonts w:hint="eastAsia" w:ascii="宋体" w:hAnsi="宋体"/>
                <w:color w:val="auto"/>
              </w:rPr>
              <w:t>电气设备按规定接地，安装漏电保护装置，定期检测电气绝缘程度。</w:t>
            </w:r>
          </w:p>
          <w:p>
            <w:pPr>
              <w:numPr>
                <w:ilvl w:val="0"/>
                <w:numId w:val="44"/>
              </w:numPr>
              <w:spacing w:line="290" w:lineRule="exact"/>
              <w:rPr>
                <w:rFonts w:ascii="宋体" w:hAnsi="宋体"/>
                <w:color w:val="auto"/>
              </w:rPr>
            </w:pPr>
            <w:r>
              <w:rPr>
                <w:rFonts w:hint="eastAsia" w:ascii="宋体" w:hAnsi="宋体"/>
                <w:color w:val="auto"/>
              </w:rPr>
              <w:t>在检修故障时，按规定切断电源并在电源开关处挂上明显的作业标志（如严禁合闸等）。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86" w:type="pct"/>
            <w:tcBorders>
              <w:top w:val="single" w:color="auto" w:sz="6" w:space="0"/>
              <w:left w:val="single" w:color="auto" w:sz="12" w:space="0"/>
              <w:bottom w:val="single" w:color="auto" w:sz="12"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噪声与振动</w:t>
            </w:r>
          </w:p>
        </w:tc>
        <w:tc>
          <w:tcPr>
            <w:tcW w:w="352" w:type="pct"/>
            <w:tcBorders>
              <w:top w:val="single" w:color="auto" w:sz="6" w:space="0"/>
              <w:left w:val="single" w:color="auto" w:sz="6" w:space="0"/>
              <w:bottom w:val="single" w:color="auto" w:sz="12" w:space="0"/>
              <w:right w:val="single" w:color="auto" w:sz="6" w:space="0"/>
            </w:tcBorders>
            <w:vAlign w:val="center"/>
          </w:tcPr>
          <w:p>
            <w:pPr>
              <w:spacing w:line="290" w:lineRule="exact"/>
              <w:rPr>
                <w:rFonts w:ascii="宋体" w:hAnsi="宋体"/>
                <w:color w:val="auto"/>
              </w:rPr>
            </w:pPr>
          </w:p>
        </w:tc>
        <w:tc>
          <w:tcPr>
            <w:tcW w:w="1867" w:type="pct"/>
            <w:tcBorders>
              <w:top w:val="single" w:color="auto" w:sz="6" w:space="0"/>
              <w:left w:val="single" w:color="auto" w:sz="6" w:space="0"/>
              <w:bottom w:val="single" w:color="auto" w:sz="12" w:space="0"/>
              <w:right w:val="single" w:color="auto" w:sz="6" w:space="0"/>
            </w:tcBorders>
            <w:vAlign w:val="center"/>
          </w:tcPr>
          <w:p>
            <w:pPr>
              <w:numPr>
                <w:ilvl w:val="0"/>
                <w:numId w:val="45"/>
              </w:numPr>
              <w:spacing w:line="290" w:lineRule="exact"/>
              <w:ind w:firstLine="0"/>
              <w:rPr>
                <w:rFonts w:ascii="宋体" w:hAnsi="宋体"/>
                <w:color w:val="auto"/>
              </w:rPr>
            </w:pPr>
            <w:r>
              <w:rPr>
                <w:rFonts w:hint="eastAsia" w:ascii="宋体" w:hAnsi="宋体"/>
                <w:color w:val="auto"/>
              </w:rPr>
              <w:t>水泵工作时发出噪声。</w:t>
            </w:r>
          </w:p>
          <w:p>
            <w:pPr>
              <w:numPr>
                <w:ilvl w:val="0"/>
                <w:numId w:val="45"/>
              </w:numPr>
              <w:spacing w:line="290" w:lineRule="exact"/>
              <w:ind w:firstLine="0"/>
              <w:rPr>
                <w:rFonts w:ascii="宋体" w:hAnsi="宋体"/>
                <w:color w:val="auto"/>
              </w:rPr>
            </w:pPr>
            <w:r>
              <w:rPr>
                <w:rFonts w:hint="eastAsia" w:ascii="宋体" w:hAnsi="宋体"/>
                <w:color w:val="auto"/>
              </w:rPr>
              <w:t>作业人员长期在噪声环境下作业。</w:t>
            </w:r>
          </w:p>
        </w:tc>
        <w:tc>
          <w:tcPr>
            <w:tcW w:w="367" w:type="pct"/>
            <w:tcBorders>
              <w:top w:val="single" w:color="auto" w:sz="6" w:space="0"/>
              <w:left w:val="single" w:color="auto" w:sz="6" w:space="0"/>
              <w:bottom w:val="single" w:color="auto" w:sz="12"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人员伤害</w:t>
            </w:r>
          </w:p>
        </w:tc>
        <w:tc>
          <w:tcPr>
            <w:tcW w:w="367" w:type="pct"/>
            <w:tcBorders>
              <w:top w:val="single" w:color="auto" w:sz="6" w:space="0"/>
              <w:left w:val="single" w:color="auto" w:sz="6" w:space="0"/>
              <w:bottom w:val="single" w:color="auto" w:sz="12" w:space="0"/>
              <w:right w:val="single" w:color="auto" w:sz="6" w:space="0"/>
            </w:tcBorders>
            <w:vAlign w:val="center"/>
          </w:tcPr>
          <w:p>
            <w:pPr>
              <w:spacing w:line="290" w:lineRule="exact"/>
              <w:jc w:val="center"/>
              <w:rPr>
                <w:rFonts w:ascii="宋体" w:hAnsi="宋体"/>
                <w:color w:val="auto"/>
              </w:rPr>
            </w:pPr>
            <w:r>
              <w:rPr>
                <w:rFonts w:hint="eastAsia" w:ascii="宋体" w:hAnsi="宋体"/>
                <w:color w:val="auto"/>
              </w:rPr>
              <w:t>Ⅱ</w:t>
            </w:r>
          </w:p>
        </w:tc>
        <w:tc>
          <w:tcPr>
            <w:tcW w:w="1661" w:type="pct"/>
            <w:tcBorders>
              <w:top w:val="single" w:color="auto" w:sz="6" w:space="0"/>
              <w:left w:val="single" w:color="auto" w:sz="6" w:space="0"/>
              <w:bottom w:val="single" w:color="auto" w:sz="12" w:space="0"/>
              <w:right w:val="single" w:color="auto" w:sz="12" w:space="0"/>
            </w:tcBorders>
            <w:vAlign w:val="center"/>
          </w:tcPr>
          <w:p>
            <w:pPr>
              <w:numPr>
                <w:ilvl w:val="0"/>
                <w:numId w:val="46"/>
              </w:numPr>
              <w:spacing w:line="290" w:lineRule="exact"/>
              <w:rPr>
                <w:rFonts w:ascii="宋体" w:hAnsi="宋体"/>
                <w:color w:val="auto"/>
              </w:rPr>
            </w:pPr>
            <w:r>
              <w:rPr>
                <w:rFonts w:hint="eastAsia" w:ascii="宋体" w:hAnsi="宋体"/>
                <w:color w:val="auto"/>
              </w:rPr>
              <w:t>加强对水泵等产生噪声较大的设备采取隔离措施。</w:t>
            </w:r>
          </w:p>
          <w:p>
            <w:pPr>
              <w:numPr>
                <w:ilvl w:val="0"/>
                <w:numId w:val="46"/>
              </w:numPr>
              <w:spacing w:line="290" w:lineRule="exact"/>
              <w:rPr>
                <w:rFonts w:ascii="宋体" w:hAnsi="宋体"/>
                <w:color w:val="auto"/>
              </w:rPr>
            </w:pPr>
            <w:r>
              <w:rPr>
                <w:rFonts w:hint="eastAsia" w:ascii="宋体" w:hAnsi="宋体"/>
                <w:color w:val="auto"/>
              </w:rPr>
              <w:t>加强个人防护。</w:t>
            </w:r>
          </w:p>
        </w:tc>
      </w:tr>
    </w:tbl>
    <w:p>
      <w:pPr>
        <w:spacing w:line="360" w:lineRule="auto"/>
        <w:ind w:firstLine="560" w:firstLineChars="200"/>
        <w:rPr>
          <w:rFonts w:ascii="黑体" w:hAnsi="宋体" w:eastAsia="黑体"/>
          <w:color w:val="auto"/>
          <w:kern w:val="0"/>
          <w:sz w:val="28"/>
          <w:szCs w:val="28"/>
        </w:rPr>
      </w:pPr>
      <w:r>
        <w:rPr>
          <w:rFonts w:hint="eastAsia" w:ascii="黑体" w:hAnsi="黑体" w:eastAsia="黑体"/>
          <w:color w:val="auto"/>
          <w:kern w:val="0"/>
          <w:sz w:val="28"/>
          <w:szCs w:val="28"/>
        </w:rPr>
        <w:t>2.评价小结</w:t>
      </w:r>
    </w:p>
    <w:p>
      <w:pPr>
        <w:ind w:firstLine="560" w:firstLineChars="200"/>
        <w:rPr>
          <w:color w:val="auto"/>
        </w:rPr>
      </w:pPr>
      <w:r>
        <w:rPr>
          <w:rFonts w:hint="eastAsia" w:ascii="宋体" w:hAnsi="宋体"/>
          <w:color w:val="auto"/>
          <w:kern w:val="0"/>
          <w:sz w:val="28"/>
          <w:szCs w:val="28"/>
        </w:rPr>
        <w:t>通过预先危险分析，该项目给排水方面主要危险、</w:t>
      </w:r>
      <w:r>
        <w:rPr>
          <w:rFonts w:hint="eastAsia" w:ascii="宋体" w:hAnsi="宋体"/>
          <w:color w:val="auto"/>
          <w:sz w:val="28"/>
          <w:szCs w:val="28"/>
        </w:rPr>
        <w:t>有害</w:t>
      </w:r>
      <w:r>
        <w:rPr>
          <w:rFonts w:hint="eastAsia" w:ascii="宋体" w:hAnsi="宋体"/>
          <w:color w:val="auto"/>
          <w:kern w:val="0"/>
          <w:sz w:val="28"/>
          <w:szCs w:val="28"/>
        </w:rPr>
        <w:t>因素有：火灾、淹溺、机械伤害、触电、噪声危险程度为Ⅱ级（临界的），处于事故的边缘状态，暂时还不会造成人员伤亡、系统损坏降低系统性能，但应予排除或采取控制措施。</w:t>
      </w:r>
    </w:p>
    <w:p>
      <w:pPr>
        <w:keepNext/>
        <w:keepLines/>
        <w:spacing w:line="580" w:lineRule="exact"/>
        <w:jc w:val="left"/>
        <w:outlineLvl w:val="1"/>
        <w:rPr>
          <w:rFonts w:ascii="Calibri Light" w:hAnsi="Calibri Light"/>
          <w:b/>
          <w:color w:val="auto"/>
          <w:sz w:val="30"/>
          <w:szCs w:val="30"/>
        </w:rPr>
      </w:pPr>
      <w:bookmarkStart w:id="283" w:name="_Toc144109264"/>
      <w:r>
        <w:rPr>
          <w:rFonts w:hint="eastAsia" w:ascii="Calibri Light" w:hAnsi="Calibri Light"/>
          <w:b/>
          <w:color w:val="auto"/>
          <w:sz w:val="30"/>
          <w:szCs w:val="30"/>
        </w:rPr>
        <w:t>C.</w:t>
      </w:r>
      <w:r>
        <w:rPr>
          <w:rFonts w:ascii="Calibri Light" w:hAnsi="Calibri Light"/>
          <w:b/>
          <w:color w:val="auto"/>
          <w:sz w:val="30"/>
          <w:szCs w:val="30"/>
        </w:rPr>
        <w:t>1.5</w:t>
      </w:r>
      <w:r>
        <w:rPr>
          <w:rFonts w:hint="eastAsia" w:ascii="Calibri Light" w:hAnsi="Calibri Light"/>
          <w:b/>
          <w:color w:val="auto"/>
          <w:sz w:val="30"/>
          <w:szCs w:val="30"/>
        </w:rPr>
        <w:t xml:space="preserve"> 储运系统单元评价</w:t>
      </w:r>
      <w:bookmarkEnd w:id="283"/>
    </w:p>
    <w:p>
      <w:pPr>
        <w:ind w:firstLine="560" w:firstLineChars="200"/>
        <w:rPr>
          <w:color w:val="auto"/>
        </w:rPr>
      </w:pPr>
      <w:r>
        <w:rPr>
          <w:rFonts w:hint="eastAsia" w:ascii="宋体" w:hAnsi="宋体" w:cs="宋体"/>
          <w:color w:val="auto"/>
          <w:sz w:val="28"/>
          <w:szCs w:val="28"/>
        </w:rPr>
        <w:t>该项目原辅材料及产品分别存储于新建2</w:t>
      </w:r>
      <w:r>
        <w:rPr>
          <w:rFonts w:ascii="宋体" w:hAnsi="宋体" w:cs="宋体"/>
          <w:color w:val="auto"/>
          <w:sz w:val="28"/>
          <w:szCs w:val="28"/>
        </w:rPr>
        <w:t>01</w:t>
      </w:r>
      <w:r>
        <w:rPr>
          <w:rFonts w:hint="eastAsia" w:ascii="宋体" w:hAnsi="宋体" w:cs="宋体"/>
          <w:color w:val="auto"/>
          <w:sz w:val="28"/>
          <w:szCs w:val="28"/>
        </w:rPr>
        <w:t>甲类仓库一、2</w:t>
      </w:r>
      <w:r>
        <w:rPr>
          <w:rFonts w:ascii="宋体" w:hAnsi="宋体" w:cs="宋体"/>
          <w:color w:val="auto"/>
          <w:sz w:val="28"/>
          <w:szCs w:val="28"/>
        </w:rPr>
        <w:t>02</w:t>
      </w:r>
      <w:r>
        <w:rPr>
          <w:rFonts w:hint="eastAsia" w:ascii="宋体" w:hAnsi="宋体" w:cs="宋体"/>
          <w:color w:val="auto"/>
          <w:sz w:val="28"/>
          <w:szCs w:val="28"/>
        </w:rPr>
        <w:t>甲类仓库二、2</w:t>
      </w:r>
      <w:r>
        <w:rPr>
          <w:rFonts w:ascii="宋体" w:hAnsi="宋体" w:cs="宋体"/>
          <w:color w:val="auto"/>
          <w:sz w:val="28"/>
          <w:szCs w:val="28"/>
        </w:rPr>
        <w:t>03</w:t>
      </w:r>
      <w:r>
        <w:rPr>
          <w:rFonts w:hint="eastAsia" w:ascii="宋体" w:hAnsi="宋体" w:cs="宋体"/>
          <w:color w:val="auto"/>
          <w:sz w:val="28"/>
          <w:szCs w:val="28"/>
        </w:rPr>
        <w:t>丙类仓库一、2</w:t>
      </w:r>
      <w:r>
        <w:rPr>
          <w:rFonts w:ascii="宋体" w:hAnsi="宋体" w:cs="宋体"/>
          <w:color w:val="auto"/>
          <w:sz w:val="28"/>
          <w:szCs w:val="28"/>
        </w:rPr>
        <w:t>05</w:t>
      </w:r>
      <w:r>
        <w:rPr>
          <w:rFonts w:hint="eastAsia" w:ascii="宋体" w:hAnsi="宋体" w:cs="宋体"/>
          <w:color w:val="auto"/>
          <w:sz w:val="28"/>
          <w:szCs w:val="28"/>
        </w:rPr>
        <w:t>甲类仓库三中，</w:t>
      </w:r>
      <w:r>
        <w:rPr>
          <w:rFonts w:hint="eastAsia" w:ascii="宋体" w:hAnsi="宋体"/>
          <w:color w:val="auto"/>
          <w:sz w:val="28"/>
          <w:szCs w:val="28"/>
        </w:rPr>
        <w:t>并且不同物料及相互禁忌的物料分隔间储存，按规范的要求配备消火栓并装有排风机进行强制通风，仓库的人员严格按公司的有关规定进行管理及操作，无关人员不得入内。库区注意防潮、防火、防爆，保持库区的干燥及通风。仓库内相互禁忌介质拟分区存储，原料仓库储存周期不低于15天，成品仓库储存周期不高于60天</w:t>
      </w:r>
      <w:r>
        <w:rPr>
          <w:rFonts w:hint="eastAsia" w:ascii="宋体" w:hAnsi="宋体" w:cs="宋体"/>
          <w:color w:val="auto"/>
          <w:sz w:val="28"/>
          <w:szCs w:val="28"/>
        </w:rPr>
        <w:t>。本报告对仓库可能造成人员伤害的主要危险因素采用预先危险性分析法进行分析评价，具体见表C</w:t>
      </w:r>
      <w:r>
        <w:rPr>
          <w:rFonts w:ascii="宋体" w:hAnsi="宋体" w:cs="宋体"/>
          <w:color w:val="auto"/>
          <w:sz w:val="28"/>
          <w:szCs w:val="28"/>
        </w:rPr>
        <w:t>.1-17</w:t>
      </w:r>
      <w:r>
        <w:rPr>
          <w:rFonts w:hint="eastAsia" w:ascii="宋体" w:hAnsi="宋体" w:cs="宋体"/>
          <w:color w:val="auto"/>
          <w:sz w:val="28"/>
          <w:szCs w:val="28"/>
        </w:rPr>
        <w:t>。</w:t>
      </w:r>
    </w:p>
    <w:p>
      <w:pPr>
        <w:jc w:val="center"/>
        <w:rPr>
          <w:rFonts w:ascii="宋体" w:hAnsi="宋体" w:cs="宋体"/>
          <w:color w:val="auto"/>
        </w:rPr>
      </w:pPr>
      <w:r>
        <w:rPr>
          <w:rFonts w:hint="eastAsia" w:ascii="宋体" w:hAnsi="宋体" w:cs="宋体"/>
          <w:color w:val="auto"/>
        </w:rPr>
        <w:t>表C</w:t>
      </w:r>
      <w:r>
        <w:rPr>
          <w:rFonts w:ascii="宋体" w:hAnsi="宋体" w:cs="宋体"/>
          <w:color w:val="auto"/>
        </w:rPr>
        <w:t xml:space="preserve">.1-17 </w:t>
      </w:r>
      <w:r>
        <w:rPr>
          <w:rFonts w:hint="eastAsia" w:ascii="宋体" w:hAnsi="宋体" w:cs="宋体"/>
          <w:color w:val="auto"/>
        </w:rPr>
        <w:t>仓库存储单元预先危险性分析表</w:t>
      </w:r>
    </w:p>
    <w:tbl>
      <w:tblPr>
        <w:tblStyle w:val="31"/>
        <w:tblW w:w="94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9"/>
        <w:gridCol w:w="709"/>
        <w:gridCol w:w="3360"/>
        <w:gridCol w:w="654"/>
        <w:gridCol w:w="708"/>
        <w:gridCol w:w="33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tcBorders>
              <w:top w:val="single" w:color="auto" w:sz="12" w:space="0"/>
              <w:left w:val="single" w:color="auto" w:sz="12" w:space="0"/>
              <w:bottom w:val="single" w:color="auto" w:sz="6" w:space="0"/>
              <w:right w:val="single" w:color="auto" w:sz="6" w:space="0"/>
            </w:tcBorders>
            <w:vAlign w:val="center"/>
          </w:tcPr>
          <w:p>
            <w:pPr>
              <w:rPr>
                <w:color w:val="auto"/>
              </w:rPr>
            </w:pPr>
            <w:r>
              <w:rPr>
                <w:rFonts w:hint="eastAsia" w:ascii="宋体" w:hAnsi="宋体"/>
                <w:color w:val="auto"/>
              </w:rPr>
              <w:t>危险有害因素</w:t>
            </w:r>
          </w:p>
        </w:tc>
        <w:tc>
          <w:tcPr>
            <w:tcW w:w="709" w:type="dxa"/>
            <w:tcBorders>
              <w:top w:val="single" w:color="auto" w:sz="12" w:space="0"/>
              <w:left w:val="nil"/>
              <w:bottom w:val="single" w:color="auto" w:sz="6" w:space="0"/>
              <w:right w:val="single" w:color="auto" w:sz="6" w:space="0"/>
            </w:tcBorders>
            <w:vAlign w:val="center"/>
          </w:tcPr>
          <w:p>
            <w:pPr>
              <w:rPr>
                <w:color w:val="auto"/>
              </w:rPr>
            </w:pPr>
            <w:r>
              <w:rPr>
                <w:rFonts w:hint="eastAsia" w:ascii="宋体" w:hAnsi="宋体"/>
                <w:color w:val="auto"/>
              </w:rPr>
              <w:t>阶段</w:t>
            </w:r>
          </w:p>
        </w:tc>
        <w:tc>
          <w:tcPr>
            <w:tcW w:w="3360" w:type="dxa"/>
            <w:tcBorders>
              <w:top w:val="single" w:color="auto" w:sz="12" w:space="0"/>
              <w:left w:val="nil"/>
              <w:bottom w:val="single" w:color="auto" w:sz="6" w:space="0"/>
              <w:right w:val="single" w:color="auto" w:sz="6" w:space="0"/>
            </w:tcBorders>
            <w:vAlign w:val="center"/>
          </w:tcPr>
          <w:p>
            <w:pPr>
              <w:rPr>
                <w:color w:val="auto"/>
              </w:rPr>
            </w:pPr>
            <w:r>
              <w:rPr>
                <w:rFonts w:hint="eastAsia" w:ascii="宋体" w:hAnsi="宋体"/>
                <w:color w:val="auto"/>
              </w:rPr>
              <w:t>形成事故原因事件</w:t>
            </w:r>
          </w:p>
        </w:tc>
        <w:tc>
          <w:tcPr>
            <w:tcW w:w="654" w:type="dxa"/>
            <w:tcBorders>
              <w:top w:val="single" w:color="auto" w:sz="12" w:space="0"/>
              <w:left w:val="nil"/>
              <w:bottom w:val="single" w:color="auto" w:sz="6" w:space="0"/>
              <w:right w:val="single" w:color="auto" w:sz="6" w:space="0"/>
            </w:tcBorders>
            <w:vAlign w:val="center"/>
          </w:tcPr>
          <w:p>
            <w:pPr>
              <w:rPr>
                <w:color w:val="auto"/>
              </w:rPr>
            </w:pPr>
            <w:r>
              <w:rPr>
                <w:rFonts w:hint="eastAsia" w:ascii="宋体" w:hAnsi="宋体"/>
                <w:color w:val="auto"/>
              </w:rPr>
              <w:t>事故后果</w:t>
            </w:r>
          </w:p>
        </w:tc>
        <w:tc>
          <w:tcPr>
            <w:tcW w:w="708" w:type="dxa"/>
            <w:tcBorders>
              <w:top w:val="single" w:color="auto" w:sz="12" w:space="0"/>
              <w:left w:val="nil"/>
              <w:bottom w:val="single" w:color="auto" w:sz="6" w:space="0"/>
              <w:right w:val="single" w:color="auto" w:sz="6" w:space="0"/>
            </w:tcBorders>
            <w:vAlign w:val="center"/>
          </w:tcPr>
          <w:p>
            <w:pPr>
              <w:rPr>
                <w:color w:val="auto"/>
              </w:rPr>
            </w:pPr>
            <w:r>
              <w:rPr>
                <w:rFonts w:hint="eastAsia" w:ascii="宋体" w:hAnsi="宋体"/>
                <w:color w:val="auto"/>
              </w:rPr>
              <w:t>危险等级</w:t>
            </w:r>
          </w:p>
        </w:tc>
        <w:tc>
          <w:tcPr>
            <w:tcW w:w="3308" w:type="dxa"/>
            <w:tcBorders>
              <w:top w:val="single" w:color="auto" w:sz="12" w:space="0"/>
              <w:left w:val="nil"/>
              <w:bottom w:val="single" w:color="auto" w:sz="6" w:space="0"/>
              <w:right w:val="single" w:color="auto" w:sz="12" w:space="0"/>
            </w:tcBorders>
            <w:vAlign w:val="center"/>
          </w:tcPr>
          <w:p>
            <w:pPr>
              <w:rPr>
                <w:color w:val="auto"/>
              </w:rPr>
            </w:pPr>
            <w:r>
              <w:rPr>
                <w:rFonts w:hint="eastAsia" w:ascii="宋体" w:hAnsi="宋体"/>
                <w:color w:val="auto"/>
              </w:rPr>
              <w:t>防范措施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tcBorders>
              <w:top w:val="single" w:color="auto" w:sz="6" w:space="0"/>
              <w:left w:val="single" w:color="auto" w:sz="12" w:space="0"/>
              <w:bottom w:val="single" w:color="auto" w:sz="6" w:space="0"/>
              <w:right w:val="single" w:color="auto" w:sz="6" w:space="0"/>
            </w:tcBorders>
            <w:vAlign w:val="center"/>
          </w:tcPr>
          <w:p>
            <w:pPr>
              <w:rPr>
                <w:rFonts w:ascii="宋体" w:hAnsi="宋体"/>
                <w:color w:val="auto"/>
              </w:rPr>
            </w:pPr>
            <w:r>
              <w:rPr>
                <w:rFonts w:hint="eastAsia" w:ascii="宋体" w:hAnsi="宋体"/>
                <w:color w:val="auto"/>
              </w:rPr>
              <w:t>火灾、爆炸</w:t>
            </w:r>
          </w:p>
        </w:tc>
        <w:tc>
          <w:tcPr>
            <w:tcW w:w="709" w:type="dxa"/>
            <w:tcBorders>
              <w:top w:val="single" w:color="auto" w:sz="6" w:space="0"/>
              <w:left w:val="nil"/>
              <w:bottom w:val="single" w:color="auto" w:sz="6" w:space="0"/>
              <w:right w:val="single" w:color="auto" w:sz="6" w:space="0"/>
            </w:tcBorders>
            <w:vAlign w:val="center"/>
          </w:tcPr>
          <w:p>
            <w:pPr>
              <w:jc w:val="center"/>
              <w:rPr>
                <w:rFonts w:ascii="宋体" w:hAnsi="宋体"/>
                <w:color w:val="auto"/>
              </w:rPr>
            </w:pPr>
            <w:r>
              <w:rPr>
                <w:rFonts w:ascii="宋体" w:hAnsi="宋体"/>
                <w:color w:val="auto"/>
              </w:rPr>
              <w:t>正常生产</w:t>
            </w:r>
          </w:p>
        </w:tc>
        <w:tc>
          <w:tcPr>
            <w:tcW w:w="3360" w:type="dxa"/>
            <w:tcBorders>
              <w:top w:val="single" w:color="auto" w:sz="6" w:space="0"/>
              <w:left w:val="nil"/>
              <w:bottom w:val="single" w:color="auto" w:sz="6" w:space="0"/>
              <w:right w:val="single" w:color="auto" w:sz="6" w:space="0"/>
            </w:tcBorders>
            <w:vAlign w:val="center"/>
          </w:tcPr>
          <w:p>
            <w:pPr>
              <w:pStyle w:val="15"/>
              <w:adjustRightInd w:val="0"/>
              <w:snapToGrid w:val="0"/>
              <w:spacing w:before="40" w:after="40" w:line="280" w:lineRule="exact"/>
              <w:ind w:right="-57"/>
              <w:rPr>
                <w:rFonts w:ascii="Times New Roman" w:hAnsi="Times New Roman"/>
                <w:color w:val="auto"/>
              </w:rPr>
            </w:pPr>
            <w:r>
              <w:rPr>
                <w:rFonts w:ascii="Times New Roman" w:hAnsi="Times New Roman"/>
                <w:color w:val="auto"/>
              </w:rPr>
              <w:t>1</w:t>
            </w:r>
            <w:r>
              <w:rPr>
                <w:rFonts w:hint="eastAsia" w:ascii="Times New Roman" w:hAnsi="Times New Roman"/>
                <w:color w:val="auto"/>
              </w:rPr>
              <w:t>.</w:t>
            </w:r>
            <w:r>
              <w:rPr>
                <w:rFonts w:hAnsi="宋体"/>
                <w:color w:val="auto"/>
              </w:rPr>
              <w:t>桶装</w:t>
            </w:r>
            <w:r>
              <w:rPr>
                <w:rFonts w:hint="eastAsia" w:hAnsi="宋体"/>
                <w:color w:val="auto"/>
              </w:rPr>
              <w:t>可燃</w:t>
            </w:r>
            <w:r>
              <w:rPr>
                <w:rFonts w:hAnsi="宋体"/>
                <w:color w:val="auto"/>
              </w:rPr>
              <w:t>物质长期堆放，容器鼓包、损坏，发生泄漏；</w:t>
            </w:r>
          </w:p>
          <w:p>
            <w:pPr>
              <w:rPr>
                <w:color w:val="auto"/>
              </w:rPr>
            </w:pPr>
            <w:r>
              <w:rPr>
                <w:rFonts w:hint="eastAsia"/>
                <w:color w:val="auto"/>
              </w:rPr>
              <w:t>2</w:t>
            </w:r>
            <w:r>
              <w:rPr>
                <w:color w:val="auto"/>
              </w:rPr>
              <w:t>.</w:t>
            </w:r>
            <w:r>
              <w:rPr>
                <w:rFonts w:ascii="宋体" w:hAnsi="宋体"/>
                <w:color w:val="auto"/>
              </w:rPr>
              <w:t>可燃物料包装容器因搬运、装卸损坏泄漏，堆垛不规范倒塌造成包装容器损坏；</w:t>
            </w:r>
          </w:p>
          <w:p>
            <w:pPr>
              <w:rPr>
                <w:color w:val="auto"/>
              </w:rPr>
            </w:pPr>
            <w:r>
              <w:rPr>
                <w:rFonts w:hint="eastAsia"/>
                <w:color w:val="auto"/>
              </w:rPr>
              <w:t>3</w:t>
            </w:r>
            <w:r>
              <w:rPr>
                <w:color w:val="auto"/>
              </w:rPr>
              <w:t>.</w:t>
            </w:r>
            <w:r>
              <w:rPr>
                <w:rFonts w:ascii="宋体" w:hAnsi="宋体"/>
                <w:color w:val="auto"/>
              </w:rPr>
              <w:t>禁忌性物料未分开储存，泄漏接触发生反应引起着火；</w:t>
            </w:r>
          </w:p>
          <w:p>
            <w:pPr>
              <w:rPr>
                <w:rFonts w:ascii="宋体" w:hAnsi="宋体"/>
                <w:color w:val="auto"/>
              </w:rPr>
            </w:pPr>
            <w:r>
              <w:rPr>
                <w:rFonts w:hint="eastAsia"/>
                <w:color w:val="auto"/>
              </w:rPr>
              <w:t>5</w:t>
            </w:r>
            <w:r>
              <w:rPr>
                <w:color w:val="auto"/>
              </w:rPr>
              <w:t>.</w:t>
            </w:r>
            <w:r>
              <w:rPr>
                <w:rFonts w:ascii="宋体" w:hAnsi="宋体"/>
                <w:color w:val="auto"/>
              </w:rPr>
              <w:t>仓库内温度过高，</w:t>
            </w:r>
            <w:r>
              <w:rPr>
                <w:rFonts w:hint="eastAsia" w:ascii="宋体" w:hAnsi="宋体"/>
                <w:color w:val="auto"/>
              </w:rPr>
              <w:t>导致溶液挥发加剧，压力增大引发桶装设备破裂泄漏；</w:t>
            </w:r>
          </w:p>
          <w:p>
            <w:pPr>
              <w:rPr>
                <w:rFonts w:ascii="宋体" w:hAnsi="宋体"/>
                <w:color w:val="auto"/>
              </w:rPr>
            </w:pPr>
            <w:r>
              <w:rPr>
                <w:rFonts w:hint="eastAsia"/>
                <w:color w:val="auto"/>
              </w:rPr>
              <w:t>6.</w:t>
            </w:r>
            <w:r>
              <w:rPr>
                <w:rFonts w:hint="eastAsia" w:ascii="宋体" w:hAnsi="宋体"/>
                <w:color w:val="auto"/>
              </w:rPr>
              <w:t>存储金属锂遇水或仓库内湿度大，产生氢气，遇点火源；</w:t>
            </w:r>
          </w:p>
          <w:p>
            <w:pPr>
              <w:rPr>
                <w:rFonts w:ascii="宋体" w:hAnsi="宋体"/>
                <w:color w:val="auto"/>
              </w:rPr>
            </w:pPr>
            <w:r>
              <w:rPr>
                <w:rFonts w:hint="eastAsia"/>
                <w:color w:val="auto"/>
              </w:rPr>
              <w:t>7</w:t>
            </w:r>
            <w:r>
              <w:rPr>
                <w:color w:val="auto"/>
              </w:rPr>
              <w:t>.</w:t>
            </w:r>
            <w:r>
              <w:rPr>
                <w:rFonts w:hint="eastAsia" w:ascii="宋体" w:hAnsi="宋体"/>
                <w:color w:val="auto"/>
              </w:rPr>
              <w:t>库房内电气设施不防爆或防爆级别不足。</w:t>
            </w:r>
          </w:p>
          <w:p>
            <w:pPr>
              <w:rPr>
                <w:rFonts w:ascii="宋体" w:hAnsi="宋体"/>
                <w:color w:val="auto"/>
              </w:rPr>
            </w:pPr>
            <w:r>
              <w:rPr>
                <w:rFonts w:hint="eastAsia"/>
                <w:color w:val="auto"/>
              </w:rPr>
              <w:t>8</w:t>
            </w:r>
            <w:r>
              <w:rPr>
                <w:color w:val="auto"/>
              </w:rPr>
              <w:t>.</w:t>
            </w:r>
            <w:r>
              <w:rPr>
                <w:rFonts w:ascii="宋体" w:hAnsi="宋体"/>
                <w:color w:val="auto"/>
              </w:rPr>
              <w:t>违章动火、电器火花。</w:t>
            </w:r>
          </w:p>
          <w:p>
            <w:pPr>
              <w:rPr>
                <w:rFonts w:ascii="宋体" w:hAnsi="宋体"/>
                <w:color w:val="auto"/>
              </w:rPr>
            </w:pPr>
            <w:r>
              <w:rPr>
                <w:rFonts w:hint="eastAsia"/>
                <w:color w:val="auto"/>
              </w:rPr>
              <w:t>9.</w:t>
            </w:r>
            <w:r>
              <w:rPr>
                <w:rFonts w:ascii="宋体" w:hAnsi="宋体"/>
                <w:color w:val="auto"/>
              </w:rPr>
              <w:t>因建筑物火灾、电气设施着火或雷击造成容器损坏而着火、爆炸。</w:t>
            </w:r>
          </w:p>
        </w:tc>
        <w:tc>
          <w:tcPr>
            <w:tcW w:w="654" w:type="dxa"/>
            <w:tcBorders>
              <w:top w:val="single" w:color="auto" w:sz="6" w:space="0"/>
              <w:left w:val="nil"/>
              <w:bottom w:val="single" w:color="auto" w:sz="6" w:space="0"/>
              <w:right w:val="single" w:color="auto" w:sz="6" w:space="0"/>
            </w:tcBorders>
            <w:vAlign w:val="center"/>
          </w:tcPr>
          <w:p>
            <w:pPr>
              <w:rPr>
                <w:color w:val="auto"/>
              </w:rPr>
            </w:pPr>
            <w:r>
              <w:rPr>
                <w:rFonts w:ascii="宋体" w:hAnsi="宋体"/>
                <w:color w:val="auto"/>
              </w:rPr>
              <w:t>设备损坏</w:t>
            </w:r>
          </w:p>
          <w:p>
            <w:pPr>
              <w:rPr>
                <w:rFonts w:ascii="宋体" w:hAnsi="宋体"/>
                <w:color w:val="auto"/>
              </w:rPr>
            </w:pPr>
            <w:r>
              <w:rPr>
                <w:rFonts w:ascii="宋体" w:hAnsi="宋体"/>
                <w:color w:val="auto"/>
              </w:rPr>
              <w:t>人员伤亡</w:t>
            </w:r>
          </w:p>
        </w:tc>
        <w:tc>
          <w:tcPr>
            <w:tcW w:w="708" w:type="dxa"/>
            <w:tcBorders>
              <w:top w:val="single" w:color="auto" w:sz="6" w:space="0"/>
              <w:left w:val="nil"/>
              <w:bottom w:val="single" w:color="auto" w:sz="6" w:space="0"/>
              <w:right w:val="single" w:color="auto" w:sz="6" w:space="0"/>
            </w:tcBorders>
            <w:vAlign w:val="center"/>
          </w:tcPr>
          <w:p>
            <w:pPr>
              <w:rPr>
                <w:rFonts w:ascii="宋体" w:hAnsi="宋体"/>
                <w:color w:val="auto"/>
              </w:rPr>
            </w:pPr>
            <w:r>
              <w:rPr>
                <w:color w:val="auto"/>
              </w:rPr>
              <w:t>III</w:t>
            </w:r>
          </w:p>
        </w:tc>
        <w:tc>
          <w:tcPr>
            <w:tcW w:w="3308" w:type="dxa"/>
            <w:tcBorders>
              <w:top w:val="single" w:color="auto" w:sz="6" w:space="0"/>
              <w:left w:val="nil"/>
              <w:bottom w:val="single" w:color="auto" w:sz="6" w:space="0"/>
              <w:right w:val="single" w:color="auto" w:sz="12" w:space="0"/>
            </w:tcBorders>
            <w:vAlign w:val="center"/>
          </w:tcPr>
          <w:p>
            <w:pPr>
              <w:rPr>
                <w:color w:val="auto"/>
              </w:rPr>
            </w:pPr>
            <w:r>
              <w:rPr>
                <w:color w:val="auto"/>
              </w:rPr>
              <w:t>1.</w:t>
            </w:r>
            <w:r>
              <w:rPr>
                <w:rFonts w:ascii="宋体" w:hAnsi="宋体"/>
                <w:color w:val="auto"/>
              </w:rPr>
              <w:t>使用有危险化学品包装物（容器）定点生产企业的包装容器；</w:t>
            </w:r>
          </w:p>
          <w:p>
            <w:pPr>
              <w:rPr>
                <w:color w:val="auto"/>
              </w:rPr>
            </w:pPr>
            <w:r>
              <w:rPr>
                <w:color w:val="auto"/>
              </w:rPr>
              <w:t>2.</w:t>
            </w:r>
            <w:r>
              <w:rPr>
                <w:rFonts w:ascii="宋体" w:hAnsi="宋体"/>
                <w:color w:val="auto"/>
              </w:rPr>
              <w:t>仓库内用防火墙设置防火分区，禁忌物分区存放；</w:t>
            </w:r>
          </w:p>
          <w:p>
            <w:pPr>
              <w:rPr>
                <w:color w:val="auto"/>
              </w:rPr>
            </w:pPr>
            <w:r>
              <w:rPr>
                <w:color w:val="auto"/>
              </w:rPr>
              <w:t>3.</w:t>
            </w:r>
            <w:r>
              <w:rPr>
                <w:rFonts w:ascii="宋体" w:hAnsi="宋体"/>
                <w:color w:val="auto"/>
              </w:rPr>
              <w:t>严格执行先进库的先出库的原则，控制物质的仓储量，尽量缩短仓储时间；</w:t>
            </w:r>
          </w:p>
          <w:p>
            <w:pPr>
              <w:rPr>
                <w:color w:val="auto"/>
              </w:rPr>
            </w:pPr>
            <w:r>
              <w:rPr>
                <w:color w:val="auto"/>
              </w:rPr>
              <w:t>4.</w:t>
            </w:r>
            <w:r>
              <w:rPr>
                <w:rFonts w:ascii="宋体" w:hAnsi="宋体"/>
                <w:color w:val="auto"/>
              </w:rPr>
              <w:t>严禁在仓库内开桶或进行分装作业；</w:t>
            </w:r>
          </w:p>
          <w:p>
            <w:pPr>
              <w:rPr>
                <w:rFonts w:ascii="宋体" w:hAnsi="宋体"/>
                <w:color w:val="auto"/>
              </w:rPr>
            </w:pPr>
            <w:r>
              <w:rPr>
                <w:color w:val="auto"/>
              </w:rPr>
              <w:t>5.</w:t>
            </w:r>
            <w:r>
              <w:rPr>
                <w:rFonts w:ascii="宋体" w:hAnsi="宋体"/>
                <w:color w:val="auto"/>
              </w:rPr>
              <w:t>仓库设置</w:t>
            </w:r>
            <w:r>
              <w:rPr>
                <w:rFonts w:hint="eastAsia" w:ascii="宋体" w:hAnsi="宋体"/>
                <w:color w:val="auto"/>
              </w:rPr>
              <w:t>防爆型</w:t>
            </w:r>
            <w:r>
              <w:rPr>
                <w:rFonts w:ascii="宋体" w:hAnsi="宋体"/>
                <w:color w:val="auto"/>
              </w:rPr>
              <w:t>机械通风设施等；</w:t>
            </w:r>
            <w:r>
              <w:rPr>
                <w:rFonts w:hint="eastAsia" w:ascii="宋体" w:hAnsi="宋体"/>
                <w:color w:val="auto"/>
              </w:rPr>
              <w:t>设置有效的可燃气体检测报警装置。</w:t>
            </w:r>
          </w:p>
          <w:p>
            <w:pPr>
              <w:rPr>
                <w:color w:val="auto"/>
              </w:rPr>
            </w:pPr>
            <w:r>
              <w:rPr>
                <w:color w:val="auto"/>
              </w:rPr>
              <w:t>6.</w:t>
            </w:r>
            <w:r>
              <w:rPr>
                <w:rFonts w:ascii="宋体" w:hAnsi="宋体"/>
                <w:color w:val="auto"/>
              </w:rPr>
              <w:t>搬运时轻装轻卸，防止损失包装容器。</w:t>
            </w:r>
          </w:p>
          <w:p>
            <w:pPr>
              <w:rPr>
                <w:color w:val="auto"/>
              </w:rPr>
            </w:pPr>
            <w:r>
              <w:rPr>
                <w:color w:val="auto"/>
              </w:rPr>
              <w:t>7.</w:t>
            </w:r>
            <w:r>
              <w:rPr>
                <w:rFonts w:hint="eastAsia" w:ascii="宋体" w:hAnsi="宋体"/>
                <w:color w:val="auto"/>
              </w:rPr>
              <w:t>仓库设置完善的防水设施，内地面应高于外地面</w:t>
            </w:r>
            <w:r>
              <w:rPr>
                <w:rFonts w:hint="eastAsia"/>
                <w:color w:val="auto"/>
              </w:rPr>
              <w:t>30cm</w:t>
            </w:r>
            <w:r>
              <w:rPr>
                <w:rFonts w:hint="eastAsia" w:ascii="宋体" w:hAnsi="宋体"/>
                <w:color w:val="auto"/>
              </w:rPr>
              <w:t>以上</w:t>
            </w:r>
            <w:r>
              <w:rPr>
                <w:rFonts w:ascii="宋体" w:hAnsi="宋体"/>
                <w:color w:val="auto"/>
              </w:rPr>
              <w:t>；</w:t>
            </w:r>
          </w:p>
          <w:p>
            <w:pPr>
              <w:rPr>
                <w:color w:val="auto"/>
              </w:rPr>
            </w:pPr>
            <w:r>
              <w:rPr>
                <w:color w:val="auto"/>
              </w:rPr>
              <w:t>8.</w:t>
            </w:r>
            <w:r>
              <w:rPr>
                <w:rFonts w:ascii="宋体" w:hAnsi="宋体"/>
                <w:color w:val="auto"/>
              </w:rPr>
              <w:t>按二类防雷要求设置防雷设施；</w:t>
            </w:r>
          </w:p>
          <w:p>
            <w:pPr>
              <w:rPr>
                <w:rFonts w:ascii="宋体" w:hAnsi="宋体"/>
                <w:color w:val="auto"/>
              </w:rPr>
            </w:pPr>
            <w:r>
              <w:rPr>
                <w:color w:val="auto"/>
              </w:rPr>
              <w:t>9.</w:t>
            </w:r>
            <w:r>
              <w:rPr>
                <w:rFonts w:hint="eastAsia" w:ascii="宋体" w:hAnsi="宋体"/>
                <w:color w:val="auto"/>
              </w:rPr>
              <w:t>库房内使用符合要求的防爆型电气；</w:t>
            </w:r>
          </w:p>
          <w:p>
            <w:pPr>
              <w:rPr>
                <w:color w:val="auto"/>
              </w:rPr>
            </w:pPr>
            <w:r>
              <w:rPr>
                <w:rFonts w:hint="eastAsia"/>
                <w:color w:val="auto"/>
              </w:rPr>
              <w:t>10</w:t>
            </w:r>
            <w:r>
              <w:rPr>
                <w:rFonts w:ascii="宋体" w:hAnsi="宋体"/>
                <w:color w:val="auto"/>
              </w:rPr>
              <w:t>按要求配备灭火设施和灭火器材，定期检查消防设施和消防系统，并要保证消防通道的畅通；</w:t>
            </w:r>
          </w:p>
          <w:p>
            <w:pPr>
              <w:rPr>
                <w:rFonts w:ascii="宋体" w:hAnsi="宋体"/>
                <w:color w:val="auto"/>
              </w:rPr>
            </w:pPr>
            <w:r>
              <w:rPr>
                <w:color w:val="auto"/>
              </w:rPr>
              <w:t>11.</w:t>
            </w:r>
            <w:r>
              <w:rPr>
                <w:rFonts w:ascii="宋体" w:hAnsi="宋体"/>
                <w:color w:val="auto"/>
              </w:rPr>
              <w:t>机动车辆禁止进入仓库区域</w:t>
            </w:r>
            <w:r>
              <w:rPr>
                <w:rFonts w:hint="eastAsia" w:ascii="宋体" w:hAnsi="宋体"/>
                <w:color w:val="auto"/>
              </w:rPr>
              <w:t>，并按章操作</w:t>
            </w:r>
            <w:r>
              <w:rPr>
                <w:rFonts w:ascii="宋体" w:hAnsi="宋体"/>
                <w:color w:val="auto"/>
              </w:rPr>
              <w:t>；</w:t>
            </w:r>
          </w:p>
          <w:p>
            <w:pPr>
              <w:rPr>
                <w:rFonts w:ascii="宋体" w:hAnsi="宋体"/>
                <w:color w:val="auto"/>
              </w:rPr>
            </w:pPr>
            <w:r>
              <w:rPr>
                <w:rFonts w:hint="eastAsia"/>
                <w:color w:val="auto"/>
              </w:rPr>
              <w:t>12..</w:t>
            </w:r>
            <w:r>
              <w:rPr>
                <w:rFonts w:hint="eastAsia" w:ascii="宋体" w:hAnsi="宋体"/>
                <w:color w:val="auto"/>
              </w:rPr>
              <w:t>定期进行检查，严防泄漏。</w:t>
            </w:r>
          </w:p>
          <w:p>
            <w:pPr>
              <w:rPr>
                <w:color w:val="auto"/>
              </w:rPr>
            </w:pPr>
            <w:r>
              <w:rPr>
                <w:rFonts w:hint="eastAsia"/>
                <w:color w:val="auto"/>
              </w:rPr>
              <w:t>13.</w:t>
            </w:r>
            <w:r>
              <w:rPr>
                <w:rFonts w:hint="eastAsia" w:ascii="宋体" w:hAnsi="宋体"/>
                <w:color w:val="auto"/>
              </w:rPr>
              <w:t>仓库内严格安装规程进行操作。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tcBorders>
              <w:top w:val="single" w:color="auto" w:sz="6" w:space="0"/>
              <w:left w:val="single" w:color="auto" w:sz="12" w:space="0"/>
              <w:bottom w:val="single" w:color="auto" w:sz="6" w:space="0"/>
              <w:right w:val="single" w:color="auto" w:sz="6" w:space="0"/>
            </w:tcBorders>
            <w:vAlign w:val="center"/>
          </w:tcPr>
          <w:p>
            <w:pPr>
              <w:rPr>
                <w:color w:val="auto"/>
              </w:rPr>
            </w:pPr>
            <w:r>
              <w:rPr>
                <w:rFonts w:hint="eastAsia" w:ascii="宋体" w:hAnsi="宋体"/>
                <w:color w:val="auto"/>
              </w:rPr>
              <w:t>中毒和窒息</w:t>
            </w:r>
          </w:p>
        </w:tc>
        <w:tc>
          <w:tcPr>
            <w:tcW w:w="709" w:type="dxa"/>
            <w:tcBorders>
              <w:top w:val="single" w:color="auto" w:sz="6" w:space="0"/>
              <w:left w:val="nil"/>
              <w:bottom w:val="single" w:color="auto" w:sz="6" w:space="0"/>
              <w:right w:val="single" w:color="auto" w:sz="6" w:space="0"/>
            </w:tcBorders>
            <w:vAlign w:val="center"/>
          </w:tcPr>
          <w:p>
            <w:pPr>
              <w:jc w:val="center"/>
              <w:rPr>
                <w:color w:val="auto"/>
              </w:rPr>
            </w:pPr>
            <w:r>
              <w:rPr>
                <w:rFonts w:hint="eastAsia" w:ascii="宋体" w:hAnsi="宋体"/>
                <w:color w:val="auto"/>
              </w:rPr>
              <w:t>正常生产</w:t>
            </w:r>
          </w:p>
        </w:tc>
        <w:tc>
          <w:tcPr>
            <w:tcW w:w="3360" w:type="dxa"/>
            <w:tcBorders>
              <w:top w:val="single" w:color="auto" w:sz="6" w:space="0"/>
              <w:left w:val="nil"/>
              <w:bottom w:val="single" w:color="auto" w:sz="6" w:space="0"/>
              <w:right w:val="single" w:color="auto" w:sz="6" w:space="0"/>
            </w:tcBorders>
            <w:vAlign w:val="center"/>
          </w:tcPr>
          <w:p>
            <w:pPr>
              <w:rPr>
                <w:rFonts w:ascii="宋体" w:hAnsi="宋体"/>
                <w:color w:val="auto"/>
              </w:rPr>
            </w:pPr>
            <w:r>
              <w:rPr>
                <w:rFonts w:hint="eastAsia" w:ascii="宋体" w:hAnsi="宋体"/>
                <w:color w:val="auto"/>
              </w:rPr>
              <w:t>一、未戴防毒面具：</w:t>
            </w:r>
          </w:p>
          <w:p>
            <w:pPr>
              <w:rPr>
                <w:color w:val="auto"/>
              </w:rPr>
            </w:pPr>
            <w:r>
              <w:rPr>
                <w:color w:val="auto"/>
              </w:rPr>
              <w:t>1</w:t>
            </w:r>
            <w:r>
              <w:rPr>
                <w:rFonts w:hint="eastAsia" w:ascii="宋体" w:hAnsi="宋体"/>
                <w:color w:val="auto"/>
              </w:rPr>
              <w:t>、防毒面具配备不够</w:t>
            </w:r>
          </w:p>
          <w:p>
            <w:pPr>
              <w:rPr>
                <w:color w:val="auto"/>
              </w:rPr>
            </w:pPr>
            <w:r>
              <w:rPr>
                <w:color w:val="auto"/>
              </w:rPr>
              <w:t>2</w:t>
            </w:r>
            <w:r>
              <w:rPr>
                <w:rFonts w:hint="eastAsia" w:ascii="宋体" w:hAnsi="宋体"/>
                <w:color w:val="auto"/>
              </w:rPr>
              <w:t>、取用不便</w:t>
            </w:r>
          </w:p>
          <w:p>
            <w:pPr>
              <w:rPr>
                <w:color w:val="auto"/>
              </w:rPr>
            </w:pPr>
            <w:r>
              <w:rPr>
                <w:color w:val="auto"/>
              </w:rPr>
              <w:t>3</w:t>
            </w:r>
            <w:r>
              <w:rPr>
                <w:rFonts w:hint="eastAsia" w:ascii="宋体" w:hAnsi="宋体"/>
                <w:color w:val="auto"/>
              </w:rPr>
              <w:t>、因故未戴</w:t>
            </w:r>
          </w:p>
          <w:p>
            <w:pPr>
              <w:rPr>
                <w:color w:val="auto"/>
              </w:rPr>
            </w:pPr>
            <w:r>
              <w:rPr>
                <w:rFonts w:hint="eastAsia" w:ascii="宋体" w:hAnsi="宋体"/>
                <w:color w:val="auto"/>
              </w:rPr>
              <w:t>二、防毒面具失效：</w:t>
            </w:r>
          </w:p>
          <w:p>
            <w:pPr>
              <w:rPr>
                <w:color w:val="auto"/>
              </w:rPr>
            </w:pPr>
            <w:r>
              <w:rPr>
                <w:color w:val="auto"/>
              </w:rPr>
              <w:t>1</w:t>
            </w:r>
            <w:r>
              <w:rPr>
                <w:rFonts w:hint="eastAsia" w:ascii="宋体" w:hAnsi="宋体"/>
                <w:color w:val="auto"/>
              </w:rPr>
              <w:t>、面具破损、失效；</w:t>
            </w:r>
          </w:p>
          <w:p>
            <w:pPr>
              <w:rPr>
                <w:color w:val="auto"/>
              </w:rPr>
            </w:pPr>
            <w:r>
              <w:rPr>
                <w:color w:val="auto"/>
              </w:rPr>
              <w:t>2</w:t>
            </w:r>
            <w:r>
              <w:rPr>
                <w:rFonts w:hint="eastAsia" w:ascii="宋体" w:hAnsi="宋体"/>
                <w:color w:val="auto"/>
              </w:rPr>
              <w:t>、面具选型不对；</w:t>
            </w:r>
          </w:p>
          <w:p>
            <w:pPr>
              <w:rPr>
                <w:color w:val="auto"/>
              </w:rPr>
            </w:pPr>
            <w:r>
              <w:rPr>
                <w:color w:val="auto"/>
              </w:rPr>
              <w:t>3</w:t>
            </w:r>
            <w:r>
              <w:rPr>
                <w:rFonts w:hint="eastAsia" w:ascii="宋体" w:hAnsi="宋体"/>
                <w:color w:val="auto"/>
              </w:rPr>
              <w:t>、使用不当</w:t>
            </w:r>
          </w:p>
          <w:p>
            <w:pPr>
              <w:rPr>
                <w:color w:val="auto"/>
              </w:rPr>
            </w:pPr>
            <w:r>
              <w:rPr>
                <w:rFonts w:hint="eastAsia" w:ascii="宋体" w:hAnsi="宋体"/>
                <w:color w:val="auto"/>
              </w:rPr>
              <w:t>三、储存泄漏：</w:t>
            </w:r>
          </w:p>
          <w:p>
            <w:pPr>
              <w:autoSpaceDE w:val="0"/>
              <w:autoSpaceDN w:val="0"/>
              <w:adjustRightInd w:val="0"/>
              <w:spacing w:line="320" w:lineRule="exact"/>
              <w:rPr>
                <w:color w:val="auto"/>
              </w:rPr>
            </w:pPr>
            <w:r>
              <w:rPr>
                <w:color w:val="auto"/>
              </w:rPr>
              <w:t>1</w:t>
            </w:r>
            <w:r>
              <w:rPr>
                <w:rFonts w:hint="eastAsia"/>
                <w:color w:val="auto"/>
              </w:rPr>
              <w:t>.</w:t>
            </w:r>
            <w:r>
              <w:rPr>
                <w:rFonts w:hint="eastAsia" w:ascii="宋体" w:hAnsi="宋体"/>
                <w:color w:val="auto"/>
              </w:rPr>
              <w:t>钢瓶、阀门存在质量缺陷或被腐蚀。</w:t>
            </w:r>
          </w:p>
          <w:p>
            <w:pPr>
              <w:autoSpaceDE w:val="0"/>
              <w:autoSpaceDN w:val="0"/>
              <w:adjustRightInd w:val="0"/>
              <w:spacing w:line="320" w:lineRule="exact"/>
              <w:rPr>
                <w:color w:val="auto"/>
              </w:rPr>
            </w:pPr>
            <w:r>
              <w:rPr>
                <w:color w:val="auto"/>
              </w:rPr>
              <w:t>2</w:t>
            </w:r>
            <w:r>
              <w:rPr>
                <w:rFonts w:hint="eastAsia"/>
                <w:color w:val="auto"/>
              </w:rPr>
              <w:t>.</w:t>
            </w:r>
            <w:r>
              <w:rPr>
                <w:rFonts w:hint="eastAsia" w:ascii="宋体" w:hAnsi="宋体"/>
                <w:color w:val="auto"/>
              </w:rPr>
              <w:t>搬运不规范，导致瓶阀断裂，泄漏物质在局部空间积聚，造成人员中毒或健康损害；</w:t>
            </w:r>
          </w:p>
        </w:tc>
        <w:tc>
          <w:tcPr>
            <w:tcW w:w="654" w:type="dxa"/>
            <w:tcBorders>
              <w:top w:val="single" w:color="auto" w:sz="6" w:space="0"/>
              <w:left w:val="nil"/>
              <w:bottom w:val="single" w:color="auto" w:sz="6" w:space="0"/>
              <w:right w:val="single" w:color="auto" w:sz="6" w:space="0"/>
            </w:tcBorders>
            <w:vAlign w:val="center"/>
          </w:tcPr>
          <w:p>
            <w:pPr>
              <w:rPr>
                <w:color w:val="auto"/>
              </w:rPr>
            </w:pPr>
            <w:r>
              <w:rPr>
                <w:rFonts w:hint="eastAsia" w:ascii="宋体" w:hAnsi="宋体"/>
                <w:color w:val="auto"/>
              </w:rPr>
              <w:t>导致人员中毒</w:t>
            </w:r>
          </w:p>
        </w:tc>
        <w:tc>
          <w:tcPr>
            <w:tcW w:w="708" w:type="dxa"/>
            <w:tcBorders>
              <w:top w:val="single" w:color="auto" w:sz="6" w:space="0"/>
              <w:left w:val="nil"/>
              <w:bottom w:val="single" w:color="auto" w:sz="6" w:space="0"/>
              <w:right w:val="single" w:color="auto" w:sz="6" w:space="0"/>
            </w:tcBorders>
            <w:vAlign w:val="center"/>
          </w:tcPr>
          <w:p>
            <w:pPr>
              <w:rPr>
                <w:color w:val="auto"/>
              </w:rPr>
            </w:pPr>
            <w:r>
              <w:rPr>
                <w:rFonts w:hint="eastAsia" w:ascii="宋体" w:hAnsi="宋体"/>
                <w:color w:val="auto"/>
              </w:rPr>
              <w:t>Ⅱ</w:t>
            </w:r>
          </w:p>
        </w:tc>
        <w:tc>
          <w:tcPr>
            <w:tcW w:w="3308" w:type="dxa"/>
            <w:tcBorders>
              <w:top w:val="single" w:color="auto" w:sz="6" w:space="0"/>
              <w:left w:val="nil"/>
              <w:bottom w:val="single" w:color="auto" w:sz="6" w:space="0"/>
              <w:right w:val="single" w:color="auto" w:sz="12" w:space="0"/>
            </w:tcBorders>
            <w:vAlign w:val="center"/>
          </w:tcPr>
          <w:p>
            <w:pPr>
              <w:rPr>
                <w:color w:val="auto"/>
              </w:rPr>
            </w:pPr>
            <w:r>
              <w:rPr>
                <w:color w:val="auto"/>
              </w:rPr>
              <w:t xml:space="preserve">1. </w:t>
            </w:r>
            <w:r>
              <w:rPr>
                <w:rFonts w:hint="eastAsia" w:ascii="宋体" w:hAnsi="宋体"/>
                <w:color w:val="auto"/>
              </w:rPr>
              <w:t>规定严格的进库、搬运程序并落实，采取措施有效防止未经许可人员进入；</w:t>
            </w:r>
          </w:p>
          <w:p>
            <w:pPr>
              <w:rPr>
                <w:color w:val="auto"/>
              </w:rPr>
            </w:pPr>
            <w:r>
              <w:rPr>
                <w:color w:val="auto"/>
              </w:rPr>
              <w:t>2.</w:t>
            </w:r>
            <w:r>
              <w:rPr>
                <w:rFonts w:hint="eastAsia" w:ascii="宋体" w:hAnsi="宋体"/>
                <w:color w:val="auto"/>
              </w:rPr>
              <w:t>设置有效合理的通风系统</w:t>
            </w:r>
            <w:r>
              <w:rPr>
                <w:color w:val="auto"/>
              </w:rPr>
              <w:t>·</w:t>
            </w:r>
          </w:p>
          <w:p>
            <w:pPr>
              <w:rPr>
                <w:color w:val="auto"/>
              </w:rPr>
            </w:pPr>
            <w:r>
              <w:rPr>
                <w:color w:val="auto"/>
              </w:rPr>
              <w:t>3.</w:t>
            </w:r>
            <w:r>
              <w:rPr>
                <w:rFonts w:hint="eastAsia" w:ascii="宋体" w:hAnsi="宋体"/>
                <w:color w:val="auto"/>
              </w:rPr>
              <w:t>检修、故障泄漏或处理异常时，操作人员应佩戴防毒面具</w:t>
            </w:r>
          </w:p>
          <w:p>
            <w:pPr>
              <w:rPr>
                <w:color w:val="auto"/>
              </w:rPr>
            </w:pPr>
            <w:r>
              <w:rPr>
                <w:color w:val="auto"/>
              </w:rPr>
              <w:t>4.</w:t>
            </w:r>
            <w:r>
              <w:rPr>
                <w:rFonts w:hint="eastAsia" w:ascii="宋体" w:hAnsi="宋体"/>
                <w:color w:val="auto"/>
              </w:rPr>
              <w:t>配备防毒、防灼伤等防护用品；</w:t>
            </w:r>
          </w:p>
          <w:p>
            <w:pPr>
              <w:rPr>
                <w:color w:val="auto"/>
              </w:rPr>
            </w:pPr>
            <w:r>
              <w:rPr>
                <w:color w:val="auto"/>
              </w:rPr>
              <w:t>5.</w:t>
            </w:r>
            <w:r>
              <w:rPr>
                <w:rFonts w:hint="eastAsia" w:ascii="宋体" w:hAnsi="宋体"/>
                <w:color w:val="auto"/>
              </w:rPr>
              <w:t>配备必要的急救药品。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tcBorders>
              <w:top w:val="single" w:color="auto" w:sz="6" w:space="0"/>
              <w:left w:val="single" w:color="auto" w:sz="12" w:space="0"/>
              <w:bottom w:val="single" w:color="auto" w:sz="12" w:space="0"/>
              <w:right w:val="single" w:color="auto" w:sz="6" w:space="0"/>
            </w:tcBorders>
            <w:vAlign w:val="center"/>
          </w:tcPr>
          <w:p>
            <w:pPr>
              <w:rPr>
                <w:color w:val="auto"/>
              </w:rPr>
            </w:pPr>
            <w:r>
              <w:rPr>
                <w:rFonts w:hint="eastAsia" w:ascii="宋体" w:hAnsi="宋体"/>
                <w:color w:val="auto"/>
              </w:rPr>
              <w:t>车辆伤害</w:t>
            </w:r>
          </w:p>
        </w:tc>
        <w:tc>
          <w:tcPr>
            <w:tcW w:w="709" w:type="dxa"/>
            <w:tcBorders>
              <w:top w:val="single" w:color="auto" w:sz="6" w:space="0"/>
              <w:left w:val="nil"/>
              <w:bottom w:val="single" w:color="auto" w:sz="12" w:space="0"/>
              <w:right w:val="single" w:color="auto" w:sz="6" w:space="0"/>
            </w:tcBorders>
            <w:vAlign w:val="center"/>
          </w:tcPr>
          <w:p>
            <w:pPr>
              <w:jc w:val="center"/>
              <w:rPr>
                <w:color w:val="auto"/>
              </w:rPr>
            </w:pPr>
            <w:r>
              <w:rPr>
                <w:rFonts w:hint="eastAsia" w:ascii="宋体" w:hAnsi="宋体"/>
                <w:color w:val="auto"/>
              </w:rPr>
              <w:t>正常生产</w:t>
            </w:r>
          </w:p>
        </w:tc>
        <w:tc>
          <w:tcPr>
            <w:tcW w:w="3360" w:type="dxa"/>
            <w:tcBorders>
              <w:top w:val="single" w:color="auto" w:sz="6" w:space="0"/>
              <w:left w:val="nil"/>
              <w:bottom w:val="single" w:color="auto" w:sz="12" w:space="0"/>
              <w:right w:val="single" w:color="auto" w:sz="6" w:space="0"/>
            </w:tcBorders>
            <w:vAlign w:val="center"/>
          </w:tcPr>
          <w:p>
            <w:pPr>
              <w:autoSpaceDE w:val="0"/>
              <w:autoSpaceDN w:val="0"/>
              <w:adjustRightInd w:val="0"/>
              <w:spacing w:line="320" w:lineRule="exact"/>
              <w:rPr>
                <w:color w:val="auto"/>
              </w:rPr>
            </w:pPr>
            <w:r>
              <w:rPr>
                <w:color w:val="auto"/>
              </w:rPr>
              <w:t>1</w:t>
            </w:r>
            <w:r>
              <w:rPr>
                <w:rFonts w:hint="eastAsia" w:ascii="宋体" w:hAnsi="宋体"/>
                <w:color w:val="auto"/>
              </w:rPr>
              <w:t>、车辆未按规定路线行驶；</w:t>
            </w:r>
          </w:p>
          <w:p>
            <w:pPr>
              <w:autoSpaceDE w:val="0"/>
              <w:autoSpaceDN w:val="0"/>
              <w:adjustRightInd w:val="0"/>
              <w:spacing w:line="320" w:lineRule="exact"/>
              <w:rPr>
                <w:color w:val="auto"/>
              </w:rPr>
            </w:pPr>
            <w:r>
              <w:rPr>
                <w:color w:val="auto"/>
              </w:rPr>
              <w:t>2</w:t>
            </w:r>
            <w:r>
              <w:rPr>
                <w:rFonts w:hint="eastAsia" w:ascii="宋体" w:hAnsi="宋体"/>
                <w:color w:val="auto"/>
              </w:rPr>
              <w:t>、车辆过快；</w:t>
            </w:r>
          </w:p>
          <w:p>
            <w:pPr>
              <w:autoSpaceDE w:val="0"/>
              <w:autoSpaceDN w:val="0"/>
              <w:adjustRightInd w:val="0"/>
              <w:spacing w:line="320" w:lineRule="exact"/>
              <w:rPr>
                <w:color w:val="auto"/>
              </w:rPr>
            </w:pPr>
            <w:r>
              <w:rPr>
                <w:color w:val="auto"/>
              </w:rPr>
              <w:t>3</w:t>
            </w:r>
            <w:r>
              <w:rPr>
                <w:rFonts w:hint="eastAsia" w:ascii="宋体" w:hAnsi="宋体"/>
                <w:color w:val="auto"/>
              </w:rPr>
              <w:t>、车辆带病运行；</w:t>
            </w:r>
          </w:p>
          <w:p>
            <w:pPr>
              <w:rPr>
                <w:color w:val="auto"/>
              </w:rPr>
            </w:pPr>
            <w:r>
              <w:rPr>
                <w:color w:val="auto"/>
              </w:rPr>
              <w:t>4</w:t>
            </w:r>
            <w:r>
              <w:rPr>
                <w:rFonts w:hint="eastAsia" w:ascii="宋体" w:hAnsi="宋体"/>
                <w:color w:val="auto"/>
              </w:rPr>
              <w:t>、进库中转的车辆撞击到堆垛造成倒塌，引起事故。</w:t>
            </w:r>
          </w:p>
        </w:tc>
        <w:tc>
          <w:tcPr>
            <w:tcW w:w="654" w:type="dxa"/>
            <w:tcBorders>
              <w:top w:val="single" w:color="auto" w:sz="6" w:space="0"/>
              <w:left w:val="nil"/>
              <w:bottom w:val="single" w:color="auto" w:sz="12" w:space="0"/>
              <w:right w:val="single" w:color="auto" w:sz="6" w:space="0"/>
            </w:tcBorders>
            <w:vAlign w:val="center"/>
          </w:tcPr>
          <w:p>
            <w:pPr>
              <w:rPr>
                <w:color w:val="auto"/>
              </w:rPr>
            </w:pPr>
            <w:r>
              <w:rPr>
                <w:rFonts w:hint="eastAsia" w:ascii="宋体" w:hAnsi="宋体"/>
                <w:color w:val="auto"/>
              </w:rPr>
              <w:t>人员伤亡</w:t>
            </w:r>
          </w:p>
        </w:tc>
        <w:tc>
          <w:tcPr>
            <w:tcW w:w="708" w:type="dxa"/>
            <w:tcBorders>
              <w:top w:val="single" w:color="auto" w:sz="6" w:space="0"/>
              <w:left w:val="nil"/>
              <w:bottom w:val="single" w:color="auto" w:sz="12" w:space="0"/>
              <w:right w:val="single" w:color="auto" w:sz="6" w:space="0"/>
            </w:tcBorders>
            <w:vAlign w:val="center"/>
          </w:tcPr>
          <w:p>
            <w:pPr>
              <w:rPr>
                <w:color w:val="auto"/>
              </w:rPr>
            </w:pPr>
            <w:r>
              <w:rPr>
                <w:rFonts w:hint="eastAsia" w:ascii="宋体" w:hAnsi="宋体"/>
                <w:color w:val="auto"/>
              </w:rPr>
              <w:t>Ⅱ</w:t>
            </w:r>
          </w:p>
        </w:tc>
        <w:tc>
          <w:tcPr>
            <w:tcW w:w="3308" w:type="dxa"/>
            <w:tcBorders>
              <w:top w:val="single" w:color="auto" w:sz="6" w:space="0"/>
              <w:left w:val="nil"/>
              <w:bottom w:val="single" w:color="auto" w:sz="12" w:space="0"/>
              <w:right w:val="single" w:color="auto" w:sz="12" w:space="0"/>
            </w:tcBorders>
            <w:vAlign w:val="center"/>
          </w:tcPr>
          <w:p>
            <w:pPr>
              <w:autoSpaceDE w:val="0"/>
              <w:autoSpaceDN w:val="0"/>
              <w:adjustRightInd w:val="0"/>
              <w:spacing w:line="320" w:lineRule="exact"/>
              <w:rPr>
                <w:color w:val="auto"/>
              </w:rPr>
            </w:pPr>
            <w:r>
              <w:rPr>
                <w:color w:val="auto"/>
              </w:rPr>
              <w:t>1</w:t>
            </w:r>
            <w:r>
              <w:rPr>
                <w:rFonts w:hint="eastAsia" w:ascii="宋体" w:hAnsi="宋体"/>
                <w:color w:val="auto"/>
              </w:rPr>
              <w:t>、仓库区域应限制机动车辆速度不超过</w:t>
            </w:r>
            <w:r>
              <w:rPr>
                <w:color w:val="auto"/>
              </w:rPr>
              <w:t>5km/h</w:t>
            </w:r>
            <w:r>
              <w:rPr>
                <w:rFonts w:hint="eastAsia" w:ascii="宋体" w:hAnsi="宋体"/>
                <w:color w:val="auto"/>
              </w:rPr>
              <w:t>；</w:t>
            </w:r>
          </w:p>
          <w:p>
            <w:pPr>
              <w:autoSpaceDE w:val="0"/>
              <w:autoSpaceDN w:val="0"/>
              <w:adjustRightInd w:val="0"/>
              <w:spacing w:line="320" w:lineRule="exact"/>
              <w:rPr>
                <w:color w:val="auto"/>
              </w:rPr>
            </w:pPr>
            <w:r>
              <w:rPr>
                <w:color w:val="auto"/>
              </w:rPr>
              <w:t>2</w:t>
            </w:r>
            <w:r>
              <w:rPr>
                <w:rFonts w:hint="eastAsia" w:ascii="宋体" w:hAnsi="宋体"/>
                <w:color w:val="auto"/>
              </w:rPr>
              <w:t>、机动车辆应保持完好，按规定进行维护保养、检验；</w:t>
            </w:r>
          </w:p>
          <w:p>
            <w:pPr>
              <w:autoSpaceDE w:val="0"/>
              <w:autoSpaceDN w:val="0"/>
              <w:adjustRightInd w:val="0"/>
              <w:spacing w:line="320" w:lineRule="exact"/>
              <w:rPr>
                <w:color w:val="auto"/>
              </w:rPr>
            </w:pPr>
            <w:r>
              <w:rPr>
                <w:color w:val="auto"/>
              </w:rPr>
              <w:t>3</w:t>
            </w:r>
            <w:r>
              <w:rPr>
                <w:rFonts w:hint="eastAsia" w:ascii="宋体" w:hAnsi="宋体"/>
                <w:color w:val="auto"/>
              </w:rPr>
              <w:t>、机动车辆不能进入仓库内；</w:t>
            </w:r>
          </w:p>
          <w:p>
            <w:pPr>
              <w:rPr>
                <w:color w:val="auto"/>
              </w:rPr>
            </w:pPr>
            <w:r>
              <w:rPr>
                <w:color w:val="auto"/>
              </w:rPr>
              <w:t>4</w:t>
            </w:r>
            <w:r>
              <w:rPr>
                <w:rFonts w:hint="eastAsia" w:ascii="宋体" w:hAnsi="宋体"/>
                <w:color w:val="auto"/>
              </w:rPr>
              <w:t>、执行操作规程。</w:t>
            </w:r>
          </w:p>
        </w:tc>
      </w:tr>
    </w:tbl>
    <w:p>
      <w:pPr>
        <w:ind w:firstLine="560" w:firstLineChars="200"/>
        <w:rPr>
          <w:rFonts w:ascii="宋体" w:hAnsi="宋体"/>
          <w:color w:val="auto"/>
          <w:sz w:val="28"/>
          <w:szCs w:val="28"/>
        </w:rPr>
      </w:pPr>
      <w:r>
        <w:rPr>
          <w:rFonts w:hint="eastAsia" w:ascii="宋体" w:hAnsi="宋体"/>
          <w:color w:val="auto"/>
          <w:sz w:val="28"/>
          <w:szCs w:val="28"/>
        </w:rPr>
        <w:t>本节评价小结：</w:t>
      </w:r>
    </w:p>
    <w:p>
      <w:pPr>
        <w:ind w:firstLine="560" w:firstLineChars="200"/>
        <w:rPr>
          <w:rFonts w:ascii="宋体" w:hAnsi="宋体"/>
          <w:bCs/>
          <w:color w:val="auto"/>
          <w:sz w:val="28"/>
          <w:szCs w:val="28"/>
        </w:rPr>
      </w:pPr>
      <w:r>
        <w:rPr>
          <w:rFonts w:hint="eastAsia" w:ascii="宋体" w:hAnsi="宋体"/>
          <w:bCs/>
          <w:color w:val="auto"/>
          <w:kern w:val="0"/>
          <w:sz w:val="28"/>
          <w:szCs w:val="28"/>
        </w:rPr>
        <w:t>通过预先危险分析，本项目利旧</w:t>
      </w:r>
      <w:r>
        <w:rPr>
          <w:rFonts w:hint="eastAsia" w:ascii="宋体" w:hAnsi="宋体"/>
          <w:bCs/>
          <w:color w:val="auto"/>
          <w:sz w:val="28"/>
          <w:szCs w:val="28"/>
        </w:rPr>
        <w:t>仓库</w:t>
      </w:r>
      <w:r>
        <w:rPr>
          <w:rFonts w:hint="eastAsia" w:ascii="宋体" w:hAnsi="宋体"/>
          <w:bCs/>
          <w:color w:val="auto"/>
          <w:kern w:val="0"/>
          <w:sz w:val="28"/>
          <w:szCs w:val="28"/>
        </w:rPr>
        <w:t>主要危险、</w:t>
      </w:r>
      <w:r>
        <w:rPr>
          <w:rFonts w:hint="eastAsia" w:ascii="宋体" w:hAnsi="宋体"/>
          <w:bCs/>
          <w:color w:val="auto"/>
          <w:sz w:val="28"/>
          <w:szCs w:val="28"/>
        </w:rPr>
        <w:t>有害</w:t>
      </w:r>
      <w:r>
        <w:rPr>
          <w:rFonts w:hint="eastAsia" w:ascii="宋体" w:hAnsi="宋体"/>
          <w:bCs/>
          <w:color w:val="auto"/>
          <w:kern w:val="0"/>
          <w:sz w:val="28"/>
          <w:szCs w:val="28"/>
        </w:rPr>
        <w:t>因素有：火灾爆炸危险程度为</w:t>
      </w:r>
      <w:r>
        <w:rPr>
          <w:rFonts w:hint="eastAsia" w:ascii="宋体" w:hAnsi="宋体"/>
          <w:color w:val="auto"/>
          <w:sz w:val="28"/>
          <w:szCs w:val="28"/>
        </w:rPr>
        <w:t>Ⅲ</w:t>
      </w:r>
      <w:r>
        <w:rPr>
          <w:rFonts w:ascii="宋体" w:hAnsi="宋体"/>
          <w:color w:val="auto"/>
          <w:sz w:val="28"/>
          <w:szCs w:val="28"/>
        </w:rPr>
        <w:t>级（危险的）</w:t>
      </w:r>
      <w:r>
        <w:rPr>
          <w:rFonts w:hint="eastAsia" w:ascii="宋体" w:hAnsi="宋体"/>
          <w:color w:val="auto"/>
          <w:sz w:val="28"/>
          <w:szCs w:val="28"/>
        </w:rPr>
        <w:t>Ⅲ</w:t>
      </w:r>
      <w:r>
        <w:rPr>
          <w:rFonts w:ascii="宋体" w:hAnsi="宋体"/>
          <w:color w:val="auto"/>
          <w:sz w:val="28"/>
          <w:szCs w:val="28"/>
        </w:rPr>
        <w:t>级是危险的，会造成人员伤亡和系统损坏，要立即采取防范对策措施；</w:t>
      </w:r>
      <w:r>
        <w:rPr>
          <w:rFonts w:hint="eastAsia" w:ascii="宋体" w:hAnsi="宋体"/>
          <w:bCs/>
          <w:color w:val="auto"/>
          <w:kern w:val="0"/>
          <w:sz w:val="28"/>
          <w:szCs w:val="28"/>
        </w:rPr>
        <w:t>中毒窒息和车辆伤害的危险程度为</w:t>
      </w:r>
      <w:r>
        <w:rPr>
          <w:rFonts w:hint="eastAsia"/>
          <w:bCs/>
          <w:color w:val="auto"/>
          <w:kern w:val="0"/>
          <w:sz w:val="28"/>
          <w:szCs w:val="28"/>
        </w:rPr>
        <w:t>II</w:t>
      </w:r>
      <w:r>
        <w:rPr>
          <w:rFonts w:hint="eastAsia" w:ascii="宋体" w:hAnsi="宋体"/>
          <w:bCs/>
          <w:color w:val="auto"/>
          <w:kern w:val="0"/>
          <w:sz w:val="28"/>
          <w:szCs w:val="28"/>
        </w:rPr>
        <w:t>级（临界的）</w:t>
      </w:r>
      <w:r>
        <w:rPr>
          <w:rFonts w:hint="eastAsia" w:ascii="宋体" w:hAnsi="宋体"/>
          <w:bCs/>
          <w:color w:val="auto"/>
          <w:sz w:val="28"/>
          <w:szCs w:val="28"/>
        </w:rPr>
        <w:t>；</w:t>
      </w:r>
      <w:r>
        <w:rPr>
          <w:rFonts w:hint="eastAsia"/>
          <w:bCs/>
          <w:color w:val="auto"/>
          <w:sz w:val="28"/>
          <w:szCs w:val="28"/>
        </w:rPr>
        <w:t>II</w:t>
      </w:r>
      <w:r>
        <w:rPr>
          <w:rFonts w:hint="eastAsia" w:ascii="宋体" w:hAnsi="宋体"/>
          <w:bCs/>
          <w:color w:val="auto"/>
          <w:sz w:val="28"/>
          <w:szCs w:val="28"/>
        </w:rPr>
        <w:t>级处于事故的边缘状态，暂时还不会造成人员伤亡、系统损坏降低系统性能，但应予排除或采取控制措施。</w:t>
      </w:r>
    </w:p>
    <w:p>
      <w:pPr>
        <w:keepNext/>
        <w:keepLines/>
        <w:spacing w:line="580" w:lineRule="exact"/>
        <w:jc w:val="left"/>
        <w:outlineLvl w:val="1"/>
        <w:rPr>
          <w:rFonts w:ascii="Calibri Light" w:hAnsi="Calibri Light"/>
          <w:b/>
          <w:color w:val="auto"/>
          <w:sz w:val="30"/>
          <w:szCs w:val="30"/>
        </w:rPr>
      </w:pPr>
      <w:bookmarkStart w:id="284" w:name="_Toc144109265"/>
      <w:r>
        <w:rPr>
          <w:rFonts w:hint="eastAsia" w:ascii="Calibri Light" w:hAnsi="Calibri Light"/>
          <w:b/>
          <w:color w:val="auto"/>
          <w:sz w:val="30"/>
          <w:szCs w:val="30"/>
        </w:rPr>
        <w:t>C.</w:t>
      </w:r>
      <w:r>
        <w:rPr>
          <w:rFonts w:ascii="Calibri Light" w:hAnsi="Calibri Light"/>
          <w:b/>
          <w:color w:val="auto"/>
          <w:sz w:val="30"/>
          <w:szCs w:val="30"/>
        </w:rPr>
        <w:t>1.6</w:t>
      </w:r>
      <w:r>
        <w:rPr>
          <w:rFonts w:hint="eastAsia" w:ascii="Calibri Light" w:hAnsi="Calibri Light"/>
          <w:b/>
          <w:color w:val="auto"/>
          <w:sz w:val="30"/>
          <w:szCs w:val="30"/>
        </w:rPr>
        <w:t xml:space="preserve"> 特种设备单元评价</w:t>
      </w:r>
      <w:bookmarkEnd w:id="284"/>
    </w:p>
    <w:p>
      <w:pPr>
        <w:spacing w:line="360" w:lineRule="auto"/>
        <w:ind w:firstLine="560" w:firstLineChars="200"/>
        <w:rPr>
          <w:rFonts w:ascii="黑体" w:eastAsia="黑体"/>
          <w:color w:val="auto"/>
          <w:sz w:val="28"/>
          <w:szCs w:val="28"/>
        </w:rPr>
      </w:pPr>
      <w:r>
        <w:rPr>
          <w:rFonts w:hint="eastAsia" w:ascii="黑体" w:hAnsi="黑体" w:eastAsia="黑体"/>
          <w:color w:val="auto"/>
          <w:sz w:val="28"/>
          <w:szCs w:val="28"/>
        </w:rPr>
        <w:t xml:space="preserve">1.预先危险分析 </w:t>
      </w:r>
    </w:p>
    <w:p>
      <w:pPr>
        <w:spacing w:line="360" w:lineRule="auto"/>
        <w:ind w:firstLine="560" w:firstLineChars="200"/>
        <w:rPr>
          <w:rFonts w:ascii="黑体" w:eastAsia="黑体"/>
          <w:color w:val="auto"/>
          <w:sz w:val="28"/>
          <w:szCs w:val="28"/>
        </w:rPr>
      </w:pPr>
      <w:r>
        <w:rPr>
          <w:rFonts w:hint="eastAsia" w:ascii="宋体" w:hAnsi="宋体"/>
          <w:color w:val="auto"/>
          <w:sz w:val="28"/>
          <w:szCs w:val="28"/>
        </w:rPr>
        <w:t>该单元采用预先危险分析法进行评价，预先危险分析法见表C.1-1</w:t>
      </w:r>
      <w:r>
        <w:rPr>
          <w:rFonts w:ascii="宋体" w:hAnsi="宋体"/>
          <w:color w:val="auto"/>
          <w:sz w:val="28"/>
          <w:szCs w:val="28"/>
        </w:rPr>
        <w:t>8</w:t>
      </w:r>
      <w:r>
        <w:rPr>
          <w:rFonts w:hint="eastAsia" w:ascii="宋体" w:hAnsi="宋体"/>
          <w:color w:val="auto"/>
          <w:sz w:val="28"/>
          <w:szCs w:val="28"/>
        </w:rPr>
        <w:t>。</w:t>
      </w:r>
    </w:p>
    <w:p>
      <w:pPr>
        <w:jc w:val="center"/>
        <w:rPr>
          <w:rFonts w:ascii="宋体" w:hAnsi="宋体"/>
          <w:color w:val="auto"/>
        </w:rPr>
      </w:pPr>
      <w:r>
        <w:rPr>
          <w:rFonts w:hint="eastAsia" w:ascii="宋体" w:hAnsi="宋体"/>
          <w:color w:val="auto"/>
        </w:rPr>
        <w:t>表C.1-1</w:t>
      </w:r>
      <w:r>
        <w:rPr>
          <w:rFonts w:ascii="宋体" w:hAnsi="宋体"/>
          <w:color w:val="auto"/>
        </w:rPr>
        <w:t>8</w:t>
      </w:r>
      <w:r>
        <w:rPr>
          <w:rFonts w:hint="eastAsia" w:ascii="宋体" w:hAnsi="宋体"/>
          <w:color w:val="auto"/>
        </w:rPr>
        <w:t>特种设备单元预先危险分析表</w:t>
      </w:r>
    </w:p>
    <w:tbl>
      <w:tblPr>
        <w:tblStyle w:val="31"/>
        <w:tblW w:w="945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5"/>
        <w:gridCol w:w="876"/>
        <w:gridCol w:w="2551"/>
        <w:gridCol w:w="709"/>
        <w:gridCol w:w="567"/>
        <w:gridCol w:w="40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735" w:type="dxa"/>
            <w:tcBorders>
              <w:top w:val="single" w:color="auto" w:sz="12" w:space="0"/>
              <w:left w:val="single" w:color="auto" w:sz="12" w:space="0"/>
              <w:bottom w:val="single" w:color="auto" w:sz="6" w:space="0"/>
              <w:right w:val="single" w:color="auto" w:sz="6" w:space="0"/>
            </w:tcBorders>
            <w:vAlign w:val="center"/>
          </w:tcPr>
          <w:p>
            <w:pPr>
              <w:rPr>
                <w:color w:val="auto"/>
              </w:rPr>
            </w:pPr>
            <w:r>
              <w:rPr>
                <w:rFonts w:hint="eastAsia" w:ascii="宋体" w:hAnsi="宋体"/>
                <w:color w:val="auto"/>
              </w:rPr>
              <w:t>危险有害因素</w:t>
            </w:r>
          </w:p>
        </w:tc>
        <w:tc>
          <w:tcPr>
            <w:tcW w:w="876" w:type="dxa"/>
            <w:tcBorders>
              <w:top w:val="single" w:color="auto" w:sz="12"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阶段</w:t>
            </w:r>
          </w:p>
        </w:tc>
        <w:tc>
          <w:tcPr>
            <w:tcW w:w="2551" w:type="dxa"/>
            <w:tcBorders>
              <w:top w:val="single" w:color="auto" w:sz="12"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形成事故原因事件</w:t>
            </w:r>
          </w:p>
        </w:tc>
        <w:tc>
          <w:tcPr>
            <w:tcW w:w="709" w:type="dxa"/>
            <w:tcBorders>
              <w:top w:val="single" w:color="auto" w:sz="12"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事故后果</w:t>
            </w:r>
          </w:p>
        </w:tc>
        <w:tc>
          <w:tcPr>
            <w:tcW w:w="567" w:type="dxa"/>
            <w:tcBorders>
              <w:top w:val="single" w:color="auto" w:sz="12"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危险等级</w:t>
            </w:r>
          </w:p>
        </w:tc>
        <w:tc>
          <w:tcPr>
            <w:tcW w:w="4018" w:type="dxa"/>
            <w:tcBorders>
              <w:top w:val="single" w:color="auto" w:sz="12" w:space="0"/>
              <w:left w:val="single" w:color="auto" w:sz="6" w:space="0"/>
              <w:bottom w:val="single" w:color="auto" w:sz="6" w:space="0"/>
              <w:right w:val="single" w:color="auto" w:sz="12" w:space="0"/>
            </w:tcBorders>
            <w:vAlign w:val="center"/>
          </w:tcPr>
          <w:p>
            <w:pPr>
              <w:rPr>
                <w:color w:val="auto"/>
              </w:rPr>
            </w:pPr>
            <w:r>
              <w:rPr>
                <w:rFonts w:hint="eastAsia" w:ascii="宋体" w:hAnsi="宋体"/>
                <w:color w:val="auto"/>
              </w:rPr>
              <w:t>防范措施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5" w:type="dxa"/>
            <w:tcBorders>
              <w:top w:val="single" w:color="auto" w:sz="6" w:space="0"/>
              <w:left w:val="single" w:color="auto" w:sz="12" w:space="0"/>
              <w:bottom w:val="single" w:color="auto" w:sz="6" w:space="0"/>
              <w:right w:val="single" w:color="auto" w:sz="6" w:space="0"/>
            </w:tcBorders>
            <w:vAlign w:val="center"/>
          </w:tcPr>
          <w:p>
            <w:pPr>
              <w:spacing w:line="280" w:lineRule="exact"/>
              <w:jc w:val="center"/>
              <w:rPr>
                <w:rFonts w:ascii="宋体" w:hAnsi="宋体"/>
                <w:color w:val="auto"/>
              </w:rPr>
            </w:pPr>
            <w:r>
              <w:rPr>
                <w:rFonts w:hint="eastAsia" w:ascii="宋体" w:hAnsi="宋体"/>
                <w:color w:val="auto"/>
              </w:rPr>
              <w:t>容器爆炸</w:t>
            </w:r>
          </w:p>
        </w:tc>
        <w:tc>
          <w:tcPr>
            <w:tcW w:w="876" w:type="dxa"/>
            <w:tcBorders>
              <w:top w:val="single" w:color="auto" w:sz="6" w:space="0"/>
              <w:left w:val="single" w:color="auto" w:sz="6" w:space="0"/>
              <w:bottom w:val="single" w:color="auto" w:sz="6" w:space="0"/>
              <w:right w:val="single" w:color="auto" w:sz="6" w:space="0"/>
            </w:tcBorders>
          </w:tcPr>
          <w:p>
            <w:pPr>
              <w:spacing w:line="280" w:lineRule="exact"/>
              <w:jc w:val="left"/>
              <w:rPr>
                <w:rFonts w:ascii="宋体"/>
                <w:bCs/>
                <w:color w:val="auto"/>
              </w:rPr>
            </w:pPr>
            <w:r>
              <w:rPr>
                <w:rFonts w:hint="eastAsia" w:ascii="宋体" w:hAnsi="宋体"/>
                <w:color w:val="auto"/>
              </w:rPr>
              <w:t>1.超压</w:t>
            </w:r>
          </w:p>
          <w:p>
            <w:pPr>
              <w:spacing w:line="280" w:lineRule="exact"/>
              <w:jc w:val="left"/>
              <w:rPr>
                <w:color w:val="auto"/>
              </w:rPr>
            </w:pPr>
          </w:p>
        </w:tc>
        <w:tc>
          <w:tcPr>
            <w:tcW w:w="2551" w:type="dxa"/>
            <w:tcBorders>
              <w:top w:val="single" w:color="auto" w:sz="6" w:space="0"/>
              <w:left w:val="single" w:color="auto" w:sz="6" w:space="0"/>
              <w:bottom w:val="single" w:color="auto" w:sz="6" w:space="0"/>
              <w:right w:val="single" w:color="auto" w:sz="6" w:space="0"/>
            </w:tcBorders>
            <w:vAlign w:val="center"/>
          </w:tcPr>
          <w:p>
            <w:pPr>
              <w:spacing w:line="280" w:lineRule="exact"/>
              <w:rPr>
                <w:rFonts w:ascii="宋体" w:hAnsi="宋体"/>
                <w:color w:val="auto"/>
              </w:rPr>
            </w:pPr>
            <w:r>
              <w:rPr>
                <w:rFonts w:hint="eastAsia" w:ascii="宋体" w:hAnsi="宋体"/>
                <w:color w:val="auto"/>
              </w:rPr>
              <w:t>1.系统超压运行；</w:t>
            </w:r>
          </w:p>
          <w:p>
            <w:pPr>
              <w:spacing w:line="280" w:lineRule="exact"/>
              <w:rPr>
                <w:color w:val="auto"/>
              </w:rPr>
            </w:pPr>
            <w:r>
              <w:rPr>
                <w:rFonts w:hint="eastAsia" w:ascii="宋体" w:hAnsi="宋体"/>
                <w:color w:val="auto"/>
              </w:rPr>
              <w:t>2.压力容器、管道</w:t>
            </w:r>
            <w:r>
              <w:rPr>
                <w:rFonts w:ascii="宋体" w:hAnsi="宋体"/>
                <w:color w:val="auto"/>
              </w:rPr>
              <w:t>材质错用</w:t>
            </w:r>
            <w:r>
              <w:rPr>
                <w:rFonts w:hint="eastAsia" w:ascii="宋体" w:hAnsi="宋体"/>
                <w:color w:val="auto"/>
              </w:rPr>
              <w:t>、</w:t>
            </w:r>
            <w:r>
              <w:rPr>
                <w:rFonts w:ascii="宋体" w:hAnsi="宋体"/>
                <w:color w:val="auto"/>
              </w:rPr>
              <w:t>管材存在</w:t>
            </w:r>
            <w:r>
              <w:rPr>
                <w:rFonts w:hint="eastAsia" w:ascii="宋体" w:hAnsi="宋体"/>
                <w:color w:val="auto"/>
              </w:rPr>
              <w:t>缺陷</w:t>
            </w:r>
            <w:r>
              <w:rPr>
                <w:rFonts w:ascii="宋体" w:hAnsi="宋体"/>
                <w:color w:val="auto"/>
              </w:rPr>
              <w:t>；</w:t>
            </w:r>
          </w:p>
          <w:p>
            <w:pPr>
              <w:spacing w:line="280" w:lineRule="exact"/>
              <w:rPr>
                <w:color w:val="auto"/>
              </w:rPr>
            </w:pPr>
            <w:r>
              <w:rPr>
                <w:rFonts w:hint="eastAsia"/>
                <w:color w:val="auto"/>
              </w:rPr>
              <w:t>3.</w:t>
            </w:r>
            <w:r>
              <w:rPr>
                <w:rFonts w:hint="eastAsia" w:ascii="宋体" w:hAnsi="宋体"/>
                <w:color w:val="auto"/>
              </w:rPr>
              <w:t>压力容器、管道及阀门连接、安全附件施工</w:t>
            </w:r>
            <w:r>
              <w:rPr>
                <w:rFonts w:ascii="宋体" w:hAnsi="宋体"/>
                <w:color w:val="auto"/>
              </w:rPr>
              <w:t>缺陷</w:t>
            </w:r>
            <w:r>
              <w:rPr>
                <w:rFonts w:hint="eastAsia" w:ascii="宋体" w:hAnsi="宋体"/>
                <w:color w:val="auto"/>
              </w:rPr>
              <w:t>或质量缺陷</w:t>
            </w:r>
          </w:p>
          <w:p>
            <w:pPr>
              <w:spacing w:line="280" w:lineRule="exact"/>
              <w:rPr>
                <w:rFonts w:ascii="宋体" w:hAnsi="宋体"/>
                <w:color w:val="auto"/>
              </w:rPr>
            </w:pPr>
            <w:r>
              <w:rPr>
                <w:rFonts w:hint="eastAsia" w:ascii="宋体" w:hAnsi="宋体"/>
                <w:color w:val="auto"/>
              </w:rPr>
              <w:t>4.压力容器、管道未定期进行检测；</w:t>
            </w:r>
          </w:p>
          <w:p>
            <w:pPr>
              <w:spacing w:line="280" w:lineRule="exact"/>
              <w:rPr>
                <w:color w:val="auto"/>
              </w:rPr>
            </w:pPr>
            <w:r>
              <w:rPr>
                <w:rFonts w:hint="eastAsia" w:ascii="宋体" w:hAnsi="宋体"/>
                <w:color w:val="auto"/>
              </w:rPr>
              <w:t>5.</w:t>
            </w:r>
            <w:r>
              <w:rPr>
                <w:rFonts w:ascii="宋体" w:hAnsi="宋体"/>
                <w:color w:val="auto"/>
              </w:rPr>
              <w:t>管道应力布置不合理造成管系应力过大</w:t>
            </w:r>
          </w:p>
          <w:p>
            <w:pPr>
              <w:spacing w:line="280" w:lineRule="exact"/>
              <w:rPr>
                <w:rFonts w:ascii="宋体" w:hAnsi="宋体"/>
                <w:color w:val="auto"/>
              </w:rPr>
            </w:pPr>
            <w:r>
              <w:rPr>
                <w:rFonts w:hint="eastAsia" w:ascii="宋体" w:hAnsi="宋体"/>
                <w:color w:val="auto"/>
              </w:rPr>
              <w:t>6.高温设备、管道长期使用后的蠕变损伤和交变应力作用下产生材料疲劳损坏；</w:t>
            </w:r>
          </w:p>
          <w:p>
            <w:pPr>
              <w:spacing w:line="280" w:lineRule="exact"/>
              <w:rPr>
                <w:rFonts w:ascii="宋体" w:hAnsi="宋体"/>
                <w:color w:val="auto"/>
              </w:rPr>
            </w:pPr>
            <w:r>
              <w:rPr>
                <w:rFonts w:hint="eastAsia" w:ascii="宋体" w:hAnsi="宋体"/>
                <w:color w:val="auto"/>
              </w:rPr>
              <w:t>7.安全阀、压力表等安全附件损坏或整定值不合格；</w:t>
            </w:r>
          </w:p>
          <w:p>
            <w:pPr>
              <w:spacing w:line="280" w:lineRule="exact"/>
              <w:rPr>
                <w:rFonts w:ascii="宋体" w:hAnsi="宋体"/>
                <w:color w:val="auto"/>
              </w:rPr>
            </w:pPr>
            <w:r>
              <w:rPr>
                <w:rFonts w:hint="eastAsia" w:ascii="宋体" w:hAnsi="宋体"/>
                <w:color w:val="auto"/>
              </w:rPr>
              <w:t>8.设备或管道防腐方式选择不当或遭受腐蚀强度下降；</w:t>
            </w:r>
          </w:p>
          <w:p>
            <w:pPr>
              <w:spacing w:line="280" w:lineRule="exact"/>
              <w:rPr>
                <w:rFonts w:ascii="宋体" w:hAnsi="宋体"/>
                <w:color w:val="auto"/>
              </w:rPr>
            </w:pPr>
            <w:r>
              <w:rPr>
                <w:rFonts w:hint="eastAsia" w:ascii="宋体" w:hAnsi="宋体"/>
                <w:color w:val="auto"/>
              </w:rPr>
              <w:t>9.可能超压设备、管道未设置泄压装置或泄压能力设计不当</w:t>
            </w:r>
          </w:p>
          <w:p>
            <w:pPr>
              <w:spacing w:line="280" w:lineRule="exact"/>
              <w:rPr>
                <w:rFonts w:ascii="宋体" w:hAnsi="宋体"/>
                <w:color w:val="auto"/>
              </w:rPr>
            </w:pPr>
            <w:r>
              <w:rPr>
                <w:rFonts w:hint="eastAsia" w:ascii="宋体" w:hAnsi="宋体"/>
                <w:color w:val="auto"/>
              </w:rPr>
              <w:t>10.遭受外力撞击过大。</w:t>
            </w:r>
          </w:p>
        </w:tc>
        <w:tc>
          <w:tcPr>
            <w:tcW w:w="709" w:type="dxa"/>
            <w:tcBorders>
              <w:top w:val="single" w:color="auto" w:sz="6" w:space="0"/>
              <w:left w:val="single" w:color="auto" w:sz="6" w:space="0"/>
              <w:bottom w:val="single" w:color="auto" w:sz="6" w:space="0"/>
              <w:right w:val="single" w:color="auto" w:sz="6" w:space="0"/>
            </w:tcBorders>
            <w:vAlign w:val="center"/>
          </w:tcPr>
          <w:p>
            <w:pPr>
              <w:spacing w:line="280" w:lineRule="exact"/>
              <w:jc w:val="center"/>
              <w:rPr>
                <w:rFonts w:ascii="宋体" w:hAnsi="宋体"/>
                <w:color w:val="auto"/>
              </w:rPr>
            </w:pPr>
            <w:r>
              <w:rPr>
                <w:rFonts w:hint="eastAsia" w:ascii="宋体" w:hAnsi="宋体"/>
                <w:color w:val="auto"/>
              </w:rPr>
              <w:t>人员伤亡财产损失</w:t>
            </w:r>
          </w:p>
        </w:tc>
        <w:tc>
          <w:tcPr>
            <w:tcW w:w="567" w:type="dxa"/>
            <w:tcBorders>
              <w:top w:val="single" w:color="auto" w:sz="6" w:space="0"/>
              <w:left w:val="single" w:color="auto" w:sz="6" w:space="0"/>
              <w:bottom w:val="single" w:color="auto" w:sz="6" w:space="0"/>
              <w:right w:val="single" w:color="auto" w:sz="6" w:space="0"/>
            </w:tcBorders>
            <w:vAlign w:val="center"/>
          </w:tcPr>
          <w:p>
            <w:pPr>
              <w:spacing w:line="280" w:lineRule="exact"/>
              <w:jc w:val="center"/>
              <w:rPr>
                <w:rFonts w:ascii="宋体" w:hAnsi="宋体"/>
                <w:color w:val="auto"/>
              </w:rPr>
            </w:pPr>
            <w:r>
              <w:rPr>
                <w:rFonts w:hint="eastAsia" w:ascii="宋体" w:hAnsi="宋体"/>
                <w:color w:val="auto"/>
              </w:rPr>
              <w:t>Ⅲ</w:t>
            </w:r>
          </w:p>
        </w:tc>
        <w:tc>
          <w:tcPr>
            <w:tcW w:w="4018" w:type="dxa"/>
            <w:tcBorders>
              <w:top w:val="single" w:color="auto" w:sz="6" w:space="0"/>
              <w:left w:val="single" w:color="auto" w:sz="6" w:space="0"/>
              <w:bottom w:val="single" w:color="auto" w:sz="6" w:space="0"/>
              <w:right w:val="single" w:color="auto" w:sz="12" w:space="0"/>
            </w:tcBorders>
            <w:vAlign w:val="center"/>
          </w:tcPr>
          <w:p>
            <w:pPr>
              <w:spacing w:line="280" w:lineRule="exact"/>
              <w:rPr>
                <w:rFonts w:ascii="宋体" w:hAnsi="宋体"/>
                <w:color w:val="auto"/>
              </w:rPr>
            </w:pPr>
            <w:r>
              <w:rPr>
                <w:rFonts w:hint="eastAsia" w:ascii="宋体" w:hAnsi="宋体"/>
                <w:color w:val="auto"/>
              </w:rPr>
              <w:t>1.严格执行安全操作规程，禁止违章作业；</w:t>
            </w:r>
          </w:p>
          <w:p>
            <w:pPr>
              <w:pStyle w:val="15"/>
              <w:adjustRightInd w:val="0"/>
              <w:snapToGrid w:val="0"/>
              <w:spacing w:line="280" w:lineRule="exact"/>
              <w:rPr>
                <w:rFonts w:ascii="Times New Roman" w:hAnsi="Times New Roman"/>
                <w:color w:val="auto"/>
                <w:szCs w:val="21"/>
              </w:rPr>
            </w:pPr>
            <w:r>
              <w:rPr>
                <w:rFonts w:hint="eastAsia" w:hAnsi="宋体"/>
                <w:color w:val="auto"/>
                <w:szCs w:val="21"/>
              </w:rPr>
              <w:t>2.</w:t>
            </w:r>
            <w:r>
              <w:rPr>
                <w:rFonts w:ascii="Times New Roman" w:hAnsi="Times New Roman"/>
                <w:color w:val="auto"/>
                <w:szCs w:val="21"/>
              </w:rPr>
              <w:t xml:space="preserve"> </w:t>
            </w:r>
            <w:r>
              <w:rPr>
                <w:rFonts w:hint="eastAsia" w:hAnsi="宋体"/>
                <w:color w:val="auto"/>
                <w:szCs w:val="21"/>
              </w:rPr>
              <w:t>设备、设施及施工安装</w:t>
            </w:r>
          </w:p>
          <w:p>
            <w:pPr>
              <w:pStyle w:val="15"/>
              <w:adjustRightInd w:val="0"/>
              <w:snapToGrid w:val="0"/>
              <w:spacing w:line="280" w:lineRule="exact"/>
              <w:rPr>
                <w:rFonts w:ascii="Times New Roman" w:hAnsi="Times New Roman"/>
                <w:color w:val="auto"/>
                <w:szCs w:val="21"/>
              </w:rPr>
            </w:pPr>
            <w:r>
              <w:rPr>
                <w:rFonts w:hint="eastAsia" w:ascii="Times New Roman" w:hAnsi="Times New Roman"/>
                <w:color w:val="auto"/>
                <w:szCs w:val="21"/>
              </w:rPr>
              <w:t>1</w:t>
            </w:r>
            <w:r>
              <w:rPr>
                <w:rFonts w:hint="eastAsia" w:hAnsi="宋体"/>
                <w:color w:val="auto"/>
                <w:szCs w:val="21"/>
              </w:rPr>
              <w:t>）严格执行相关标准进行设计，保证管道、阀门、仪表的材质和制作、安装</w:t>
            </w:r>
            <w:r>
              <w:rPr>
                <w:rFonts w:hAnsi="宋体"/>
                <w:color w:val="auto"/>
                <w:szCs w:val="21"/>
              </w:rPr>
              <w:t>质量；</w:t>
            </w:r>
          </w:p>
          <w:p>
            <w:pPr>
              <w:pStyle w:val="15"/>
              <w:adjustRightInd w:val="0"/>
              <w:snapToGrid w:val="0"/>
              <w:spacing w:line="280" w:lineRule="exact"/>
              <w:rPr>
                <w:rFonts w:ascii="Times New Roman" w:hAnsi="Times New Roman"/>
                <w:color w:val="auto"/>
                <w:szCs w:val="21"/>
              </w:rPr>
            </w:pPr>
            <w:r>
              <w:rPr>
                <w:rFonts w:hint="eastAsia" w:ascii="Times New Roman" w:hAnsi="Times New Roman"/>
                <w:color w:val="auto"/>
                <w:szCs w:val="21"/>
              </w:rPr>
              <w:t>2</w:t>
            </w:r>
            <w:r>
              <w:rPr>
                <w:rFonts w:hint="eastAsia" w:hAnsi="宋体"/>
                <w:color w:val="auto"/>
                <w:szCs w:val="21"/>
              </w:rPr>
              <w:t>）管道按要求进行防腐</w:t>
            </w:r>
            <w:r>
              <w:rPr>
                <w:rFonts w:hAnsi="宋体"/>
                <w:color w:val="auto"/>
                <w:szCs w:val="21"/>
              </w:rPr>
              <w:t>；</w:t>
            </w:r>
          </w:p>
          <w:p>
            <w:pPr>
              <w:pStyle w:val="15"/>
              <w:adjustRightInd w:val="0"/>
              <w:snapToGrid w:val="0"/>
              <w:spacing w:line="280" w:lineRule="exact"/>
              <w:rPr>
                <w:rFonts w:ascii="Times New Roman" w:hAnsi="Times New Roman"/>
                <w:color w:val="auto"/>
                <w:szCs w:val="21"/>
              </w:rPr>
            </w:pPr>
            <w:r>
              <w:rPr>
                <w:rFonts w:hint="eastAsia" w:ascii="Times New Roman" w:hAnsi="Times New Roman"/>
                <w:color w:val="auto"/>
                <w:szCs w:val="21"/>
              </w:rPr>
              <w:t>3</w:t>
            </w:r>
            <w:r>
              <w:rPr>
                <w:rFonts w:hint="eastAsia" w:hAnsi="宋体"/>
                <w:color w:val="auto"/>
                <w:szCs w:val="21"/>
              </w:rPr>
              <w:t>）施工严格</w:t>
            </w:r>
            <w:r>
              <w:rPr>
                <w:rFonts w:hAnsi="宋体"/>
                <w:color w:val="auto"/>
                <w:szCs w:val="21"/>
              </w:rPr>
              <w:t>按规范和标准</w:t>
            </w:r>
            <w:r>
              <w:rPr>
                <w:rFonts w:hint="eastAsia" w:hAnsi="宋体"/>
                <w:color w:val="auto"/>
                <w:szCs w:val="21"/>
              </w:rPr>
              <w:t>进行，并认真检查，确保焊接安装及防腐的质量</w:t>
            </w:r>
            <w:r>
              <w:rPr>
                <w:rFonts w:hAnsi="宋体"/>
                <w:color w:val="auto"/>
                <w:szCs w:val="21"/>
              </w:rPr>
              <w:t>；</w:t>
            </w:r>
          </w:p>
          <w:p>
            <w:pPr>
              <w:spacing w:line="280" w:lineRule="exact"/>
              <w:rPr>
                <w:rFonts w:ascii="宋体" w:hAnsi="宋体"/>
                <w:color w:val="auto"/>
              </w:rPr>
            </w:pPr>
            <w:r>
              <w:rPr>
                <w:rFonts w:hint="eastAsia" w:ascii="宋体" w:hAnsi="宋体"/>
                <w:color w:val="auto"/>
              </w:rPr>
              <w:t>4.压力容器、管道和安全阀、压力表等应定期检测，合格后使用；安全阀应定期开启，防止堵塞。</w:t>
            </w:r>
          </w:p>
          <w:p>
            <w:pPr>
              <w:spacing w:line="280" w:lineRule="exact"/>
              <w:rPr>
                <w:rFonts w:ascii="宋体" w:hAnsi="宋体"/>
                <w:color w:val="auto"/>
              </w:rPr>
            </w:pPr>
            <w:r>
              <w:rPr>
                <w:rFonts w:hint="eastAsia" w:ascii="宋体" w:hAnsi="宋体"/>
                <w:color w:val="auto"/>
              </w:rPr>
              <w:t>5. 可能超压设备、管道应设置安全阀、爆破片等泄压设施；泄压能力应按要求进行设计、选型及施工；</w:t>
            </w:r>
          </w:p>
          <w:p>
            <w:pPr>
              <w:spacing w:line="280" w:lineRule="exact"/>
              <w:rPr>
                <w:rFonts w:ascii="宋体" w:hAnsi="宋体"/>
                <w:color w:val="auto"/>
              </w:rPr>
            </w:pPr>
            <w:r>
              <w:rPr>
                <w:rFonts w:hint="eastAsia" w:ascii="宋体" w:hAnsi="宋体"/>
                <w:color w:val="auto"/>
              </w:rPr>
              <w:t>6.按规范要求进行防腐；加强现场检查维护，减缓设备或管道腐蚀；</w:t>
            </w:r>
          </w:p>
          <w:p>
            <w:pPr>
              <w:spacing w:line="280" w:lineRule="exact"/>
              <w:rPr>
                <w:rFonts w:ascii="宋体" w:hAnsi="宋体"/>
                <w:color w:val="auto"/>
              </w:rPr>
            </w:pPr>
            <w:r>
              <w:rPr>
                <w:rFonts w:hint="eastAsia" w:ascii="宋体" w:hAnsi="宋体"/>
                <w:color w:val="auto"/>
              </w:rPr>
              <w:t>7.防止外来物体撞击。</w:t>
            </w:r>
          </w:p>
          <w:p>
            <w:pPr>
              <w:autoSpaceDE w:val="0"/>
              <w:autoSpaceDN w:val="0"/>
              <w:adjustRightInd w:val="0"/>
              <w:spacing w:line="280" w:lineRule="exact"/>
              <w:rPr>
                <w:color w:val="auto"/>
              </w:rPr>
            </w:pPr>
            <w:r>
              <w:rPr>
                <w:rFonts w:hint="eastAsia" w:ascii="宋体" w:hAnsi="宋体"/>
                <w:color w:val="auto"/>
              </w:rPr>
              <w:t>8.</w:t>
            </w:r>
            <w:r>
              <w:rPr>
                <w:color w:val="auto"/>
              </w:rPr>
              <w:t xml:space="preserve"> </w:t>
            </w:r>
            <w:r>
              <w:rPr>
                <w:rFonts w:hint="eastAsia" w:ascii="宋体" w:hAnsi="宋体"/>
                <w:color w:val="auto"/>
              </w:rPr>
              <w:t>压力容器、</w:t>
            </w:r>
            <w:r>
              <w:rPr>
                <w:rFonts w:ascii="宋体" w:hAnsi="宋体"/>
                <w:color w:val="auto"/>
              </w:rPr>
              <w:t>管道设计要作管壁厚度的强度计算，选材合适；</w:t>
            </w:r>
          </w:p>
          <w:p>
            <w:pPr>
              <w:autoSpaceDE w:val="0"/>
              <w:autoSpaceDN w:val="0"/>
              <w:adjustRightInd w:val="0"/>
              <w:spacing w:line="280" w:lineRule="exact"/>
              <w:rPr>
                <w:color w:val="auto"/>
              </w:rPr>
            </w:pPr>
            <w:r>
              <w:rPr>
                <w:rFonts w:hint="eastAsia"/>
                <w:color w:val="auto"/>
              </w:rPr>
              <w:t>9.</w:t>
            </w:r>
            <w:r>
              <w:rPr>
                <w:color w:val="auto"/>
              </w:rPr>
              <w:t xml:space="preserve"> </w:t>
            </w:r>
            <w:r>
              <w:rPr>
                <w:rFonts w:hint="eastAsia" w:ascii="宋体" w:hAnsi="宋体"/>
                <w:color w:val="auto"/>
              </w:rPr>
              <w:t>压力容器、</w:t>
            </w:r>
            <w:r>
              <w:rPr>
                <w:rFonts w:ascii="宋体" w:hAnsi="宋体"/>
                <w:color w:val="auto"/>
              </w:rPr>
              <w:t>管道管材要有质量证明文件，安装时合金钢要作光谱复查；</w:t>
            </w:r>
          </w:p>
          <w:p>
            <w:pPr>
              <w:spacing w:line="280" w:lineRule="exact"/>
              <w:rPr>
                <w:rFonts w:ascii="宋体" w:hAnsi="宋体"/>
                <w:color w:val="auto"/>
              </w:rPr>
            </w:pPr>
            <w:r>
              <w:rPr>
                <w:rFonts w:hint="eastAsia"/>
                <w:color w:val="auto"/>
              </w:rPr>
              <w:t>10.</w:t>
            </w:r>
            <w:r>
              <w:rPr>
                <w:rFonts w:ascii="宋体" w:hAnsi="宋体"/>
                <w:color w:val="auto"/>
              </w:rPr>
              <w:t>安装焊口要作无损探伤检查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5"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灼烫/冻伤</w:t>
            </w:r>
          </w:p>
        </w:tc>
        <w:tc>
          <w:tcPr>
            <w:tcW w:w="876" w:type="dxa"/>
            <w:tcBorders>
              <w:top w:val="single" w:color="auto" w:sz="6" w:space="0"/>
              <w:left w:val="single" w:color="auto" w:sz="6" w:space="0"/>
              <w:bottom w:val="single" w:color="auto" w:sz="6" w:space="0"/>
              <w:right w:val="single" w:color="auto" w:sz="6" w:space="0"/>
            </w:tcBorders>
          </w:tcPr>
          <w:p>
            <w:pPr>
              <w:jc w:val="left"/>
              <w:rPr>
                <w:rFonts w:ascii="宋体"/>
                <w:bCs/>
                <w:color w:val="auto"/>
              </w:rPr>
            </w:pPr>
            <w:r>
              <w:rPr>
                <w:rFonts w:hint="eastAsia" w:ascii="宋体" w:hAnsi="宋体"/>
                <w:color w:val="auto"/>
              </w:rPr>
              <w:t>高（低）温部件、高（低）温物料、腐蚀性化学品与人体直接接触</w:t>
            </w:r>
          </w:p>
        </w:tc>
        <w:tc>
          <w:tcPr>
            <w:tcW w:w="2551" w:type="dxa"/>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color w:val="auto"/>
              </w:rPr>
              <w:t>1.</w:t>
            </w:r>
            <w:r>
              <w:rPr>
                <w:rFonts w:hint="eastAsia" w:ascii="宋体" w:hAnsi="宋体"/>
                <w:color w:val="auto"/>
              </w:rPr>
              <w:t>高温</w:t>
            </w:r>
            <w:r>
              <w:rPr>
                <w:rFonts w:hint="eastAsia"/>
                <w:color w:val="auto"/>
              </w:rPr>
              <w:t>/</w:t>
            </w:r>
            <w:r>
              <w:rPr>
                <w:rFonts w:hint="eastAsia" w:ascii="宋体" w:hAnsi="宋体"/>
                <w:color w:val="auto"/>
              </w:rPr>
              <w:t>低温介质、蒸汽、腐蚀性物料，故障喷出；</w:t>
            </w:r>
          </w:p>
          <w:p>
            <w:pPr>
              <w:rPr>
                <w:color w:val="auto"/>
              </w:rPr>
            </w:pPr>
            <w:r>
              <w:rPr>
                <w:rFonts w:hint="eastAsia"/>
                <w:color w:val="auto"/>
              </w:rPr>
              <w:t>2.</w:t>
            </w:r>
            <w:r>
              <w:rPr>
                <w:rFonts w:ascii="宋体" w:hAnsi="宋体"/>
                <w:color w:val="auto"/>
              </w:rPr>
              <w:t>高温介质</w:t>
            </w:r>
            <w:r>
              <w:rPr>
                <w:rFonts w:hint="eastAsia" w:ascii="宋体" w:hAnsi="宋体"/>
                <w:color w:val="auto"/>
              </w:rPr>
              <w:t>等管道、设备、机泵、阀门破裂。</w:t>
            </w:r>
          </w:p>
          <w:p>
            <w:pPr>
              <w:rPr>
                <w:color w:val="auto"/>
              </w:rPr>
            </w:pPr>
            <w:r>
              <w:rPr>
                <w:rFonts w:hint="eastAsia"/>
                <w:color w:val="auto"/>
              </w:rPr>
              <w:t>3.</w:t>
            </w:r>
            <w:r>
              <w:rPr>
                <w:rFonts w:hint="eastAsia" w:ascii="宋体" w:hAnsi="宋体"/>
                <w:color w:val="auto"/>
              </w:rPr>
              <w:t>温控系统失效，物料汽化，系统超压破裂</w:t>
            </w:r>
          </w:p>
          <w:p>
            <w:pPr>
              <w:rPr>
                <w:color w:val="auto"/>
              </w:rPr>
            </w:pPr>
            <w:r>
              <w:rPr>
                <w:rFonts w:hint="eastAsia"/>
                <w:color w:val="auto"/>
              </w:rPr>
              <w:t>4.</w:t>
            </w:r>
            <w:r>
              <w:rPr>
                <w:rFonts w:ascii="宋体" w:hAnsi="宋体"/>
                <w:color w:val="auto"/>
              </w:rPr>
              <w:t>清洗、检修罐、阀、泵、管等设备时泄漏，未使用防护用品，接触到高温介质</w:t>
            </w:r>
            <w:r>
              <w:rPr>
                <w:rFonts w:hint="eastAsia" w:ascii="宋体" w:hAnsi="宋体"/>
                <w:color w:val="auto"/>
              </w:rPr>
              <w:t>；</w:t>
            </w:r>
          </w:p>
          <w:p>
            <w:pPr>
              <w:rPr>
                <w:color w:val="auto"/>
              </w:rPr>
            </w:pPr>
            <w:r>
              <w:rPr>
                <w:rFonts w:hint="eastAsia"/>
                <w:color w:val="auto"/>
              </w:rPr>
              <w:t>5.</w:t>
            </w:r>
            <w:r>
              <w:rPr>
                <w:rFonts w:hint="eastAsia" w:ascii="宋体" w:hAnsi="宋体"/>
                <w:color w:val="auto"/>
              </w:rPr>
              <w:t>腐蚀性</w:t>
            </w:r>
            <w:r>
              <w:rPr>
                <w:rFonts w:hint="eastAsia"/>
                <w:color w:val="auto"/>
              </w:rPr>
              <w:t>/</w:t>
            </w:r>
            <w:r>
              <w:rPr>
                <w:rFonts w:hint="eastAsia" w:ascii="宋体" w:hAnsi="宋体"/>
                <w:color w:val="auto"/>
              </w:rPr>
              <w:t>高温</w:t>
            </w:r>
            <w:r>
              <w:rPr>
                <w:rFonts w:hint="eastAsia"/>
                <w:color w:val="auto"/>
              </w:rPr>
              <w:t>/</w:t>
            </w:r>
            <w:r>
              <w:rPr>
                <w:rFonts w:hint="eastAsia" w:ascii="宋体" w:hAnsi="宋体"/>
                <w:color w:val="auto"/>
              </w:rPr>
              <w:t>低温物料，故障喷出；</w:t>
            </w:r>
            <w:bookmarkStart w:id="285" w:name="_Toc91765362"/>
            <w:bookmarkEnd w:id="285"/>
          </w:p>
          <w:p>
            <w:pPr>
              <w:rPr>
                <w:color w:val="auto"/>
              </w:rPr>
            </w:pPr>
            <w:r>
              <w:rPr>
                <w:rFonts w:hint="eastAsia" w:ascii="宋体" w:hAnsi="宋体"/>
                <w:color w:val="auto"/>
              </w:rPr>
              <w:t>6.没有按照要求穿戴劳动防护用品；</w:t>
            </w:r>
          </w:p>
          <w:p>
            <w:pPr>
              <w:rPr>
                <w:color w:val="auto"/>
              </w:rPr>
            </w:pPr>
            <w:r>
              <w:rPr>
                <w:rFonts w:hint="eastAsia" w:ascii="宋体" w:hAnsi="宋体"/>
                <w:color w:val="auto"/>
              </w:rPr>
              <w:t>7.违规违章操作；</w:t>
            </w:r>
          </w:p>
        </w:tc>
        <w:tc>
          <w:tcPr>
            <w:tcW w:w="709" w:type="dxa"/>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人员灼伤、甚至死亡</w:t>
            </w:r>
          </w:p>
        </w:tc>
        <w:tc>
          <w:tcPr>
            <w:tcW w:w="567" w:type="dxa"/>
            <w:tcBorders>
              <w:top w:val="single" w:color="auto" w:sz="6" w:space="0"/>
              <w:left w:val="single" w:color="auto" w:sz="6" w:space="0"/>
              <w:bottom w:val="single" w:color="auto" w:sz="6" w:space="0"/>
              <w:right w:val="single" w:color="auto" w:sz="6" w:space="0"/>
            </w:tcBorders>
            <w:vAlign w:val="center"/>
          </w:tcPr>
          <w:p>
            <w:pPr>
              <w:rPr>
                <w:color w:val="auto"/>
              </w:rPr>
            </w:pPr>
            <w:r>
              <w:rPr>
                <w:rFonts w:hint="eastAsia" w:ascii="宋体" w:hAnsi="宋体"/>
                <w:color w:val="auto"/>
              </w:rPr>
              <w:t>Ⅱ</w:t>
            </w:r>
          </w:p>
        </w:tc>
        <w:tc>
          <w:tcPr>
            <w:tcW w:w="4018" w:type="dxa"/>
            <w:tcBorders>
              <w:top w:val="single" w:color="auto" w:sz="6" w:space="0"/>
              <w:left w:val="single" w:color="auto" w:sz="6" w:space="0"/>
              <w:bottom w:val="single" w:color="auto" w:sz="6" w:space="0"/>
              <w:right w:val="single" w:color="auto" w:sz="12" w:space="0"/>
            </w:tcBorders>
            <w:vAlign w:val="center"/>
          </w:tcPr>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1</w:t>
            </w:r>
            <w:r>
              <w:rPr>
                <w:rFonts w:hAnsi="宋体"/>
                <w:color w:val="auto"/>
                <w:szCs w:val="21"/>
              </w:rPr>
              <w:t>、防止泄漏首先选用适当的材质，并精心安装；</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2</w:t>
            </w:r>
            <w:r>
              <w:rPr>
                <w:rFonts w:hAnsi="宋体"/>
                <w:color w:val="auto"/>
                <w:szCs w:val="21"/>
              </w:rPr>
              <w:t>、合理选用防腐材料，保证焊缝质量及连接密封性；</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3</w:t>
            </w:r>
            <w:r>
              <w:rPr>
                <w:rFonts w:hAnsi="宋体"/>
                <w:color w:val="auto"/>
                <w:szCs w:val="21"/>
              </w:rPr>
              <w:t>、定期检查跑、冒、滴、漏，保持罐、槽、釜（器）、管、阀完好，管道设置保温层并保证完好无缺；</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4</w:t>
            </w:r>
            <w:r>
              <w:rPr>
                <w:rFonts w:hAnsi="宋体"/>
                <w:color w:val="auto"/>
                <w:szCs w:val="21"/>
              </w:rPr>
              <w:t>、涉及腐蚀品、高</w:t>
            </w:r>
            <w:r>
              <w:rPr>
                <w:rFonts w:hint="eastAsia" w:hAnsi="宋体"/>
                <w:color w:val="auto"/>
                <w:szCs w:val="21"/>
              </w:rPr>
              <w:t>（低）</w:t>
            </w:r>
            <w:r>
              <w:rPr>
                <w:rFonts w:hAnsi="宋体"/>
                <w:color w:val="auto"/>
                <w:szCs w:val="21"/>
              </w:rPr>
              <w:t>温物料作业，配备和穿戴相应防护用品；</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5</w:t>
            </w:r>
            <w:r>
              <w:rPr>
                <w:rFonts w:hAnsi="宋体"/>
                <w:color w:val="auto"/>
                <w:szCs w:val="21"/>
              </w:rPr>
              <w:t>、检查、检修设备，必须先清洗干净并作隔离，且检测合格；</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6</w:t>
            </w:r>
            <w:r>
              <w:rPr>
                <w:rFonts w:hAnsi="宋体"/>
                <w:color w:val="auto"/>
                <w:szCs w:val="21"/>
              </w:rPr>
              <w:t>、加强对有关化学品和高温物料灼烫伤预防知识和应急处理方法的培训和教育；</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7</w:t>
            </w:r>
            <w:r>
              <w:rPr>
                <w:rFonts w:hAnsi="宋体"/>
                <w:color w:val="auto"/>
                <w:szCs w:val="21"/>
              </w:rPr>
              <w:t>、设立救护点，并配备相应的器材和药品，如洗眼器等；</w:t>
            </w:r>
          </w:p>
          <w:p>
            <w:pPr>
              <w:pStyle w:val="15"/>
              <w:adjustRightInd w:val="0"/>
              <w:snapToGrid w:val="0"/>
              <w:spacing w:line="330" w:lineRule="exact"/>
              <w:jc w:val="left"/>
              <w:rPr>
                <w:rFonts w:ascii="Times New Roman" w:hAnsi="Times New Roman"/>
                <w:color w:val="auto"/>
                <w:szCs w:val="21"/>
              </w:rPr>
            </w:pPr>
            <w:r>
              <w:rPr>
                <w:rFonts w:ascii="Times New Roman" w:hAnsi="Times New Roman"/>
                <w:color w:val="auto"/>
                <w:szCs w:val="21"/>
              </w:rPr>
              <w:t>8</w:t>
            </w:r>
            <w:r>
              <w:rPr>
                <w:rFonts w:hAnsi="宋体"/>
                <w:color w:val="auto"/>
                <w:szCs w:val="21"/>
              </w:rPr>
              <w:t>、设立警示标志。</w:t>
            </w:r>
          </w:p>
          <w:p>
            <w:pPr>
              <w:rPr>
                <w:color w:val="auto"/>
              </w:rPr>
            </w:pPr>
            <w:r>
              <w:rPr>
                <w:color w:val="auto"/>
              </w:rPr>
              <w:t>9</w:t>
            </w:r>
            <w:r>
              <w:rPr>
                <w:rFonts w:ascii="宋体" w:hAnsi="宋体"/>
                <w:color w:val="auto"/>
              </w:rPr>
              <w:t>、严格执行作业规程。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5" w:type="dxa"/>
            <w:tcBorders>
              <w:top w:val="single" w:color="auto" w:sz="6" w:space="0"/>
              <w:left w:val="single" w:color="auto" w:sz="12" w:space="0"/>
              <w:bottom w:val="single" w:color="auto" w:sz="6" w:space="0"/>
              <w:right w:val="single" w:color="auto" w:sz="6" w:space="0"/>
            </w:tcBorders>
            <w:vAlign w:val="center"/>
          </w:tcPr>
          <w:p>
            <w:pPr>
              <w:jc w:val="center"/>
              <w:rPr>
                <w:rFonts w:ascii="宋体" w:hAnsi="宋体"/>
                <w:color w:val="auto"/>
              </w:rPr>
            </w:pPr>
            <w:r>
              <w:rPr>
                <w:rFonts w:hint="eastAsia" w:ascii="宋体" w:hAnsi="宋体"/>
                <w:color w:val="auto"/>
              </w:rPr>
              <w:t>高处坠落</w:t>
            </w:r>
          </w:p>
        </w:tc>
        <w:tc>
          <w:tcPr>
            <w:tcW w:w="876" w:type="dxa"/>
            <w:tcBorders>
              <w:top w:val="single" w:color="auto" w:sz="6" w:space="0"/>
              <w:left w:val="single" w:color="auto" w:sz="6" w:space="0"/>
              <w:bottom w:val="single" w:color="auto" w:sz="6" w:space="0"/>
              <w:right w:val="single" w:color="auto" w:sz="6" w:space="0"/>
            </w:tcBorders>
            <w:vAlign w:val="center"/>
          </w:tcPr>
          <w:p>
            <w:pPr>
              <w:jc w:val="left"/>
              <w:rPr>
                <w:rFonts w:ascii="宋体" w:hAnsi="宋体"/>
                <w:color w:val="auto"/>
              </w:rPr>
            </w:pPr>
            <w:r>
              <w:rPr>
                <w:rFonts w:hint="eastAsia" w:ascii="宋体" w:hAnsi="宋体"/>
                <w:color w:val="auto"/>
              </w:rPr>
              <w:t>检修</w:t>
            </w:r>
          </w:p>
        </w:tc>
        <w:tc>
          <w:tcPr>
            <w:tcW w:w="2551"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rPr>
            </w:pPr>
            <w:r>
              <w:rPr>
                <w:rFonts w:hint="eastAsia" w:ascii="宋体" w:hAnsi="宋体"/>
                <w:color w:val="auto"/>
              </w:rPr>
              <w:t>1.安全防护设施损坏或不牢固。</w:t>
            </w:r>
          </w:p>
          <w:p>
            <w:pPr>
              <w:rPr>
                <w:color w:val="auto"/>
              </w:rPr>
            </w:pPr>
            <w:r>
              <w:rPr>
                <w:rFonts w:hint="eastAsia" w:ascii="宋体" w:hAnsi="宋体"/>
                <w:color w:val="auto"/>
              </w:rPr>
              <w:t>2.作业人员高处作业未使用安全带等防护用品，注意力不集中。</w:t>
            </w:r>
          </w:p>
        </w:tc>
        <w:tc>
          <w:tcPr>
            <w:tcW w:w="709"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rPr>
            </w:pPr>
            <w:r>
              <w:rPr>
                <w:rFonts w:hint="eastAsia" w:ascii="宋体" w:hAnsi="宋体"/>
                <w:color w:val="auto"/>
              </w:rPr>
              <w:t>人员伤害</w:t>
            </w:r>
          </w:p>
        </w:tc>
        <w:tc>
          <w:tcPr>
            <w:tcW w:w="567" w:type="dxa"/>
            <w:tcBorders>
              <w:top w:val="single" w:color="auto" w:sz="6" w:space="0"/>
              <w:left w:val="single" w:color="auto" w:sz="6" w:space="0"/>
              <w:bottom w:val="single" w:color="auto" w:sz="6" w:space="0"/>
              <w:right w:val="single" w:color="auto" w:sz="6" w:space="0"/>
            </w:tcBorders>
            <w:vAlign w:val="center"/>
          </w:tcPr>
          <w:p>
            <w:pPr>
              <w:rPr>
                <w:rFonts w:ascii="宋体" w:hAnsi="宋体"/>
                <w:color w:val="auto"/>
              </w:rPr>
            </w:pPr>
            <w:r>
              <w:rPr>
                <w:rFonts w:hint="eastAsia" w:ascii="宋体" w:hAnsi="宋体"/>
                <w:color w:val="auto"/>
              </w:rPr>
              <w:t>Ⅱ</w:t>
            </w:r>
          </w:p>
        </w:tc>
        <w:tc>
          <w:tcPr>
            <w:tcW w:w="4018" w:type="dxa"/>
            <w:tcBorders>
              <w:top w:val="single" w:color="auto" w:sz="6" w:space="0"/>
              <w:left w:val="single" w:color="auto" w:sz="6" w:space="0"/>
              <w:bottom w:val="single" w:color="auto" w:sz="6" w:space="0"/>
              <w:right w:val="single" w:color="auto" w:sz="12" w:space="0"/>
            </w:tcBorders>
            <w:vAlign w:val="center"/>
          </w:tcPr>
          <w:p>
            <w:pPr>
              <w:rPr>
                <w:rFonts w:ascii="宋体" w:hAnsi="宋体"/>
                <w:color w:val="auto"/>
              </w:rPr>
            </w:pPr>
            <w:r>
              <w:rPr>
                <w:rFonts w:hint="eastAsia" w:ascii="宋体" w:hAnsi="宋体"/>
                <w:color w:val="auto"/>
              </w:rPr>
              <w:t>1.定期检查维护安全防护设施，确保安全牢固。</w:t>
            </w:r>
          </w:p>
          <w:p>
            <w:pPr>
              <w:pStyle w:val="15"/>
              <w:adjustRightInd w:val="0"/>
              <w:snapToGrid w:val="0"/>
              <w:spacing w:line="330" w:lineRule="exact"/>
              <w:jc w:val="left"/>
              <w:rPr>
                <w:rFonts w:ascii="Times New Roman" w:hAnsi="Times New Roman"/>
                <w:color w:val="auto"/>
                <w:szCs w:val="21"/>
              </w:rPr>
            </w:pPr>
            <w:r>
              <w:rPr>
                <w:rFonts w:hint="eastAsia" w:hAnsi="宋体"/>
                <w:color w:val="auto"/>
              </w:rPr>
              <w:t>2.加强作业人员安全教育，提高安全意识及技术素质，禁止违章作业。</w:t>
            </w:r>
          </w:p>
        </w:tc>
      </w:tr>
    </w:tbl>
    <w:p>
      <w:pPr>
        <w:ind w:firstLine="560" w:firstLineChars="200"/>
        <w:rPr>
          <w:rFonts w:ascii="黑体" w:hAnsi="黑体" w:eastAsia="黑体"/>
          <w:color w:val="auto"/>
          <w:sz w:val="28"/>
          <w:szCs w:val="28"/>
        </w:rPr>
      </w:pPr>
      <w:r>
        <w:rPr>
          <w:rFonts w:hint="eastAsia" w:ascii="黑体" w:hAnsi="黑体" w:eastAsia="黑体"/>
          <w:color w:val="auto"/>
          <w:sz w:val="28"/>
          <w:szCs w:val="28"/>
        </w:rPr>
        <w:t>2评价小结：</w:t>
      </w:r>
    </w:p>
    <w:p>
      <w:pPr>
        <w:ind w:firstLine="560" w:firstLineChars="200"/>
        <w:rPr>
          <w:color w:val="auto"/>
        </w:rPr>
      </w:pPr>
      <w:r>
        <w:rPr>
          <w:rFonts w:hint="eastAsia" w:ascii="宋体" w:hAnsi="宋体"/>
          <w:color w:val="auto"/>
          <w:sz w:val="28"/>
          <w:szCs w:val="28"/>
        </w:rPr>
        <w:t>通过采用预先危险分析法对特种设备单元进行评价可知，特种设备单元可能发生的事故有：容器爆炸</w:t>
      </w:r>
      <w:r>
        <w:rPr>
          <w:rFonts w:ascii="宋体" w:hAnsi="宋体"/>
          <w:color w:val="auto"/>
          <w:sz w:val="28"/>
          <w:szCs w:val="28"/>
        </w:rPr>
        <w:t>危险等级为</w:t>
      </w:r>
      <w:r>
        <w:rPr>
          <w:rFonts w:hint="eastAsia" w:ascii="宋体" w:hAnsi="宋体"/>
          <w:color w:val="auto"/>
          <w:sz w:val="28"/>
          <w:szCs w:val="28"/>
        </w:rPr>
        <w:t>Ⅲ</w:t>
      </w:r>
      <w:r>
        <w:rPr>
          <w:rFonts w:ascii="宋体" w:hAnsi="宋体"/>
          <w:color w:val="auto"/>
          <w:sz w:val="28"/>
          <w:szCs w:val="28"/>
        </w:rPr>
        <w:t>级</w:t>
      </w:r>
      <w:r>
        <w:rPr>
          <w:rFonts w:hint="eastAsia" w:ascii="宋体" w:hAnsi="宋体"/>
          <w:color w:val="auto"/>
          <w:sz w:val="28"/>
          <w:szCs w:val="28"/>
        </w:rPr>
        <w:t>，</w:t>
      </w:r>
      <w:r>
        <w:rPr>
          <w:rFonts w:ascii="宋体" w:hAnsi="宋体"/>
          <w:color w:val="auto"/>
          <w:sz w:val="28"/>
          <w:szCs w:val="28"/>
        </w:rPr>
        <w:t>危险程度是危险的</w:t>
      </w:r>
      <w:r>
        <w:rPr>
          <w:rFonts w:hint="eastAsia" w:ascii="宋体" w:hAnsi="宋体"/>
          <w:color w:val="auto"/>
          <w:sz w:val="28"/>
          <w:szCs w:val="28"/>
        </w:rPr>
        <w:t>，</w:t>
      </w:r>
      <w:r>
        <w:rPr>
          <w:rFonts w:ascii="宋体" w:hAnsi="宋体"/>
          <w:color w:val="auto"/>
          <w:sz w:val="28"/>
          <w:szCs w:val="28"/>
        </w:rPr>
        <w:t>会造成人员伤亡和系统损坏，要立即采取防范对策措施</w:t>
      </w:r>
      <w:r>
        <w:rPr>
          <w:rFonts w:hint="eastAsia" w:ascii="宋体" w:hAnsi="宋体"/>
          <w:color w:val="auto"/>
          <w:sz w:val="28"/>
          <w:szCs w:val="28"/>
        </w:rPr>
        <w:t>。灼烫</w:t>
      </w:r>
      <w:r>
        <w:rPr>
          <w:rFonts w:hint="eastAsia"/>
          <w:color w:val="auto"/>
          <w:sz w:val="28"/>
          <w:szCs w:val="28"/>
        </w:rPr>
        <w:t>/</w:t>
      </w:r>
      <w:r>
        <w:rPr>
          <w:rFonts w:hint="eastAsia" w:ascii="宋体" w:hAnsi="宋体"/>
          <w:color w:val="auto"/>
          <w:sz w:val="28"/>
          <w:szCs w:val="28"/>
        </w:rPr>
        <w:t>冻伤、高处坠落的</w:t>
      </w:r>
      <w:r>
        <w:rPr>
          <w:rFonts w:ascii="宋体" w:hAnsi="宋体"/>
          <w:color w:val="auto"/>
          <w:sz w:val="28"/>
          <w:szCs w:val="28"/>
        </w:rPr>
        <w:t>危险等级为</w:t>
      </w:r>
      <w:r>
        <w:rPr>
          <w:rFonts w:hint="eastAsia" w:ascii="宋体" w:hAnsi="宋体"/>
          <w:color w:val="auto"/>
          <w:sz w:val="28"/>
          <w:szCs w:val="28"/>
        </w:rPr>
        <w:t>Ⅱ</w:t>
      </w:r>
      <w:r>
        <w:rPr>
          <w:rFonts w:ascii="宋体" w:hAnsi="宋体"/>
          <w:color w:val="auto"/>
          <w:sz w:val="28"/>
          <w:szCs w:val="28"/>
        </w:rPr>
        <w:t>级，危险程度是临界的，处于事故的边缘状态，暂时还不会造成人员伤亡、</w:t>
      </w:r>
      <w:r>
        <w:rPr>
          <w:rFonts w:hint="eastAsia" w:ascii="宋体" w:hAnsi="宋体"/>
          <w:color w:val="auto"/>
          <w:sz w:val="28"/>
          <w:szCs w:val="28"/>
        </w:rPr>
        <w:t>系统</w:t>
      </w:r>
      <w:r>
        <w:rPr>
          <w:rFonts w:ascii="宋体" w:hAnsi="宋体"/>
          <w:color w:val="auto"/>
          <w:sz w:val="28"/>
          <w:szCs w:val="28"/>
        </w:rPr>
        <w:t>损坏降低系统性能，但应予排除或采取控制措施</w:t>
      </w:r>
      <w:r>
        <w:rPr>
          <w:rFonts w:hint="eastAsia" w:ascii="宋体" w:hAnsi="宋体"/>
          <w:color w:val="auto"/>
          <w:sz w:val="28"/>
          <w:szCs w:val="28"/>
        </w:rPr>
        <w:t>，符合安全条件。</w:t>
      </w:r>
    </w:p>
    <w:p>
      <w:pPr>
        <w:keepNext/>
        <w:keepLines/>
        <w:spacing w:line="580" w:lineRule="exact"/>
        <w:jc w:val="left"/>
        <w:outlineLvl w:val="1"/>
        <w:rPr>
          <w:rFonts w:ascii="Calibri Light" w:hAnsi="Calibri Light"/>
          <w:b/>
          <w:color w:val="auto"/>
          <w:sz w:val="30"/>
          <w:szCs w:val="30"/>
        </w:rPr>
      </w:pPr>
      <w:bookmarkStart w:id="286" w:name="_Toc144109266"/>
      <w:r>
        <w:rPr>
          <w:rFonts w:hint="eastAsia" w:ascii="Calibri Light" w:hAnsi="Calibri Light"/>
          <w:b/>
          <w:color w:val="auto"/>
          <w:sz w:val="30"/>
          <w:szCs w:val="30"/>
        </w:rPr>
        <w:t>C.</w:t>
      </w:r>
      <w:r>
        <w:rPr>
          <w:rFonts w:ascii="Calibri Light" w:hAnsi="Calibri Light"/>
          <w:b/>
          <w:color w:val="auto"/>
          <w:sz w:val="30"/>
          <w:szCs w:val="30"/>
        </w:rPr>
        <w:t>1.7</w:t>
      </w:r>
      <w:r>
        <w:rPr>
          <w:rFonts w:hint="eastAsia" w:ascii="Calibri Light" w:hAnsi="Calibri Light"/>
          <w:b/>
          <w:color w:val="auto"/>
          <w:sz w:val="30"/>
          <w:szCs w:val="30"/>
        </w:rPr>
        <w:t xml:space="preserve"> 消防单元评价</w:t>
      </w:r>
      <w:bookmarkEnd w:id="286"/>
    </w:p>
    <w:p>
      <w:pPr>
        <w:ind w:firstLine="560" w:firstLineChars="200"/>
        <w:rPr>
          <w:color w:val="auto"/>
        </w:rPr>
      </w:pPr>
      <w:r>
        <w:rPr>
          <w:rFonts w:hint="eastAsia" w:ascii="宋体" w:hAnsi="宋体"/>
          <w:color w:val="auto"/>
          <w:sz w:val="28"/>
          <w:szCs w:val="28"/>
        </w:rPr>
        <w:t>根据</w:t>
      </w:r>
      <w:r>
        <w:rPr>
          <w:rFonts w:hint="eastAsia"/>
          <w:color w:val="auto"/>
          <w:sz w:val="28"/>
          <w:szCs w:val="28"/>
        </w:rPr>
        <w:t>《中华人民共和国消防法》、</w:t>
      </w:r>
      <w:r>
        <w:rPr>
          <w:rFonts w:hint="eastAsia"/>
          <w:color w:val="auto"/>
          <w:kern w:val="0"/>
          <w:sz w:val="28"/>
          <w:szCs w:val="28"/>
        </w:rPr>
        <w:t>《建筑设计防火规范》、《消防给水及消火栓系统技术规范》</w:t>
      </w:r>
      <w:r>
        <w:rPr>
          <w:rFonts w:hint="eastAsia"/>
          <w:color w:val="auto"/>
          <w:sz w:val="28"/>
          <w:szCs w:val="28"/>
        </w:rPr>
        <w:t>、《自动喷水灭火系统设计规范》对该项目的</w:t>
      </w:r>
      <w:r>
        <w:rPr>
          <w:rFonts w:hint="eastAsia"/>
          <w:bCs/>
          <w:color w:val="auto"/>
          <w:sz w:val="28"/>
          <w:szCs w:val="28"/>
        </w:rPr>
        <w:t>消防设施</w:t>
      </w:r>
      <w:r>
        <w:rPr>
          <w:rFonts w:hint="eastAsia"/>
          <w:color w:val="auto"/>
          <w:sz w:val="28"/>
          <w:szCs w:val="28"/>
        </w:rPr>
        <w:t>等</w:t>
      </w:r>
      <w:r>
        <w:rPr>
          <w:rFonts w:hint="eastAsia"/>
          <w:bCs/>
          <w:color w:val="auto"/>
          <w:sz w:val="28"/>
          <w:szCs w:val="28"/>
        </w:rPr>
        <w:t>是否符合规范、标准的要求</w:t>
      </w:r>
      <w:r>
        <w:rPr>
          <w:rFonts w:hint="eastAsia"/>
          <w:color w:val="auto"/>
          <w:sz w:val="28"/>
          <w:szCs w:val="28"/>
        </w:rPr>
        <w:t>进行评价。检查内容见表C</w:t>
      </w:r>
      <w:r>
        <w:rPr>
          <w:color w:val="auto"/>
          <w:sz w:val="28"/>
          <w:szCs w:val="28"/>
        </w:rPr>
        <w:t>.1-19</w:t>
      </w:r>
      <w:r>
        <w:rPr>
          <w:rFonts w:hint="eastAsia"/>
          <w:color w:val="auto"/>
          <w:sz w:val="28"/>
          <w:szCs w:val="28"/>
        </w:rPr>
        <w:t>。</w:t>
      </w:r>
    </w:p>
    <w:p>
      <w:pPr>
        <w:pStyle w:val="67"/>
        <w:rPr>
          <w:rFonts w:ascii="宋体" w:hAnsi="宋体" w:eastAsia="宋体"/>
          <w:b w:val="0"/>
          <w:color w:val="auto"/>
        </w:rPr>
      </w:pPr>
      <w:r>
        <w:rPr>
          <w:rFonts w:hint="eastAsia" w:ascii="宋体" w:hAnsi="宋体" w:eastAsia="宋体"/>
          <w:b w:val="0"/>
          <w:color w:val="auto"/>
        </w:rPr>
        <w:t>表C</w:t>
      </w:r>
      <w:r>
        <w:rPr>
          <w:rFonts w:ascii="宋体" w:hAnsi="宋体" w:eastAsia="宋体"/>
          <w:b w:val="0"/>
          <w:color w:val="auto"/>
        </w:rPr>
        <w:t>.1-19</w:t>
      </w:r>
      <w:r>
        <w:rPr>
          <w:rFonts w:hint="eastAsia" w:ascii="宋体" w:hAnsi="宋体" w:eastAsia="宋体"/>
          <w:b w:val="0"/>
          <w:color w:val="auto"/>
        </w:rPr>
        <w:t xml:space="preserve"> 消防单元安全检查表</w:t>
      </w:r>
    </w:p>
    <w:tbl>
      <w:tblPr>
        <w:tblStyle w:val="31"/>
        <w:tblW w:w="905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2"/>
        <w:gridCol w:w="3986"/>
        <w:gridCol w:w="663"/>
        <w:gridCol w:w="1321"/>
        <w:gridCol w:w="255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34" w:type="dxa"/>
            <w:tcBorders>
              <w:top w:val="single" w:color="auto" w:sz="12" w:space="0"/>
              <w:left w:val="single" w:color="auto" w:sz="12" w:space="0"/>
              <w:bottom w:val="single" w:color="auto" w:sz="6" w:space="0"/>
              <w:right w:val="single" w:color="auto" w:sz="6" w:space="0"/>
            </w:tcBorders>
            <w:vAlign w:val="center"/>
          </w:tcPr>
          <w:p>
            <w:pPr>
              <w:jc w:val="center"/>
              <w:rPr>
                <w:color w:val="auto"/>
              </w:rPr>
            </w:pPr>
            <w:r>
              <w:rPr>
                <w:rFonts w:ascii="宋体" w:hAnsi="宋体"/>
                <w:color w:val="auto"/>
              </w:rPr>
              <w:t>序号</w:t>
            </w:r>
          </w:p>
        </w:tc>
        <w:tc>
          <w:tcPr>
            <w:tcW w:w="3996"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ascii="宋体" w:hAnsi="宋体"/>
                <w:color w:val="auto"/>
              </w:rPr>
              <w:t>检查</w:t>
            </w:r>
            <w:r>
              <w:rPr>
                <w:rFonts w:hint="eastAsia" w:ascii="宋体" w:hAnsi="宋体"/>
                <w:color w:val="auto"/>
              </w:rPr>
              <w:t>项目和</w:t>
            </w:r>
            <w:r>
              <w:rPr>
                <w:rFonts w:ascii="宋体" w:hAnsi="宋体"/>
                <w:color w:val="auto"/>
              </w:rPr>
              <w:t>内容</w:t>
            </w:r>
          </w:p>
        </w:tc>
        <w:tc>
          <w:tcPr>
            <w:tcW w:w="664"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ascii="宋体" w:hAnsi="宋体"/>
                <w:color w:val="auto"/>
              </w:rPr>
              <w:t>检查结果</w:t>
            </w:r>
          </w:p>
        </w:tc>
        <w:tc>
          <w:tcPr>
            <w:tcW w:w="1324"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ascii="宋体" w:hAnsi="宋体"/>
                <w:color w:val="auto"/>
              </w:rPr>
              <w:t>检查依据</w:t>
            </w:r>
          </w:p>
        </w:tc>
        <w:tc>
          <w:tcPr>
            <w:tcW w:w="2539" w:type="dxa"/>
            <w:tcBorders>
              <w:top w:val="single" w:color="auto" w:sz="12"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hint="eastAsia" w:ascii="宋体" w:hAnsi="宋体"/>
                <w:color w:val="auto"/>
              </w:rPr>
              <w:t>检查记录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生产、储存、经营易燃易爆危险品的场所不得与居住场所设置在同一建筑物内，并应当与居住场所保持安全距离。</w:t>
            </w:r>
            <w:r>
              <w:rPr>
                <w:rFonts w:ascii="宋体" w:hAnsi="宋体"/>
                <w:color w:val="auto"/>
              </w:rPr>
              <w:t>生产、储存、经营其他物品的场所与居住场所设置在同一建筑物内的，应当符合国家工程建设消防技术标准。</w:t>
            </w:r>
          </w:p>
        </w:tc>
        <w:tc>
          <w:tcPr>
            <w:tcW w:w="664" w:type="dxa"/>
            <w:tcBorders>
              <w:top w:val="single" w:color="auto" w:sz="6" w:space="0"/>
              <w:left w:val="single" w:color="auto" w:sz="6" w:space="0"/>
              <w:bottom w:val="single" w:color="auto" w:sz="6" w:space="0"/>
              <w:right w:val="single" w:color="auto" w:sz="6" w:space="0"/>
            </w:tcBorders>
            <w:vAlign w:val="center"/>
          </w:tcPr>
          <w:p>
            <w:pPr>
              <w:pStyle w:val="68"/>
              <w:keepNext w:val="0"/>
              <w:keepLines w:val="0"/>
              <w:pageBreakBefore w:val="0"/>
              <w:widowControl w:val="0"/>
              <w:kinsoku/>
              <w:wordWrap/>
              <w:overflowPunct/>
              <w:topLinePunct w:val="0"/>
              <w:bidi w:val="0"/>
              <w:snapToGrid/>
              <w:spacing w:line="260" w:lineRule="exact"/>
              <w:textAlignment w:val="auto"/>
              <w:rPr>
                <w:rFonts w:ascii="宋体" w:hAnsi="宋体" w:eastAsia="宋体" w:cs="Times New Roman"/>
                <w:color w:val="auto"/>
                <w:kern w:val="24"/>
              </w:rPr>
            </w:pPr>
            <w:r>
              <w:rPr>
                <w:rFonts w:hint="eastAsia" w:ascii="宋体" w:hAnsi="宋体" w:eastAsia="宋体" w:cs="Times New Roman"/>
                <w:color w:val="auto"/>
                <w:kern w:val="24"/>
              </w:rPr>
              <w:t>符合</w:t>
            </w:r>
          </w:p>
        </w:tc>
        <w:tc>
          <w:tcPr>
            <w:tcW w:w="132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rFonts w:ascii="Calibri" w:hAnsi="Calibri" w:cs="Calibri"/>
                <w:color w:val="auto"/>
              </w:rPr>
            </w:pPr>
            <w:r>
              <w:rPr>
                <w:rFonts w:hint="eastAsia" w:ascii="宋体" w:hAnsi="宋体"/>
                <w:color w:val="auto"/>
              </w:rPr>
              <w:t>《中华人民共和国消防法》第十九条</w:t>
            </w:r>
          </w:p>
        </w:tc>
        <w:tc>
          <w:tcPr>
            <w:tcW w:w="2539"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该项目生产区内未设员工宿舍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rFonts w:ascii="宋体" w:hAnsi="宋体"/>
                <w:color w:val="auto"/>
              </w:rPr>
            </w:pPr>
            <w:r>
              <w:rPr>
                <w:rFonts w:hint="eastAsia" w:ascii="宋体" w:hAnsi="宋体"/>
                <w:color w:val="auto"/>
              </w:rPr>
              <w:t>生产、储存、装卸易燃易爆危险品的工厂、仓库和专用车站、码头的设置，应当符合消防技术标准。易燃易爆气体和液体的充装站、供应站、调压站，应当设置在符合消防安全要求的位置，并符合防火防爆要求。</w:t>
            </w:r>
          </w:p>
        </w:tc>
        <w:tc>
          <w:tcPr>
            <w:tcW w:w="664" w:type="dxa"/>
            <w:tcBorders>
              <w:top w:val="single" w:color="auto" w:sz="6" w:space="0"/>
              <w:left w:val="single" w:color="auto" w:sz="6" w:space="0"/>
              <w:bottom w:val="single" w:color="auto" w:sz="6" w:space="0"/>
              <w:right w:val="single" w:color="auto" w:sz="6" w:space="0"/>
            </w:tcBorders>
            <w:vAlign w:val="center"/>
          </w:tcPr>
          <w:p>
            <w:pPr>
              <w:pStyle w:val="68"/>
              <w:keepNext w:val="0"/>
              <w:keepLines w:val="0"/>
              <w:pageBreakBefore w:val="0"/>
              <w:widowControl w:val="0"/>
              <w:kinsoku/>
              <w:wordWrap/>
              <w:overflowPunct/>
              <w:topLinePunct w:val="0"/>
              <w:bidi w:val="0"/>
              <w:snapToGrid/>
              <w:spacing w:line="260" w:lineRule="exact"/>
              <w:textAlignment w:val="auto"/>
              <w:rPr>
                <w:rFonts w:ascii="宋体" w:hAnsi="宋体" w:eastAsia="宋体" w:cs="Times New Roman"/>
                <w:color w:val="auto"/>
                <w:kern w:val="24"/>
              </w:rPr>
            </w:pPr>
            <w:r>
              <w:rPr>
                <w:rFonts w:hint="eastAsia" w:ascii="宋体" w:hAnsi="宋体" w:eastAsia="宋体" w:cs="Times New Roman"/>
                <w:color w:val="auto"/>
                <w:kern w:val="24"/>
              </w:rPr>
              <w:t>符合</w:t>
            </w:r>
          </w:p>
        </w:tc>
        <w:tc>
          <w:tcPr>
            <w:tcW w:w="132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rFonts w:ascii="宋体" w:hAnsi="宋体"/>
                <w:color w:val="auto"/>
              </w:rPr>
            </w:pPr>
            <w:r>
              <w:rPr>
                <w:rFonts w:hint="eastAsia" w:ascii="宋体" w:hAnsi="宋体"/>
                <w:color w:val="auto"/>
              </w:rPr>
              <w:t>《中华人民共和国消防法》第二十二条</w:t>
            </w:r>
          </w:p>
        </w:tc>
        <w:tc>
          <w:tcPr>
            <w:tcW w:w="2539"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rFonts w:ascii="宋体" w:hAnsi="宋体"/>
                <w:color w:val="auto"/>
              </w:rPr>
            </w:pPr>
            <w:r>
              <w:rPr>
                <w:rFonts w:hint="eastAsia" w:ascii="宋体" w:hAnsi="宋体"/>
                <w:color w:val="auto"/>
              </w:rPr>
              <w:t>生产车间和仓库耐火等级不低于二级，防火分区符合规范要求，满足消防技术要求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消防车道应符合下列要求：</w:t>
            </w:r>
          </w:p>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 xml:space="preserve">1 </w:t>
            </w:r>
            <w:r>
              <w:rPr>
                <w:rFonts w:hint="eastAsia" w:ascii="宋体" w:hAnsi="宋体"/>
                <w:color w:val="auto"/>
              </w:rPr>
              <w:t>车道的净宽度和净空高度均不应小于</w:t>
            </w:r>
            <w:r>
              <w:rPr>
                <w:rFonts w:hint="eastAsia"/>
                <w:color w:val="auto"/>
              </w:rPr>
              <w:t>4.0m</w:t>
            </w:r>
            <w:r>
              <w:rPr>
                <w:rFonts w:hint="eastAsia" w:ascii="宋体" w:hAnsi="宋体"/>
                <w:color w:val="auto"/>
              </w:rPr>
              <w:t>；</w:t>
            </w:r>
          </w:p>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 xml:space="preserve">2 </w:t>
            </w:r>
            <w:r>
              <w:rPr>
                <w:rFonts w:hint="eastAsia" w:ascii="宋体" w:hAnsi="宋体"/>
                <w:color w:val="auto"/>
              </w:rPr>
              <w:t>转弯半径应满足消防车转弯的要求；</w:t>
            </w:r>
          </w:p>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 xml:space="preserve">3 </w:t>
            </w:r>
            <w:r>
              <w:rPr>
                <w:rFonts w:hint="eastAsia" w:ascii="宋体" w:hAnsi="宋体"/>
                <w:color w:val="auto"/>
              </w:rPr>
              <w:t>消防车道与建筑之间不应设置妨碍消防车操作的树木、架空管线等障碍物；</w:t>
            </w:r>
          </w:p>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 xml:space="preserve">4 </w:t>
            </w:r>
            <w:r>
              <w:rPr>
                <w:rFonts w:hint="eastAsia" w:ascii="宋体" w:hAnsi="宋体"/>
                <w:color w:val="auto"/>
              </w:rPr>
              <w:t>消防车道靠建筑外墙一侧的边缘距离建筑外墙不宜小于</w:t>
            </w:r>
            <w:r>
              <w:rPr>
                <w:rFonts w:hint="eastAsia"/>
                <w:color w:val="auto"/>
              </w:rPr>
              <w:t>5m</w:t>
            </w:r>
            <w:r>
              <w:rPr>
                <w:rFonts w:hint="eastAsia" w:ascii="宋体" w:hAnsi="宋体"/>
                <w:color w:val="auto"/>
              </w:rPr>
              <w:t>；</w:t>
            </w:r>
          </w:p>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 xml:space="preserve">5 </w:t>
            </w:r>
            <w:r>
              <w:rPr>
                <w:rFonts w:hint="eastAsia" w:ascii="宋体" w:hAnsi="宋体"/>
                <w:color w:val="auto"/>
              </w:rPr>
              <w:t>消防车道的坡度不宜大于</w:t>
            </w:r>
            <w:r>
              <w:rPr>
                <w:rFonts w:hint="eastAsia"/>
                <w:color w:val="auto"/>
              </w:rPr>
              <w:t>8%</w:t>
            </w:r>
            <w:r>
              <w:rPr>
                <w:rFonts w:hint="eastAsia" w:ascii="宋体" w:hAnsi="宋体"/>
                <w:color w:val="auto"/>
              </w:rPr>
              <w:t>。</w:t>
            </w:r>
          </w:p>
        </w:tc>
        <w:tc>
          <w:tcPr>
            <w:tcW w:w="66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hint="eastAsia" w:ascii="宋体" w:hAnsi="宋体"/>
                <w:color w:val="auto"/>
              </w:rPr>
              <w:t>《建筑设计防火规范》</w:t>
            </w:r>
            <w:r>
              <w:rPr>
                <w:rFonts w:hint="eastAsia"/>
                <w:color w:val="auto"/>
              </w:rPr>
              <w:t>7.1.8</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jc w:val="center"/>
              <w:textAlignment w:val="auto"/>
              <w:rPr>
                <w:color w:val="auto"/>
              </w:rPr>
            </w:pPr>
            <w:r>
              <w:rPr>
                <w:rFonts w:hint="eastAsia" w:ascii="宋体" w:hAnsi="宋体"/>
                <w:color w:val="auto"/>
              </w:rPr>
              <w:t>靠建筑外墙一侧的边缘距离建筑外墙不小于</w:t>
            </w:r>
            <w:r>
              <w:rPr>
                <w:rFonts w:hint="eastAsia"/>
                <w:color w:val="auto"/>
              </w:rPr>
              <w:t>5m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民用建筑、厂房、仓库、储罐（区）和堆场周围应设置室外消火栓系统</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kern w:val="24"/>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《建筑设计防火规范》</w:t>
            </w:r>
            <w:r>
              <w:rPr>
                <w:rFonts w:hint="eastAsia"/>
                <w:color w:val="auto"/>
              </w:rPr>
              <w:t>8.1.2</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各建构筑周围建设配套室外消火栓系统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消防水泵房的设置应符合下列规定：</w:t>
            </w:r>
          </w:p>
          <w:p>
            <w:pPr>
              <w:pStyle w:val="27"/>
              <w:keepNext w:val="0"/>
              <w:keepLines w:val="0"/>
              <w:pageBreakBefore w:val="0"/>
              <w:shd w:val="clear" w:color="auto" w:fill="FFFFFF"/>
              <w:kinsoku/>
              <w:wordWrap/>
              <w:overflowPunct/>
              <w:topLinePunct w:val="0"/>
              <w:bidi w:val="0"/>
              <w:snapToGrid/>
              <w:spacing w:before="0" w:beforeAutospacing="0" w:after="0" w:afterAutospacing="0" w:line="260" w:lineRule="exact"/>
              <w:textAlignment w:val="auto"/>
              <w:rPr>
                <w:rFonts w:ascii="Times New Roman" w:hAnsi="Times New Roman"/>
                <w:color w:val="auto"/>
                <w:kern w:val="2"/>
                <w:sz w:val="21"/>
              </w:rPr>
            </w:pPr>
            <w:r>
              <w:rPr>
                <w:rFonts w:hint="eastAsia" w:ascii="Times New Roman" w:hAnsi="Times New Roman"/>
                <w:color w:val="auto"/>
                <w:kern w:val="2"/>
                <w:sz w:val="21"/>
              </w:rPr>
              <w:t>1</w:t>
            </w:r>
            <w:r>
              <w:rPr>
                <w:rFonts w:ascii="Times New Roman" w:hAnsi="Times New Roman"/>
                <w:color w:val="auto"/>
                <w:kern w:val="2"/>
                <w:sz w:val="21"/>
              </w:rPr>
              <w:t>.</w:t>
            </w:r>
            <w:r>
              <w:rPr>
                <w:rFonts w:hint="eastAsia" w:ascii="Times New Roman" w:hAnsi="Times New Roman"/>
                <w:color w:val="auto"/>
                <w:kern w:val="2"/>
                <w:sz w:val="21"/>
              </w:rPr>
              <w:t>单独建造的消防水泵房，其耐火等级不应低于二级；</w:t>
            </w:r>
          </w:p>
          <w:p>
            <w:pPr>
              <w:keepNext w:val="0"/>
              <w:keepLines w:val="0"/>
              <w:pageBreakBefore w:val="0"/>
              <w:widowControl/>
              <w:shd w:val="clear" w:color="auto" w:fill="FFFFFF"/>
              <w:kinsoku/>
              <w:wordWrap/>
              <w:overflowPunct/>
              <w:topLinePunct w:val="0"/>
              <w:bidi w:val="0"/>
              <w:snapToGrid/>
              <w:spacing w:line="260" w:lineRule="exact"/>
              <w:jc w:val="left"/>
              <w:textAlignment w:val="auto"/>
              <w:rPr>
                <w:color w:val="auto"/>
              </w:rPr>
            </w:pPr>
            <w:r>
              <w:rPr>
                <w:rFonts w:hint="eastAsia"/>
                <w:color w:val="auto"/>
              </w:rPr>
              <w:t>2</w:t>
            </w:r>
            <w:r>
              <w:rPr>
                <w:color w:val="auto"/>
              </w:rPr>
              <w:t>.</w:t>
            </w:r>
            <w:r>
              <w:rPr>
                <w:rFonts w:hint="eastAsia"/>
                <w:color w:val="auto"/>
              </w:rPr>
              <w:t>附设在建筑内的消防水泵房，不应设置在地下三层及以下或室内地面与室外出入口地坪高差大于10m的地下楼层；</w:t>
            </w:r>
          </w:p>
          <w:p>
            <w:pPr>
              <w:keepNext w:val="0"/>
              <w:keepLines w:val="0"/>
              <w:pageBreakBefore w:val="0"/>
              <w:widowControl/>
              <w:shd w:val="clear" w:color="auto" w:fill="FFFFFF"/>
              <w:kinsoku/>
              <w:wordWrap/>
              <w:overflowPunct/>
              <w:topLinePunct w:val="0"/>
              <w:bidi w:val="0"/>
              <w:snapToGrid/>
              <w:spacing w:line="260" w:lineRule="exact"/>
              <w:jc w:val="left"/>
              <w:textAlignment w:val="auto"/>
              <w:rPr>
                <w:color w:val="auto"/>
              </w:rPr>
            </w:pPr>
            <w:r>
              <w:rPr>
                <w:rFonts w:hint="eastAsia"/>
                <w:color w:val="auto"/>
              </w:rPr>
              <w:t>3</w:t>
            </w:r>
            <w:r>
              <w:rPr>
                <w:color w:val="auto"/>
              </w:rPr>
              <w:t>.</w:t>
            </w:r>
            <w:r>
              <w:rPr>
                <w:rFonts w:hint="eastAsia"/>
                <w:color w:val="auto"/>
              </w:rPr>
              <w:t>疏散门应直通室外或安全出口。</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kern w:val="24"/>
              </w:rPr>
            </w:pPr>
            <w:r>
              <w:rPr>
                <w:rFonts w:hint="eastAsia"/>
                <w:color w:val="auto"/>
                <w:kern w:val="24"/>
              </w:rPr>
              <w:t>不符合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《建筑设计防火规范》</w:t>
            </w:r>
            <w:r>
              <w:rPr>
                <w:rFonts w:hint="eastAsia"/>
                <w:color w:val="auto"/>
              </w:rPr>
              <w:t>8.1.</w:t>
            </w:r>
            <w:r>
              <w:rPr>
                <w:color w:val="auto"/>
              </w:rPr>
              <w:t>6</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color w:val="auto"/>
              </w:rPr>
              <w:t>可研未提及消防水泵房设置情况，消防水泵房的耐火等级未明确。在对策措施中提出建议。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消防水泵房和消防控制室应采取防水淹的技术措施。</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color w:val="auto"/>
                <w:kern w:val="24"/>
              </w:rPr>
              <w:t>不符合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《建筑设计防火规范》</w:t>
            </w:r>
            <w:r>
              <w:rPr>
                <w:rFonts w:hint="eastAsia"/>
                <w:color w:val="auto"/>
              </w:rPr>
              <w:t>8.1.8</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color w:val="auto"/>
              </w:rPr>
              <w:t>可研未提及消防水泵房设置情况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厂房、仓库、储罐（区）和堆场，应设置灭火器。</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《建筑设计防火规范》</w:t>
            </w:r>
            <w:r>
              <w:rPr>
                <w:rFonts w:hint="eastAsia"/>
                <w:color w:val="auto"/>
              </w:rPr>
              <w:t>8</w:t>
            </w:r>
            <w:r>
              <w:rPr>
                <w:color w:val="auto"/>
              </w:rPr>
              <w:t>.1.10</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拟设置灭火器。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rFonts w:ascii="宋体" w:hAnsi="宋体"/>
                <w:color w:val="auto"/>
              </w:rPr>
            </w:pPr>
            <w:r>
              <w:rPr>
                <w:rFonts w:hint="eastAsia" w:ascii="宋体" w:hAnsi="宋体"/>
                <w:color w:val="auto"/>
              </w:rPr>
              <w:t>设置在建筑室内外供人员操作或使用的消防设施，均应设置区别于环境的明显标志。</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kern w:val="24"/>
              </w:rPr>
            </w:pPr>
            <w:r>
              <w:rPr>
                <w:rFonts w:hint="eastAsia"/>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rFonts w:ascii="宋体" w:hAnsi="宋体"/>
                <w:color w:val="auto"/>
              </w:rPr>
            </w:pPr>
            <w:r>
              <w:rPr>
                <w:rFonts w:hint="eastAsia" w:ascii="宋体" w:hAnsi="宋体"/>
                <w:color w:val="auto"/>
              </w:rPr>
              <w:t>《建筑设计防火规范》</w:t>
            </w:r>
            <w:r>
              <w:rPr>
                <w:rFonts w:hint="eastAsia"/>
                <w:color w:val="auto"/>
              </w:rPr>
              <w:t>8.1.</w:t>
            </w:r>
            <w:r>
              <w:rPr>
                <w:color w:val="auto"/>
              </w:rPr>
              <w:t>12</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color w:val="auto"/>
              </w:rPr>
              <w:t>消防设施拟设置为红色标志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val="0"/>
              <w:autoSpaceDN w:val="0"/>
              <w:bidi w:val="0"/>
              <w:adjustRightInd w:val="0"/>
              <w:snapToGrid/>
              <w:spacing w:line="260" w:lineRule="exact"/>
              <w:jc w:val="left"/>
              <w:textAlignment w:val="auto"/>
              <w:rPr>
                <w:color w:val="auto"/>
              </w:rPr>
            </w:pPr>
            <w:r>
              <w:rPr>
                <w:rFonts w:hint="eastAsia" w:ascii="宋体" w:hAnsi="宋体"/>
                <w:color w:val="auto"/>
              </w:rPr>
              <w:t>下列建筑或场所应设置室内消火栓系统：</w:t>
            </w:r>
            <w:r>
              <w:rPr>
                <w:rFonts w:hint="eastAsia"/>
                <w:color w:val="auto"/>
              </w:rPr>
              <w:t xml:space="preserve">1 </w:t>
            </w:r>
            <w:r>
              <w:rPr>
                <w:rFonts w:hint="eastAsia" w:ascii="宋体" w:hAnsi="宋体"/>
                <w:color w:val="auto"/>
              </w:rPr>
              <w:t xml:space="preserve">建筑占地面积大于 </w:t>
            </w:r>
            <w:r>
              <w:rPr>
                <w:rFonts w:hint="eastAsia"/>
                <w:color w:val="auto"/>
              </w:rPr>
              <w:t>300m</w:t>
            </w:r>
            <w:r>
              <w:rPr>
                <w:rFonts w:hint="eastAsia"/>
                <w:color w:val="auto"/>
                <w:vertAlign w:val="superscript"/>
              </w:rPr>
              <w:t>2</w:t>
            </w:r>
            <w:r>
              <w:rPr>
                <w:rFonts w:hint="eastAsia" w:ascii="宋体" w:hAnsi="宋体"/>
                <w:color w:val="auto"/>
              </w:rPr>
              <w:t>的厂房和仓库；</w:t>
            </w:r>
          </w:p>
        </w:tc>
        <w:tc>
          <w:tcPr>
            <w:tcW w:w="664"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《建筑设计防火规范》</w:t>
            </w:r>
            <w:r>
              <w:rPr>
                <w:rFonts w:hint="eastAsia"/>
                <w:color w:val="auto"/>
              </w:rPr>
              <w:t>8.2.1</w:t>
            </w:r>
          </w:p>
        </w:tc>
        <w:tc>
          <w:tcPr>
            <w:tcW w:w="2561" w:type="dxa"/>
            <w:tcBorders>
              <w:top w:val="single" w:color="auto" w:sz="6" w:space="0"/>
              <w:left w:val="single" w:color="auto" w:sz="6" w:space="0"/>
              <w:bottom w:val="single" w:color="auto" w:sz="6" w:space="0"/>
              <w:right w:val="single" w:color="auto" w:sz="12" w:space="0"/>
            </w:tcBorders>
            <w:vAlign w:val="center"/>
          </w:tcPr>
          <w:p>
            <w:pPr>
              <w:keepNext w:val="0"/>
              <w:keepLines w:val="0"/>
              <w:pageBreakBefore w:val="0"/>
              <w:kinsoku/>
              <w:wordWrap/>
              <w:overflowPunct/>
              <w:topLinePunct w:val="0"/>
              <w:bidi w:val="0"/>
              <w:snapToGrid/>
              <w:spacing w:line="260" w:lineRule="exact"/>
              <w:textAlignment w:val="auto"/>
              <w:rPr>
                <w:color w:val="auto"/>
              </w:rPr>
            </w:pPr>
            <w:r>
              <w:rPr>
                <w:rFonts w:hint="eastAsia" w:ascii="宋体" w:hAnsi="宋体"/>
                <w:color w:val="auto"/>
              </w:rPr>
              <w:t>除2</w:t>
            </w:r>
            <w:r>
              <w:rPr>
                <w:rFonts w:ascii="宋体" w:hAnsi="宋体"/>
                <w:color w:val="auto"/>
              </w:rPr>
              <w:t>05</w:t>
            </w:r>
            <w:r>
              <w:rPr>
                <w:rFonts w:hint="eastAsia" w:ascii="宋体" w:hAnsi="宋体"/>
                <w:color w:val="auto"/>
              </w:rPr>
              <w:t>甲类仓库三，其他建构筑物拟设置室内消火栓系统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00" w:lineRule="exact"/>
              <w:jc w:val="left"/>
              <w:rPr>
                <w:color w:val="auto"/>
              </w:rPr>
            </w:pPr>
            <w:r>
              <w:rPr>
                <w:rFonts w:hint="eastAsia" w:ascii="宋体" w:hAnsi="宋体"/>
                <w:color w:val="auto"/>
              </w:rPr>
              <w:t>消防用电设备应采用专用的供电回路，</w:t>
            </w:r>
            <w:r>
              <w:rPr>
                <w:rFonts w:hint="eastAsia"/>
                <w:color w:val="auto"/>
              </w:rPr>
              <w:t xml:space="preserve"> 当建筑内的生产、 生活用电被切断时，应仍能保证消防用电。备用消防电源的供电时间和容量， 应满足该建筑火灾延续时间内各消防用电设备的要求。</w:t>
            </w:r>
          </w:p>
        </w:tc>
        <w:tc>
          <w:tcPr>
            <w:tcW w:w="664" w:type="dxa"/>
            <w:tcBorders>
              <w:top w:val="single" w:color="auto" w:sz="6" w:space="0"/>
              <w:left w:val="single" w:color="auto" w:sz="6" w:space="0"/>
              <w:bottom w:val="single" w:color="auto" w:sz="6" w:space="0"/>
              <w:right w:val="single" w:color="auto" w:sz="6" w:space="0"/>
            </w:tcBorders>
          </w:tcPr>
          <w:p>
            <w:pPr>
              <w:spacing w:line="300" w:lineRule="exact"/>
              <w:rPr>
                <w:color w:val="auto"/>
              </w:rPr>
            </w:pPr>
            <w:r>
              <w:rPr>
                <w:rFonts w:hint="eastAsia"/>
                <w:color w:val="auto"/>
              </w:rPr>
              <w:t>符合</w:t>
            </w:r>
          </w:p>
        </w:tc>
        <w:tc>
          <w:tcPr>
            <w:tcW w:w="1302" w:type="dxa"/>
            <w:tcBorders>
              <w:top w:val="single" w:color="auto" w:sz="6" w:space="0"/>
              <w:left w:val="single" w:color="auto" w:sz="6" w:space="0"/>
              <w:bottom w:val="single" w:color="auto" w:sz="6" w:space="0"/>
              <w:right w:val="single" w:color="auto" w:sz="6" w:space="0"/>
            </w:tcBorders>
          </w:tcPr>
          <w:p>
            <w:pPr>
              <w:spacing w:line="300" w:lineRule="exact"/>
              <w:rPr>
                <w:color w:val="auto"/>
              </w:rPr>
            </w:pPr>
            <w:r>
              <w:rPr>
                <w:rFonts w:hint="eastAsia" w:ascii="宋体" w:hAnsi="宋体"/>
                <w:color w:val="auto"/>
              </w:rPr>
              <w:t>《建筑设计防火规范》</w:t>
            </w:r>
            <w:r>
              <w:rPr>
                <w:rFonts w:hint="eastAsia"/>
                <w:color w:val="auto"/>
              </w:rPr>
              <w:t>10.1.6</w:t>
            </w:r>
          </w:p>
        </w:tc>
        <w:tc>
          <w:tcPr>
            <w:tcW w:w="2561" w:type="dxa"/>
            <w:tcBorders>
              <w:top w:val="single" w:color="auto" w:sz="6" w:space="0"/>
              <w:left w:val="single" w:color="auto" w:sz="6" w:space="0"/>
              <w:bottom w:val="single" w:color="auto" w:sz="6" w:space="0"/>
              <w:right w:val="single" w:color="auto" w:sz="12" w:space="0"/>
            </w:tcBorders>
            <w:vAlign w:val="center"/>
          </w:tcPr>
          <w:p>
            <w:pPr>
              <w:spacing w:line="300" w:lineRule="exact"/>
              <w:rPr>
                <w:color w:val="auto"/>
                <w:kern w:val="24"/>
              </w:rPr>
            </w:pPr>
            <w:r>
              <w:rPr>
                <w:rFonts w:hint="eastAsia" w:ascii="宋体" w:hAnsi="宋体" w:cs="黑体"/>
                <w:color w:val="auto"/>
                <w:kern w:val="0"/>
              </w:rPr>
              <w:t>消防用电采用单独专用供电回路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color w:val="auto"/>
              </w:rPr>
            </w:pPr>
            <w:r>
              <w:rPr>
                <w:rFonts w:hint="eastAsia" w:ascii="宋体" w:hAnsi="宋体"/>
                <w:color w:val="auto"/>
              </w:rPr>
              <w:t>建筑物室外消火栓设计流量不应小于表</w:t>
            </w:r>
            <w:r>
              <w:rPr>
                <w:rFonts w:hint="eastAsia"/>
                <w:color w:val="auto"/>
              </w:rPr>
              <w:t xml:space="preserve"> 3.3.2 </w:t>
            </w:r>
            <w:r>
              <w:rPr>
                <w:rFonts w:hint="eastAsia" w:ascii="宋体" w:hAnsi="宋体"/>
                <w:color w:val="auto"/>
              </w:rPr>
              <w:t>的规定。</w:t>
            </w:r>
          </w:p>
        </w:tc>
        <w:tc>
          <w:tcPr>
            <w:tcW w:w="664"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rPr>
              <w:t>3.3.2</w:t>
            </w:r>
          </w:p>
        </w:tc>
        <w:tc>
          <w:tcPr>
            <w:tcW w:w="2561" w:type="dxa"/>
            <w:tcBorders>
              <w:top w:val="single" w:color="auto" w:sz="6" w:space="0"/>
              <w:left w:val="single" w:color="auto" w:sz="6" w:space="0"/>
              <w:bottom w:val="single" w:color="auto" w:sz="6" w:space="0"/>
              <w:right w:val="single" w:color="auto" w:sz="12" w:space="0"/>
            </w:tcBorders>
            <w:vAlign w:val="center"/>
          </w:tcPr>
          <w:p>
            <w:pPr>
              <w:rPr>
                <w:color w:val="auto"/>
                <w:kern w:val="24"/>
              </w:rPr>
            </w:pPr>
            <w:r>
              <w:rPr>
                <w:rFonts w:hint="eastAsia"/>
                <w:color w:val="auto"/>
                <w:kern w:val="24"/>
              </w:rPr>
              <w:t>拟设室外消火栓，且流量可以满足要求。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color w:val="auto"/>
              </w:rPr>
            </w:pPr>
            <w:r>
              <w:rPr>
                <w:rFonts w:hint="eastAsia" w:ascii="宋体" w:hAnsi="宋体"/>
                <w:color w:val="auto"/>
              </w:rPr>
              <w:t>建筑物室内消火栓设计流量不应小于表</w:t>
            </w:r>
            <w:r>
              <w:rPr>
                <w:rFonts w:hint="eastAsia"/>
                <w:color w:val="auto"/>
              </w:rPr>
              <w:t xml:space="preserve"> 3.5.2 </w:t>
            </w:r>
            <w:r>
              <w:rPr>
                <w:rFonts w:hint="eastAsia" w:ascii="宋体" w:hAnsi="宋体"/>
                <w:color w:val="auto"/>
              </w:rPr>
              <w:t>的规定。</w:t>
            </w:r>
          </w:p>
        </w:tc>
        <w:tc>
          <w:tcPr>
            <w:tcW w:w="664"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rPr>
              <w:t>3.5.2</w:t>
            </w:r>
          </w:p>
        </w:tc>
        <w:tc>
          <w:tcPr>
            <w:tcW w:w="2561" w:type="dxa"/>
            <w:tcBorders>
              <w:top w:val="single" w:color="auto" w:sz="6" w:space="0"/>
              <w:left w:val="single" w:color="auto" w:sz="6" w:space="0"/>
              <w:bottom w:val="single" w:color="auto" w:sz="6" w:space="0"/>
              <w:right w:val="single" w:color="auto" w:sz="12" w:space="0"/>
            </w:tcBorders>
            <w:vAlign w:val="center"/>
          </w:tcPr>
          <w:p>
            <w:pPr>
              <w:rPr>
                <w:color w:val="auto"/>
                <w:kern w:val="24"/>
              </w:rPr>
            </w:pPr>
            <w:r>
              <w:rPr>
                <w:rFonts w:hint="eastAsia"/>
                <w:color w:val="auto"/>
                <w:kern w:val="24"/>
              </w:rPr>
              <w:t>拟设室内消火栓，且流量可以满足要求。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不同场所消火栓系统和固定冷却水系统的火灾延续时间不应小于表</w:t>
            </w:r>
            <w:r>
              <w:rPr>
                <w:rFonts w:hint="eastAsia" w:cs="黑体"/>
                <w:color w:val="auto"/>
                <w:kern w:val="0"/>
              </w:rPr>
              <w:t xml:space="preserve"> </w:t>
            </w:r>
            <w:r>
              <w:rPr>
                <w:rFonts w:hint="eastAsia"/>
                <w:color w:val="auto"/>
                <w:kern w:val="0"/>
              </w:rPr>
              <w:t xml:space="preserve">3.6.2 </w:t>
            </w:r>
            <w:r>
              <w:rPr>
                <w:rFonts w:hint="eastAsia" w:ascii="宋体" w:hAnsi="宋体" w:cs="黑体"/>
                <w:color w:val="auto"/>
                <w:kern w:val="0"/>
              </w:rPr>
              <w:t>的规定</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3.6.2</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ascii="宋体" w:hAnsi="宋体"/>
                <w:color w:val="auto"/>
                <w:kern w:val="24"/>
              </w:rPr>
              <w:t>拟按规范要求设置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消防水池的给水管应根据其有效容积和补水时间确定，补水时间不宜大于</w:t>
            </w:r>
            <w:r>
              <w:rPr>
                <w:rFonts w:hint="eastAsia" w:cs="黑体"/>
                <w:color w:val="auto"/>
                <w:kern w:val="0"/>
              </w:rPr>
              <w:t xml:space="preserve"> </w:t>
            </w:r>
            <w:r>
              <w:rPr>
                <w:rFonts w:hint="eastAsia"/>
                <w:color w:val="auto"/>
                <w:kern w:val="0"/>
              </w:rPr>
              <w:t>48h</w:t>
            </w:r>
            <w:r>
              <w:rPr>
                <w:rFonts w:hint="eastAsia" w:ascii="宋体" w:hAnsi="宋体" w:cs="黑体"/>
                <w:color w:val="auto"/>
                <w:kern w:val="0"/>
              </w:rPr>
              <w:t>，但当消防水池有效总容积大于</w:t>
            </w:r>
            <w:r>
              <w:rPr>
                <w:rFonts w:hint="eastAsia"/>
                <w:color w:val="auto"/>
                <w:kern w:val="0"/>
              </w:rPr>
              <w:t>2000m</w:t>
            </w:r>
            <w:r>
              <w:rPr>
                <w:rFonts w:hint="eastAsia"/>
                <w:color w:val="auto"/>
                <w:kern w:val="0"/>
                <w:vertAlign w:val="superscript"/>
              </w:rPr>
              <w:t>3</w:t>
            </w:r>
            <w:r>
              <w:rPr>
                <w:color w:val="auto"/>
                <w:kern w:val="0"/>
              </w:rPr>
              <w:t xml:space="preserve"> </w:t>
            </w:r>
            <w:r>
              <w:rPr>
                <w:rFonts w:hint="eastAsia" w:ascii="宋体" w:hAnsi="宋体" w:cs="黑体"/>
                <w:color w:val="auto"/>
                <w:kern w:val="0"/>
              </w:rPr>
              <w:t>时不应大于</w:t>
            </w:r>
            <w:r>
              <w:rPr>
                <w:rFonts w:hint="eastAsia"/>
                <w:color w:val="auto"/>
                <w:kern w:val="0"/>
              </w:rPr>
              <w:t>96h</w:t>
            </w:r>
            <w:r>
              <w:rPr>
                <w:rFonts w:hint="eastAsia" w:ascii="宋体" w:hAnsi="宋体" w:cs="黑体"/>
                <w:color w:val="auto"/>
                <w:kern w:val="0"/>
              </w:rPr>
              <w:t>。消防水池给水管管径应经计算确定，且不应小于</w:t>
            </w:r>
            <w:r>
              <w:rPr>
                <w:rFonts w:hint="eastAsia"/>
                <w:color w:val="auto"/>
                <w:kern w:val="0"/>
              </w:rPr>
              <w:t>DN50</w:t>
            </w:r>
            <w:r>
              <w:rPr>
                <w:rFonts w:hint="eastAsia" w:ascii="宋体" w:hAnsi="宋体" w:cs="黑体"/>
                <w:color w:val="auto"/>
                <w:kern w:val="0"/>
              </w:rPr>
              <w:t>。</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4.3.3</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拟建设</w:t>
            </w:r>
            <w:r>
              <w:rPr>
                <w:rFonts w:ascii="宋体" w:hAnsi="宋体" w:cs="黑体"/>
                <w:color w:val="auto"/>
                <w:kern w:val="0"/>
              </w:rPr>
              <w:t>540</w:t>
            </w:r>
            <w:r>
              <w:rPr>
                <w:rFonts w:hint="eastAsia" w:ascii="宋体" w:hAnsi="宋体" w:cs="黑体"/>
                <w:color w:val="auto"/>
                <w:kern w:val="0"/>
              </w:rPr>
              <w:t>m</w:t>
            </w:r>
            <w:r>
              <w:rPr>
                <w:rFonts w:ascii="宋体" w:hAnsi="宋体" w:cs="黑体"/>
                <w:color w:val="auto"/>
                <w:kern w:val="0"/>
              </w:rPr>
              <w:t>3</w:t>
            </w:r>
            <w:r>
              <w:rPr>
                <w:rFonts w:hint="eastAsia" w:ascii="宋体" w:hAnsi="宋体" w:cs="黑体"/>
                <w:color w:val="auto"/>
                <w:kern w:val="0"/>
              </w:rPr>
              <w:t>消防水池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消防水池的出水、排水和水位应符合下列要求：</w:t>
            </w:r>
          </w:p>
          <w:p>
            <w:pPr>
              <w:autoSpaceDE w:val="0"/>
              <w:autoSpaceDN w:val="0"/>
              <w:adjustRightInd w:val="0"/>
              <w:jc w:val="left"/>
              <w:rPr>
                <w:rFonts w:cs="黑体"/>
                <w:color w:val="auto"/>
                <w:kern w:val="0"/>
              </w:rPr>
            </w:pPr>
            <w:r>
              <w:rPr>
                <w:rFonts w:hint="eastAsia"/>
                <w:color w:val="auto"/>
                <w:kern w:val="0"/>
              </w:rPr>
              <w:t xml:space="preserve">1 </w:t>
            </w:r>
            <w:r>
              <w:rPr>
                <w:rFonts w:hint="eastAsia" w:ascii="宋体" w:hAnsi="宋体" w:cs="黑体"/>
                <w:color w:val="auto"/>
                <w:kern w:val="0"/>
              </w:rPr>
              <w:t>消防水池的出水管应保证消防水池的有效容积能被全部利用；</w:t>
            </w:r>
          </w:p>
          <w:p>
            <w:pPr>
              <w:autoSpaceDE w:val="0"/>
              <w:autoSpaceDN w:val="0"/>
              <w:adjustRightInd w:val="0"/>
              <w:jc w:val="left"/>
              <w:rPr>
                <w:rFonts w:cs="黑体"/>
                <w:color w:val="auto"/>
                <w:kern w:val="0"/>
              </w:rPr>
            </w:pPr>
            <w:r>
              <w:rPr>
                <w:rFonts w:hint="eastAsia"/>
                <w:color w:val="auto"/>
                <w:kern w:val="0"/>
              </w:rPr>
              <w:t xml:space="preserve">2 </w:t>
            </w:r>
            <w:r>
              <w:rPr>
                <w:rFonts w:hint="eastAsia" w:ascii="宋体" w:hAnsi="宋体" w:cs="黑体"/>
                <w:color w:val="auto"/>
                <w:kern w:val="0"/>
              </w:rPr>
              <w:t>消防水池应设置就地水位显示装置，并应在消防控制中心或值班室等地点设置显示消防水池水位的装置，同时应有最高和最低报警水位；</w:t>
            </w:r>
          </w:p>
          <w:p>
            <w:pPr>
              <w:autoSpaceDE w:val="0"/>
              <w:autoSpaceDN w:val="0"/>
              <w:adjustRightInd w:val="0"/>
              <w:jc w:val="left"/>
              <w:rPr>
                <w:rFonts w:cs="黑体"/>
                <w:color w:val="auto"/>
                <w:kern w:val="0"/>
              </w:rPr>
            </w:pPr>
            <w:r>
              <w:rPr>
                <w:rFonts w:hint="eastAsia"/>
                <w:color w:val="auto"/>
                <w:kern w:val="0"/>
              </w:rPr>
              <w:t xml:space="preserve">3 </w:t>
            </w:r>
            <w:r>
              <w:rPr>
                <w:rFonts w:hint="eastAsia" w:ascii="宋体" w:hAnsi="宋体" w:cs="黑体"/>
                <w:color w:val="auto"/>
                <w:kern w:val="0"/>
              </w:rPr>
              <w:t>消防水池应设置溢流水管和排水设施，并应采用间接排水。</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4.3.9</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拟建消防水池满足要求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消防水泵吸水应符合下列规定：消防水泵应采取自灌式吸水；</w:t>
            </w:r>
          </w:p>
        </w:tc>
        <w:tc>
          <w:tcPr>
            <w:tcW w:w="664" w:type="dxa"/>
            <w:tcBorders>
              <w:top w:val="single" w:color="auto" w:sz="6" w:space="0"/>
              <w:left w:val="single" w:color="auto" w:sz="6" w:space="0"/>
              <w:bottom w:val="single" w:color="auto" w:sz="6" w:space="0"/>
              <w:right w:val="single" w:color="auto" w:sz="6" w:space="0"/>
            </w:tcBorders>
            <w:vAlign w:val="center"/>
          </w:tcPr>
          <w:p>
            <w:pPr>
              <w:pStyle w:val="68"/>
              <w:widowControl w:val="0"/>
              <w:rPr>
                <w:rFonts w:ascii="宋体" w:hAnsi="宋体" w:eastAsia="宋体" w:cs="Times New Roman"/>
                <w:color w:val="auto"/>
                <w:kern w:val="24"/>
              </w:rPr>
            </w:pPr>
            <w:r>
              <w:rPr>
                <w:rFonts w:hint="eastAsia" w:ascii="宋体" w:hAnsi="宋体" w:eastAsia="宋体" w:cs="Times New Roman"/>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rPr>
                <w:rFonts w:ascii="Calibri" w:hAnsi="Calibri" w:cs="Calibri"/>
                <w:color w:val="auto"/>
              </w:rPr>
            </w:pPr>
            <w:r>
              <w:rPr>
                <w:rFonts w:hint="eastAsia" w:ascii="宋体" w:hAnsi="宋体"/>
                <w:color w:val="auto"/>
              </w:rPr>
              <w:t>《消防给水及消火栓系统技术规范》</w:t>
            </w:r>
            <w:r>
              <w:rPr>
                <w:rFonts w:hint="eastAsia"/>
                <w:color w:val="auto"/>
                <w:kern w:val="0"/>
              </w:rPr>
              <w:t>5.1.12</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cs="黑体"/>
                <w:color w:val="auto"/>
                <w:kern w:val="0"/>
              </w:rPr>
              <w:t>消防泵采用</w:t>
            </w:r>
            <w:r>
              <w:rPr>
                <w:rFonts w:hint="eastAsia" w:ascii="宋体" w:hAnsi="宋体" w:cs="黑体"/>
                <w:color w:val="auto"/>
                <w:kern w:val="0"/>
              </w:rPr>
              <w:t>自灌式吸水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消防水泵和控制柜应采取安全保护措施。</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5.5.16</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cs="黑体"/>
                <w:color w:val="auto"/>
                <w:kern w:val="0"/>
              </w:rPr>
              <w:t>消防泵拟设置安全保护措施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室内环境温度不低于</w:t>
            </w:r>
            <w:r>
              <w:rPr>
                <w:rFonts w:hint="eastAsia"/>
                <w:color w:val="auto"/>
                <w:kern w:val="0"/>
              </w:rPr>
              <w:t>4</w:t>
            </w:r>
            <w:r>
              <w:rPr>
                <w:rFonts w:hint="eastAsia" w:ascii="宋体" w:hAnsi="宋体" w:cs="黑体"/>
                <w:color w:val="auto"/>
                <w:kern w:val="0"/>
              </w:rPr>
              <w:t>℃，且不高于</w:t>
            </w:r>
            <w:r>
              <w:rPr>
                <w:rFonts w:hint="eastAsia"/>
                <w:color w:val="auto"/>
                <w:kern w:val="0"/>
              </w:rPr>
              <w:t>70</w:t>
            </w:r>
            <w:r>
              <w:rPr>
                <w:rFonts w:hint="eastAsia" w:ascii="宋体" w:hAnsi="宋体" w:cs="黑体"/>
                <w:color w:val="auto"/>
                <w:kern w:val="0"/>
              </w:rPr>
              <w:t>℃的场所，应采用湿式室内消火栓系统。</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kern w:val="24"/>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7.1.2</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采用湿式室内消火栓系统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6" w:space="0"/>
              <w:right w:val="single" w:color="auto" w:sz="6" w:space="0"/>
            </w:tcBorders>
            <w:vAlign w:val="center"/>
          </w:tcPr>
          <w:p>
            <w:pPr>
              <w:numPr>
                <w:ilvl w:val="0"/>
                <w:numId w:val="47"/>
              </w:numPr>
              <w:jc w:val="center"/>
              <w:rPr>
                <w:color w:val="auto"/>
              </w:rPr>
            </w:pPr>
          </w:p>
        </w:tc>
        <w:tc>
          <w:tcPr>
            <w:tcW w:w="399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生产、储存或使用有毒有害等危害土壤和水体生态环境的场所，应设置消防事故水池。</w:t>
            </w:r>
          </w:p>
        </w:tc>
        <w:tc>
          <w:tcPr>
            <w:tcW w:w="664" w:type="dxa"/>
            <w:tcBorders>
              <w:top w:val="single" w:color="auto" w:sz="6" w:space="0"/>
              <w:left w:val="single" w:color="auto" w:sz="6" w:space="0"/>
              <w:bottom w:val="single" w:color="auto" w:sz="6" w:space="0"/>
              <w:right w:val="single" w:color="auto" w:sz="6" w:space="0"/>
            </w:tcBorders>
          </w:tcPr>
          <w:p>
            <w:pPr>
              <w:rPr>
                <w:rFonts w:cs="Calibri"/>
                <w:color w:val="auto"/>
              </w:rPr>
            </w:pPr>
            <w:r>
              <w:rPr>
                <w:rFonts w:hint="eastAsia" w:ascii="宋体" w:hAnsi="宋体"/>
                <w:color w:val="auto"/>
              </w:rPr>
              <w:t>符合</w:t>
            </w:r>
          </w:p>
        </w:tc>
        <w:tc>
          <w:tcPr>
            <w:tcW w:w="1302" w:type="dxa"/>
            <w:tcBorders>
              <w:top w:val="single" w:color="auto" w:sz="6" w:space="0"/>
              <w:left w:val="single" w:color="auto" w:sz="6" w:space="0"/>
              <w:bottom w:val="single" w:color="auto" w:sz="6"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9.1.2</w:t>
            </w:r>
          </w:p>
        </w:tc>
        <w:tc>
          <w:tcPr>
            <w:tcW w:w="2561"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jc w:val="left"/>
              <w:rPr>
                <w:rFonts w:cs="黑体"/>
                <w:color w:val="auto"/>
                <w:kern w:val="0"/>
              </w:rPr>
            </w:pPr>
            <w:r>
              <w:rPr>
                <w:rFonts w:hint="eastAsia" w:cs="黑体"/>
                <w:color w:val="auto"/>
                <w:kern w:val="0"/>
              </w:rPr>
              <w:t>无危害土壤和水体生态环境的物品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534" w:type="dxa"/>
            <w:tcBorders>
              <w:top w:val="single" w:color="auto" w:sz="6" w:space="0"/>
              <w:left w:val="single" w:color="auto" w:sz="12" w:space="0"/>
              <w:bottom w:val="single" w:color="auto" w:sz="12" w:space="0"/>
              <w:right w:val="single" w:color="auto" w:sz="6" w:space="0"/>
            </w:tcBorders>
            <w:vAlign w:val="center"/>
          </w:tcPr>
          <w:p>
            <w:pPr>
              <w:numPr>
                <w:ilvl w:val="0"/>
                <w:numId w:val="47"/>
              </w:numPr>
              <w:jc w:val="center"/>
              <w:rPr>
                <w:rFonts w:cs="Calibri"/>
                <w:color w:val="auto"/>
              </w:rPr>
            </w:pPr>
          </w:p>
        </w:tc>
        <w:tc>
          <w:tcPr>
            <w:tcW w:w="3996"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jc w:val="left"/>
              <w:rPr>
                <w:rFonts w:cs="黑体"/>
                <w:color w:val="auto"/>
                <w:kern w:val="0"/>
              </w:rPr>
            </w:pPr>
            <w:r>
              <w:rPr>
                <w:rFonts w:hint="eastAsia" w:ascii="宋体" w:hAnsi="宋体" w:cs="黑体"/>
                <w:color w:val="auto"/>
                <w:kern w:val="0"/>
              </w:rPr>
              <w:t>有毒有害危险场所应采取消防排水收集、储存措施。</w:t>
            </w:r>
          </w:p>
        </w:tc>
        <w:tc>
          <w:tcPr>
            <w:tcW w:w="664" w:type="dxa"/>
            <w:tcBorders>
              <w:top w:val="single" w:color="auto" w:sz="6" w:space="0"/>
              <w:left w:val="single" w:color="auto" w:sz="6" w:space="0"/>
              <w:bottom w:val="single" w:color="auto" w:sz="12" w:space="0"/>
              <w:right w:val="single" w:color="auto" w:sz="6" w:space="0"/>
            </w:tcBorders>
          </w:tcPr>
          <w:p>
            <w:pPr>
              <w:rPr>
                <w:rFonts w:cs="Calibri"/>
                <w:color w:val="auto"/>
              </w:rPr>
            </w:pPr>
            <w:r>
              <w:rPr>
                <w:rFonts w:hint="eastAsia" w:ascii="宋体" w:hAnsi="宋体"/>
                <w:color w:val="auto"/>
              </w:rPr>
              <w:t>符合</w:t>
            </w:r>
          </w:p>
        </w:tc>
        <w:tc>
          <w:tcPr>
            <w:tcW w:w="1302" w:type="dxa"/>
            <w:tcBorders>
              <w:top w:val="single" w:color="auto" w:sz="6" w:space="0"/>
              <w:left w:val="single" w:color="auto" w:sz="6" w:space="0"/>
              <w:bottom w:val="single" w:color="auto" w:sz="12" w:space="0"/>
              <w:right w:val="single" w:color="auto" w:sz="6" w:space="0"/>
            </w:tcBorders>
          </w:tcPr>
          <w:p>
            <w:pPr>
              <w:rPr>
                <w:color w:val="auto"/>
              </w:rPr>
            </w:pPr>
            <w:r>
              <w:rPr>
                <w:rFonts w:hint="eastAsia" w:ascii="宋体" w:hAnsi="宋体"/>
                <w:color w:val="auto"/>
              </w:rPr>
              <w:t>《消防给水及消火栓系统技术规范》</w:t>
            </w:r>
            <w:r>
              <w:rPr>
                <w:rFonts w:hint="eastAsia"/>
                <w:color w:val="auto"/>
                <w:kern w:val="0"/>
              </w:rPr>
              <w:t>9.3.1</w:t>
            </w:r>
          </w:p>
        </w:tc>
        <w:tc>
          <w:tcPr>
            <w:tcW w:w="2561" w:type="dxa"/>
            <w:tcBorders>
              <w:top w:val="single" w:color="auto" w:sz="6" w:space="0"/>
              <w:left w:val="single" w:color="auto" w:sz="6" w:space="0"/>
              <w:bottom w:val="single" w:color="auto" w:sz="12" w:space="0"/>
              <w:right w:val="single" w:color="auto" w:sz="12" w:space="0"/>
            </w:tcBorders>
            <w:vAlign w:val="center"/>
          </w:tcPr>
          <w:p>
            <w:pPr>
              <w:rPr>
                <w:color w:val="auto"/>
              </w:rPr>
            </w:pPr>
            <w:r>
              <w:rPr>
                <w:rFonts w:hint="eastAsia" w:ascii="宋体" w:hAnsi="宋体" w:cs="黑体"/>
                <w:color w:val="auto"/>
                <w:kern w:val="0"/>
              </w:rPr>
              <w:t>拟建设事故应急水池，采取消防排水收集、储存措施。</w:t>
            </w:r>
          </w:p>
        </w:tc>
      </w:tr>
    </w:tbl>
    <w:p>
      <w:pPr>
        <w:spacing w:before="312" w:beforeLines="100" w:line="360" w:lineRule="auto"/>
        <w:ind w:firstLine="560" w:firstLineChars="200"/>
        <w:jc w:val="left"/>
        <w:rPr>
          <w:rFonts w:ascii="黑体" w:hAnsi="黑体" w:eastAsia="黑体" w:cs="宋体"/>
          <w:color w:val="auto"/>
          <w:sz w:val="28"/>
          <w:szCs w:val="28"/>
        </w:rPr>
      </w:pPr>
      <w:r>
        <w:rPr>
          <w:rFonts w:hint="eastAsia"/>
          <w:color w:val="auto"/>
          <w:sz w:val="28"/>
          <w:szCs w:val="28"/>
        </w:rPr>
        <w:t>评价小结</w:t>
      </w:r>
    </w:p>
    <w:p>
      <w:pPr>
        <w:spacing w:line="360" w:lineRule="auto"/>
        <w:ind w:firstLine="561"/>
        <w:rPr>
          <w:rFonts w:ascii="宋体" w:hAnsi="宋体"/>
          <w:color w:val="auto"/>
          <w:sz w:val="28"/>
          <w:szCs w:val="28"/>
        </w:rPr>
      </w:pPr>
      <w:r>
        <w:rPr>
          <w:rFonts w:hint="eastAsia" w:ascii="宋体" w:hAnsi="宋体"/>
          <w:color w:val="auto"/>
          <w:kern w:val="0"/>
          <w:sz w:val="28"/>
          <w:szCs w:val="28"/>
        </w:rPr>
        <w:t>1）</w:t>
      </w:r>
      <w:r>
        <w:rPr>
          <w:rFonts w:hint="eastAsia" w:ascii="宋体" w:hAnsi="宋体"/>
          <w:color w:val="auto"/>
          <w:sz w:val="28"/>
          <w:szCs w:val="28"/>
        </w:rPr>
        <w:t>该项目建、构筑物耐火级别不低于二级。生产区内未设员工宿舍。</w:t>
      </w:r>
    </w:p>
    <w:p>
      <w:pPr>
        <w:spacing w:line="360" w:lineRule="auto"/>
        <w:ind w:firstLine="561"/>
        <w:rPr>
          <w:rFonts w:ascii="宋体" w:hAnsi="宋体"/>
          <w:color w:val="auto"/>
          <w:sz w:val="28"/>
          <w:szCs w:val="28"/>
        </w:rPr>
      </w:pPr>
      <w:r>
        <w:rPr>
          <w:rFonts w:hint="eastAsia" w:ascii="宋体" w:hAnsi="宋体"/>
          <w:color w:val="auto"/>
          <w:sz w:val="28"/>
          <w:szCs w:val="28"/>
        </w:rPr>
        <w:t>2）该项目拟按规范设置室内、外消火栓系统；拟按规定设置灭火器材。</w:t>
      </w:r>
    </w:p>
    <w:p>
      <w:pPr>
        <w:spacing w:line="360" w:lineRule="auto"/>
        <w:ind w:firstLine="561"/>
        <w:rPr>
          <w:rFonts w:ascii="宋体" w:hAnsi="宋体"/>
          <w:color w:val="auto"/>
          <w:sz w:val="28"/>
          <w:szCs w:val="28"/>
        </w:rPr>
      </w:pPr>
      <w:r>
        <w:rPr>
          <w:rFonts w:hint="eastAsia" w:ascii="宋体" w:hAnsi="宋体"/>
          <w:color w:val="auto"/>
          <w:sz w:val="28"/>
          <w:szCs w:val="28"/>
        </w:rPr>
        <w:t>3）依据总平面布置图，设置环形消防车道，消防车道至少有两处与其它车道相连。</w:t>
      </w:r>
    </w:p>
    <w:p>
      <w:pPr>
        <w:ind w:firstLine="560" w:firstLineChars="200"/>
        <w:rPr>
          <w:rFonts w:ascii="黑体" w:hAnsi="黑体" w:eastAsia="黑体"/>
          <w:color w:val="auto"/>
        </w:rPr>
      </w:pPr>
      <w:r>
        <w:rPr>
          <w:rFonts w:hint="eastAsia" w:ascii="宋体" w:hAnsi="宋体"/>
          <w:color w:val="auto"/>
          <w:sz w:val="28"/>
          <w:szCs w:val="28"/>
        </w:rPr>
        <w:t>4）</w:t>
      </w:r>
      <w:r>
        <w:rPr>
          <w:rFonts w:hint="eastAsia" w:ascii="宋体" w:hAnsi="宋体"/>
          <w:color w:val="auto"/>
          <w:kern w:val="0"/>
          <w:sz w:val="28"/>
          <w:szCs w:val="28"/>
        </w:rPr>
        <w:t>对该单元采用检查表法分析，共进行了</w:t>
      </w:r>
      <w:r>
        <w:rPr>
          <w:rFonts w:ascii="宋体" w:hAnsi="宋体"/>
          <w:color w:val="auto"/>
          <w:kern w:val="0"/>
          <w:sz w:val="28"/>
          <w:szCs w:val="28"/>
        </w:rPr>
        <w:t>20</w:t>
      </w:r>
      <w:r>
        <w:rPr>
          <w:rFonts w:hint="eastAsia" w:ascii="宋体" w:hAnsi="宋体"/>
          <w:color w:val="auto"/>
          <w:kern w:val="0"/>
          <w:sz w:val="28"/>
          <w:szCs w:val="28"/>
        </w:rPr>
        <w:t>项内容的检查分析，</w:t>
      </w:r>
      <w:r>
        <w:rPr>
          <w:rFonts w:hint="eastAsia" w:ascii="宋体" w:hAnsi="宋体"/>
          <w:color w:val="auto"/>
          <w:sz w:val="28"/>
          <w:szCs w:val="28"/>
        </w:rPr>
        <w:t>其中</w:t>
      </w:r>
      <w:r>
        <w:rPr>
          <w:rFonts w:ascii="宋体" w:hAnsi="宋体"/>
          <w:color w:val="auto"/>
          <w:sz w:val="28"/>
          <w:szCs w:val="28"/>
        </w:rPr>
        <w:t>1</w:t>
      </w:r>
      <w:r>
        <w:rPr>
          <w:rFonts w:hint="eastAsia" w:ascii="宋体" w:hAnsi="宋体"/>
          <w:color w:val="auto"/>
          <w:sz w:val="28"/>
          <w:szCs w:val="28"/>
        </w:rPr>
        <w:t>项在设计时应考虑或不符合。不符合项与未提及项为：</w:t>
      </w:r>
      <w:r>
        <w:rPr>
          <w:rFonts w:hint="eastAsia"/>
          <w:color w:val="auto"/>
          <w:sz w:val="28"/>
          <w:szCs w:val="28"/>
        </w:rPr>
        <w:t>可研未提及消防水泵房设置情况，未明确消防水泵房的耐火等级和</w:t>
      </w:r>
      <w:r>
        <w:rPr>
          <w:rFonts w:hint="eastAsia" w:ascii="宋体" w:hAnsi="宋体"/>
          <w:color w:val="auto"/>
          <w:sz w:val="28"/>
          <w:szCs w:val="28"/>
        </w:rPr>
        <w:t>防水淹的技术措施。</w:t>
      </w:r>
    </w:p>
    <w:p>
      <w:pPr>
        <w:keepNext/>
        <w:keepLines/>
        <w:spacing w:line="580" w:lineRule="exact"/>
        <w:jc w:val="left"/>
        <w:outlineLvl w:val="1"/>
        <w:rPr>
          <w:rFonts w:ascii="Calibri Light" w:hAnsi="Calibri Light"/>
          <w:b/>
          <w:color w:val="auto"/>
          <w:sz w:val="30"/>
          <w:szCs w:val="30"/>
        </w:rPr>
      </w:pPr>
      <w:bookmarkStart w:id="287" w:name="_Toc144109267"/>
      <w:r>
        <w:rPr>
          <w:rFonts w:hint="eastAsia" w:ascii="Calibri Light" w:hAnsi="Calibri Light"/>
          <w:b/>
          <w:color w:val="auto"/>
          <w:sz w:val="30"/>
          <w:szCs w:val="30"/>
        </w:rPr>
        <w:t>C</w:t>
      </w:r>
      <w:r>
        <w:rPr>
          <w:rFonts w:ascii="Calibri Light" w:hAnsi="Calibri Light"/>
          <w:b/>
          <w:color w:val="auto"/>
          <w:sz w:val="30"/>
          <w:szCs w:val="30"/>
        </w:rPr>
        <w:t xml:space="preserve">.1.8 </w:t>
      </w:r>
      <w:r>
        <w:rPr>
          <w:rFonts w:hint="eastAsia" w:ascii="Calibri Light" w:hAnsi="Calibri Light"/>
          <w:b/>
          <w:color w:val="auto"/>
          <w:sz w:val="30"/>
          <w:szCs w:val="30"/>
        </w:rPr>
        <w:t>安全管理单元评价</w:t>
      </w:r>
      <w:bookmarkEnd w:id="287"/>
    </w:p>
    <w:p>
      <w:pPr>
        <w:ind w:firstLine="560" w:firstLineChars="200"/>
        <w:rPr>
          <w:rFonts w:ascii="宋体" w:hAnsi="宋体" w:cs="宋体"/>
          <w:color w:val="auto"/>
          <w:sz w:val="28"/>
          <w:szCs w:val="28"/>
        </w:rPr>
      </w:pPr>
      <w:r>
        <w:rPr>
          <w:rFonts w:hint="eastAsia" w:ascii="宋体" w:hAnsi="宋体" w:cs="宋体"/>
          <w:color w:val="auto"/>
          <w:sz w:val="28"/>
          <w:szCs w:val="28"/>
        </w:rPr>
        <w:t>根据《中华人民共和国安全生产法》和《中华人民共和国特种设备安全法》要求，编制安全检查表对可行性研究报告提出的企业安全管理进行检查评价。检查表见表C</w:t>
      </w:r>
      <w:r>
        <w:rPr>
          <w:rFonts w:ascii="宋体" w:hAnsi="宋体" w:cs="宋体"/>
          <w:color w:val="auto"/>
          <w:sz w:val="28"/>
          <w:szCs w:val="28"/>
        </w:rPr>
        <w:t>.1-20</w:t>
      </w:r>
      <w:r>
        <w:rPr>
          <w:rFonts w:hint="eastAsia" w:ascii="宋体" w:hAnsi="宋体" w:cs="宋体"/>
          <w:color w:val="auto"/>
          <w:sz w:val="28"/>
          <w:szCs w:val="28"/>
        </w:rPr>
        <w:t>。</w:t>
      </w:r>
    </w:p>
    <w:p>
      <w:pPr>
        <w:ind w:firstLine="480" w:firstLineChars="200"/>
        <w:jc w:val="center"/>
        <w:rPr>
          <w:rFonts w:ascii="宋体" w:hAnsi="宋体" w:cs="宋体"/>
          <w:color w:val="auto"/>
          <w:sz w:val="28"/>
          <w:szCs w:val="28"/>
          <w:highlight w:val="yellow"/>
        </w:rPr>
      </w:pPr>
      <w:r>
        <w:rPr>
          <w:rFonts w:hint="eastAsia" w:ascii="宋体" w:hAnsi="宋体"/>
          <w:color w:val="auto"/>
          <w:sz w:val="24"/>
        </w:rPr>
        <w:t>表C</w:t>
      </w:r>
      <w:r>
        <w:rPr>
          <w:rFonts w:ascii="宋体" w:hAnsi="宋体"/>
          <w:color w:val="auto"/>
          <w:sz w:val="24"/>
        </w:rPr>
        <w:t>.1-20</w:t>
      </w:r>
      <w:r>
        <w:rPr>
          <w:rFonts w:hint="eastAsia" w:ascii="宋体" w:hAnsi="宋体"/>
          <w:color w:val="auto"/>
          <w:sz w:val="24"/>
        </w:rPr>
        <w:t xml:space="preserve"> 安全管理单元安全检查表</w:t>
      </w:r>
    </w:p>
    <w:tbl>
      <w:tblPr>
        <w:tblStyle w:val="31"/>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2541"/>
        <w:gridCol w:w="2041"/>
        <w:gridCol w:w="2418"/>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auto"/>
                <w:kern w:val="28"/>
              </w:rPr>
            </w:pPr>
            <w:r>
              <w:rPr>
                <w:b/>
                <w:color w:val="auto"/>
              </w:rPr>
              <w:t>序号</w:t>
            </w:r>
          </w:p>
        </w:tc>
        <w:tc>
          <w:tcPr>
            <w:tcW w:w="2541"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auto"/>
              </w:rPr>
            </w:pPr>
            <w:r>
              <w:rPr>
                <w:b/>
                <w:color w:val="auto"/>
              </w:rPr>
              <w:t>检查内容</w:t>
            </w:r>
          </w:p>
        </w:tc>
        <w:tc>
          <w:tcPr>
            <w:tcW w:w="2041"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auto"/>
              </w:rPr>
            </w:pPr>
            <w:r>
              <w:rPr>
                <w:b/>
                <w:color w:val="auto"/>
              </w:rPr>
              <w:t>依据</w:t>
            </w:r>
          </w:p>
        </w:tc>
        <w:tc>
          <w:tcPr>
            <w:tcW w:w="241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auto"/>
              </w:rPr>
            </w:pPr>
            <w:r>
              <w:rPr>
                <w:b/>
                <w:color w:val="auto"/>
              </w:rPr>
              <w:t>实际情况</w:t>
            </w:r>
          </w:p>
        </w:tc>
        <w:tc>
          <w:tcPr>
            <w:tcW w:w="1559"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
                <w:color w:val="auto"/>
              </w:rPr>
            </w:pPr>
            <w:r>
              <w:rPr>
                <w:b/>
                <w:color w:val="auto"/>
              </w:rPr>
              <w:t>检查结果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bCs/>
                <w:color w:val="auto"/>
              </w:rPr>
              <w:t>1</w:t>
            </w:r>
          </w:p>
        </w:tc>
        <w:tc>
          <w:tcPr>
            <w:tcW w:w="2541"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color w:val="auto"/>
              </w:rPr>
              <w:t>企业应当建立、健全主要负责人、分管负责人、安全生产管理人员、职能部门、岗位安全生产责任制。</w:t>
            </w:r>
          </w:p>
        </w:tc>
        <w:tc>
          <w:tcPr>
            <w:tcW w:w="2041" w:type="dxa"/>
            <w:tcBorders>
              <w:top w:val="single" w:color="auto" w:sz="4" w:space="0"/>
              <w:left w:val="single" w:color="auto" w:sz="4" w:space="0"/>
              <w:bottom w:val="single" w:color="auto" w:sz="4" w:space="0"/>
              <w:right w:val="single" w:color="auto" w:sz="4" w:space="0"/>
            </w:tcBorders>
            <w:vAlign w:val="center"/>
          </w:tcPr>
          <w:p>
            <w:pPr>
              <w:jc w:val="center"/>
              <w:rPr>
                <w:bCs/>
                <w:color w:val="auto"/>
              </w:rPr>
            </w:pPr>
            <w:r>
              <w:rPr>
                <w:bCs/>
                <w:color w:val="auto"/>
              </w:rPr>
              <w:t>《中华人民共和国安全生产法》第四条</w:t>
            </w:r>
          </w:p>
          <w:p>
            <w:pPr>
              <w:spacing w:line="320" w:lineRule="exact"/>
              <w:jc w:val="center"/>
              <w:rPr>
                <w:bCs/>
                <w:color w:val="auto"/>
              </w:rPr>
            </w:pPr>
          </w:p>
        </w:tc>
        <w:tc>
          <w:tcPr>
            <w:tcW w:w="241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color w:val="auto"/>
              </w:rPr>
              <w:t>江西鑫立莱生化有限责任公司</w:t>
            </w:r>
            <w:r>
              <w:rPr>
                <w:rFonts w:hint="eastAsia"/>
                <w:color w:val="auto"/>
              </w:rPr>
              <w:t>拟</w:t>
            </w:r>
            <w:r>
              <w:rPr>
                <w:color w:val="auto"/>
              </w:rPr>
              <w:t>建立各部门、各岗位安全生产责任制。</w:t>
            </w:r>
          </w:p>
        </w:tc>
        <w:tc>
          <w:tcPr>
            <w:tcW w:w="1559"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bCs/>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bCs/>
                <w:color w:val="auto"/>
              </w:rPr>
              <w:t>2</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color w:val="auto"/>
              </w:rPr>
              <w:t>矿山、建筑施工单位以及危险物品的生产、经营、储存单位和使用数量构成重大危险源的单位规定以外的其它生产经营单位，从业人员超过一百人的，应当配备专职安全生产管理人员，也可以聘用或者委托注册安全工程师或者安全助理提供安全生产管理服务。</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bCs/>
                <w:color w:val="auto"/>
              </w:rPr>
              <w:t>《江西省安全生产条例》第二十一条</w:t>
            </w:r>
          </w:p>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color w:val="auto"/>
              </w:rPr>
              <w:t>企业</w:t>
            </w:r>
            <w:r>
              <w:rPr>
                <w:rFonts w:hint="eastAsia"/>
                <w:color w:val="auto"/>
              </w:rPr>
              <w:t>拟设</w:t>
            </w:r>
            <w:r>
              <w:rPr>
                <w:color w:val="auto"/>
              </w:rPr>
              <w:t>专职安全管理人员</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bCs/>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highlight w:val="yellow"/>
              </w:rPr>
            </w:pPr>
            <w:r>
              <w:rPr>
                <w:rFonts w:hint="eastAsia"/>
                <w:bCs/>
                <w:color w:val="auto"/>
              </w:rPr>
              <w:t>3</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企业的主要负责人和安全生产管理人员，应当由有关主管部门对其安全生产知识和管理能力考核合格后方可任职。</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bCs/>
                <w:color w:val="auto"/>
              </w:rPr>
              <w:t>《中华人民共和国安全生产法》第二十四条</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可研未提及</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项目建设过程中完善增加安全管理人员资格培训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rFonts w:hint="eastAsia"/>
                <w:bCs/>
                <w:color w:val="auto"/>
              </w:rPr>
              <w:t>4</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企业应当对从业人员进行安全生产教育和培训，保证从员人员具备必要的安全生产知识，熟悉有关的安全生产规章制度和安全操作规程，掌握本岗位的安全操作技能。未经安全生产教育和培训合格的从业人员，不得上岗作业。</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ind w:firstLine="420"/>
              <w:jc w:val="center"/>
              <w:textAlignment w:val="auto"/>
              <w:rPr>
                <w:bCs/>
                <w:color w:val="auto"/>
              </w:rPr>
            </w:pPr>
            <w:r>
              <w:rPr>
                <w:bCs/>
                <w:color w:val="auto"/>
              </w:rPr>
              <w:t>《中华人民共和国安全生产法》第二十</w:t>
            </w:r>
            <w:r>
              <w:rPr>
                <w:rFonts w:hint="eastAsia"/>
                <w:bCs/>
                <w:color w:val="auto"/>
              </w:rPr>
              <w:t>八</w:t>
            </w:r>
            <w:r>
              <w:rPr>
                <w:bCs/>
                <w:color w:val="auto"/>
              </w:rPr>
              <w:t>条</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可研未提及</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项目建设过程中完善</w:t>
            </w:r>
            <w:r>
              <w:rPr>
                <w:rFonts w:hint="eastAsia"/>
                <w:bCs/>
                <w:color w:val="auto"/>
              </w:rPr>
              <w:t>从业人员教育培训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rFonts w:hint="eastAsia"/>
                <w:bCs/>
                <w:color w:val="auto"/>
              </w:rPr>
              <w:t>5</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shd w:val="clear" w:color="auto" w:fill="FFFFFF"/>
              </w:rPr>
              <w:t>特种设备使用单位应当在特种设备投入使用前或者投入使用后三十日内，向负责特种设备安全监督管理的部门办理使用登记，取得使用登记证书。登记标志应当置于该特种设备的显著位置。</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color w:val="auto"/>
                <w:kern w:val="0"/>
              </w:rPr>
              <w:t>《中华人民共和国特种设备安全法》第三十三条</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bCs/>
                <w:color w:val="auto"/>
              </w:rPr>
              <w:t>企业建设过程中完善</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设备安装过程中执行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highlight w:val="yellow"/>
              </w:rPr>
            </w:pPr>
            <w:r>
              <w:rPr>
                <w:rFonts w:hint="eastAsia"/>
                <w:bCs/>
                <w:color w:val="auto"/>
              </w:rPr>
              <w:t>6</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特种设备使用单位应当建立特种设备安全技术档案。</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kern w:val="0"/>
              </w:rPr>
            </w:pPr>
            <w:r>
              <w:rPr>
                <w:color w:val="auto"/>
                <w:kern w:val="0"/>
              </w:rPr>
              <w:t>《中华人民共和国特种设备安全法》第三十五条</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kern w:val="28"/>
              </w:rPr>
            </w:pPr>
            <w:r>
              <w:rPr>
                <w:color w:val="auto"/>
              </w:rPr>
              <w:t>可研未提及</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设备安装过程中执行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rFonts w:hint="eastAsia"/>
                <w:bCs/>
                <w:color w:val="auto"/>
              </w:rPr>
              <w:t>7</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特种作业人员</w:t>
            </w:r>
            <w:r>
              <w:rPr>
                <w:rFonts w:hint="eastAsia"/>
                <w:color w:val="auto"/>
              </w:rPr>
              <w:t>必须按照国家有关规定经专门的安全作业培训，取得相应资格，方可上岗作业。</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kern w:val="0"/>
              </w:rPr>
            </w:pPr>
            <w:r>
              <w:rPr>
                <w:color w:val="auto"/>
                <w:kern w:val="0"/>
              </w:rPr>
              <w:t>《中华人民共和国安全生产法》第</w:t>
            </w:r>
            <w:r>
              <w:rPr>
                <w:rFonts w:hint="eastAsia"/>
                <w:color w:val="auto"/>
                <w:kern w:val="0"/>
              </w:rPr>
              <w:t>三</w:t>
            </w:r>
            <w:r>
              <w:rPr>
                <w:color w:val="auto"/>
                <w:kern w:val="0"/>
              </w:rPr>
              <w:t>十条</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kern w:val="28"/>
              </w:rPr>
            </w:pPr>
            <w:r>
              <w:rPr>
                <w:color w:val="auto"/>
              </w:rPr>
              <w:t>可研未提及</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项目建设过程中完善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rPr>
            </w:pPr>
            <w:r>
              <w:rPr>
                <w:rFonts w:hint="eastAsia"/>
                <w:bCs/>
                <w:color w:val="auto"/>
              </w:rPr>
              <w:t>8</w:t>
            </w:r>
          </w:p>
        </w:tc>
        <w:tc>
          <w:tcPr>
            <w:tcW w:w="25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color w:val="auto"/>
              </w:rPr>
              <w:t>企业应根据</w:t>
            </w:r>
            <w:r>
              <w:rPr>
                <w:color w:val="auto"/>
                <w:kern w:val="0"/>
              </w:rPr>
              <w:t>《生产经营单位生产安全事故应急预案编制导则》</w:t>
            </w:r>
            <w:r>
              <w:rPr>
                <w:color w:val="auto"/>
              </w:rPr>
              <w:t>编制本企业的总体应急预案、专项应急预案、现场处置方案。</w:t>
            </w:r>
          </w:p>
        </w:tc>
        <w:tc>
          <w:tcPr>
            <w:tcW w:w="204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Style w:val="63"/>
                <w:bCs/>
                <w:color w:val="auto"/>
              </w:rPr>
            </w:pPr>
            <w:r>
              <w:rPr>
                <w:color w:val="auto"/>
                <w:kern w:val="0"/>
              </w:rPr>
              <w:t>《生产经营单位生产安全事故应急预案编制导则》GB/T29639-2020</w:t>
            </w:r>
          </w:p>
        </w:tc>
        <w:tc>
          <w:tcPr>
            <w:tcW w:w="241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rPr>
            </w:pPr>
            <w:r>
              <w:rPr>
                <w:rFonts w:hint="eastAsia"/>
                <w:color w:val="auto"/>
              </w:rPr>
              <w:t>企业拟建</w:t>
            </w:r>
            <w:r>
              <w:rPr>
                <w:color w:val="auto"/>
              </w:rPr>
              <w:t>本项目专项预案及现场处理方案。</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bCs/>
                <w:color w:val="auto"/>
              </w:rPr>
            </w:pPr>
            <w:r>
              <w:rPr>
                <w:rFonts w:hint="eastAsia"/>
                <w:bCs/>
                <w:color w:val="auto"/>
              </w:rPr>
              <w:t>不符合，</w:t>
            </w:r>
            <w:r>
              <w:rPr>
                <w:bCs/>
                <w:color w:val="auto"/>
              </w:rPr>
              <w:t>项目建设过程中</w:t>
            </w:r>
            <w:r>
              <w:rPr>
                <w:rFonts w:hint="eastAsia"/>
                <w:bCs/>
                <w:color w:val="auto"/>
              </w:rPr>
              <w:t>应</w:t>
            </w:r>
            <w:r>
              <w:rPr>
                <w:bCs/>
                <w:color w:val="auto"/>
              </w:rPr>
              <w:t>完善</w:t>
            </w:r>
          </w:p>
        </w:tc>
      </w:tr>
    </w:tbl>
    <w:p>
      <w:pPr>
        <w:ind w:firstLine="560" w:firstLineChars="200"/>
        <w:rPr>
          <w:rFonts w:ascii="宋体" w:hAnsi="宋体" w:cs="宋体"/>
          <w:color w:val="auto"/>
          <w:sz w:val="28"/>
          <w:szCs w:val="28"/>
        </w:rPr>
      </w:pPr>
      <w:r>
        <w:rPr>
          <w:rFonts w:ascii="宋体" w:hAnsi="宋体" w:cs="宋体"/>
          <w:color w:val="auto"/>
          <w:sz w:val="28"/>
          <w:szCs w:val="28"/>
        </w:rPr>
        <w:t>本节评价小</w:t>
      </w:r>
      <w:r>
        <w:rPr>
          <w:rFonts w:hint="eastAsia" w:ascii="宋体" w:hAnsi="宋体" w:cs="宋体"/>
          <w:color w:val="auto"/>
          <w:sz w:val="28"/>
          <w:szCs w:val="28"/>
        </w:rPr>
        <w:t>结</w:t>
      </w:r>
      <w:r>
        <w:rPr>
          <w:rFonts w:ascii="宋体" w:hAnsi="宋体" w:cs="宋体"/>
          <w:color w:val="auto"/>
          <w:sz w:val="28"/>
          <w:szCs w:val="28"/>
        </w:rPr>
        <w:t>：</w:t>
      </w:r>
    </w:p>
    <w:p>
      <w:pPr>
        <w:ind w:firstLine="560" w:firstLineChars="200"/>
        <w:rPr>
          <w:color w:val="auto"/>
        </w:rPr>
      </w:pPr>
      <w:r>
        <w:rPr>
          <w:rFonts w:hint="eastAsia" w:ascii="宋体" w:hAnsi="宋体"/>
          <w:color w:val="auto"/>
          <w:sz w:val="28"/>
          <w:szCs w:val="28"/>
        </w:rPr>
        <w:t>企业主要负责人和安全管理人员应当定期进行安全生产管理知识和安全教育培训，企业应建立健全全员安全生产责任制和安全生产规章制度，构建安全风险分级管控和隐患排查治理双重预防机制；应当具备安全生产条件所必需的资金投入。从业人员应当进行安全生产知识和岗位操作技能培训；特种设备应通过检测并建立健全特种设备档案；特种作业人员应当应当经有关业务主管部门考核合格，取得特种作业操作资格证书；企业应编制及时更新应急预案，针对本项目建立特种设备事故应急专项预案。建议建设项目的有关各方在项目的设计、施工及运行中，应按照国家有关法律、法规、规范与标准的规定，使建设项目的建设过程、投运后的安全管理以及职业健康防护措施进一步完善，提高建成后项目的本质安全性。</w:t>
      </w:r>
    </w:p>
    <w:p>
      <w:pPr>
        <w:keepNext/>
        <w:pageBreakBefore/>
        <w:widowControl/>
        <w:spacing w:line="600" w:lineRule="exact"/>
        <w:jc w:val="left"/>
        <w:outlineLvl w:val="0"/>
        <w:rPr>
          <w:b/>
          <w:color w:val="auto"/>
          <w:kern w:val="44"/>
          <w:sz w:val="32"/>
          <w:szCs w:val="32"/>
        </w:rPr>
      </w:pPr>
      <w:bookmarkStart w:id="288" w:name="_Toc144109268"/>
      <w:r>
        <w:rPr>
          <w:rFonts w:hint="eastAsia"/>
          <w:b/>
          <w:color w:val="auto"/>
          <w:kern w:val="44"/>
          <w:sz w:val="32"/>
          <w:szCs w:val="32"/>
        </w:rPr>
        <w:t>附录D</w:t>
      </w:r>
      <w:r>
        <w:rPr>
          <w:b/>
          <w:color w:val="auto"/>
          <w:kern w:val="44"/>
          <w:sz w:val="32"/>
          <w:szCs w:val="32"/>
        </w:rPr>
        <w:t>.</w:t>
      </w:r>
      <w:r>
        <w:rPr>
          <w:rFonts w:hint="eastAsia" w:ascii="宋体" w:hAnsi="宋体"/>
          <w:b/>
          <w:color w:val="auto"/>
          <w:kern w:val="44"/>
          <w:sz w:val="32"/>
          <w:szCs w:val="32"/>
        </w:rPr>
        <w:t>安全评价依据</w:t>
      </w:r>
      <w:bookmarkEnd w:id="288"/>
    </w:p>
    <w:p>
      <w:pPr>
        <w:pStyle w:val="4"/>
        <w:rPr>
          <w:rFonts w:ascii="Times New Roman" w:hAnsi="Times New Roman" w:cs="Times New Roman"/>
          <w:bCs w:val="0"/>
          <w:color w:val="auto"/>
        </w:rPr>
      </w:pPr>
      <w:bookmarkStart w:id="289" w:name="_Toc144109269"/>
      <w:r>
        <w:rPr>
          <w:rFonts w:hint="eastAsia" w:ascii="Times New Roman" w:hAnsi="Times New Roman" w:cs="Times New Roman"/>
          <w:bCs w:val="0"/>
          <w:color w:val="auto"/>
        </w:rPr>
        <w:t>D.1 法律、法规</w:t>
      </w:r>
      <w:bookmarkEnd w:id="289"/>
    </w:p>
    <w:p>
      <w:pPr>
        <w:spacing w:line="580" w:lineRule="exact"/>
        <w:ind w:firstLine="560" w:firstLineChars="200"/>
        <w:rPr>
          <w:color w:val="auto"/>
          <w:sz w:val="28"/>
          <w:szCs w:val="28"/>
        </w:rPr>
      </w:pPr>
      <w:r>
        <w:rPr>
          <w:rFonts w:hint="eastAsia"/>
          <w:color w:val="auto"/>
          <w:sz w:val="28"/>
          <w:szCs w:val="28"/>
        </w:rPr>
        <w:t>1、</w:t>
      </w:r>
      <w:r>
        <w:rPr>
          <w:color w:val="auto"/>
          <w:sz w:val="28"/>
          <w:szCs w:val="28"/>
        </w:rPr>
        <w:t>《中华人民共和国安全生产法》</w:t>
      </w:r>
      <w:r>
        <w:rPr>
          <w:rFonts w:hint="eastAsia"/>
          <w:color w:val="auto"/>
          <w:sz w:val="28"/>
          <w:szCs w:val="28"/>
        </w:rPr>
        <w:t>（</w:t>
      </w:r>
      <w:r>
        <w:rPr>
          <w:color w:val="auto"/>
          <w:sz w:val="28"/>
          <w:szCs w:val="28"/>
        </w:rPr>
        <w:t>国家主席令</w:t>
      </w:r>
      <w:r>
        <w:rPr>
          <w:rFonts w:hint="eastAsia" w:hAnsi="宋体"/>
          <w:color w:val="auto"/>
          <w:sz w:val="28"/>
        </w:rPr>
        <w:t>［20</w:t>
      </w:r>
      <w:r>
        <w:rPr>
          <w:rFonts w:hAnsi="宋体"/>
          <w:color w:val="auto"/>
          <w:sz w:val="28"/>
        </w:rPr>
        <w:t>21</w:t>
      </w:r>
      <w:r>
        <w:rPr>
          <w:rFonts w:hint="eastAsia" w:hAnsi="宋体"/>
          <w:color w:val="auto"/>
          <w:sz w:val="28"/>
        </w:rPr>
        <w:t>］</w:t>
      </w:r>
      <w:r>
        <w:rPr>
          <w:color w:val="auto"/>
          <w:sz w:val="28"/>
          <w:szCs w:val="28"/>
        </w:rPr>
        <w:t>第88号</w:t>
      </w:r>
      <w:r>
        <w:rPr>
          <w:rFonts w:hint="eastAsia"/>
          <w:color w:val="auto"/>
          <w:sz w:val="28"/>
          <w:szCs w:val="28"/>
        </w:rPr>
        <w:t>）</w:t>
      </w:r>
    </w:p>
    <w:p>
      <w:pPr>
        <w:spacing w:line="580" w:lineRule="exact"/>
        <w:ind w:firstLine="560" w:firstLineChars="200"/>
        <w:rPr>
          <w:color w:val="auto"/>
          <w:sz w:val="28"/>
          <w:szCs w:val="28"/>
        </w:rPr>
      </w:pPr>
      <w:r>
        <w:rPr>
          <w:rFonts w:hint="eastAsia"/>
          <w:color w:val="auto"/>
          <w:sz w:val="28"/>
          <w:szCs w:val="28"/>
        </w:rPr>
        <w:t>2、</w:t>
      </w:r>
      <w:r>
        <w:rPr>
          <w:color w:val="auto"/>
          <w:sz w:val="28"/>
          <w:szCs w:val="28"/>
        </w:rPr>
        <w:t>《中华人民共和国劳动法》</w:t>
      </w:r>
      <w:r>
        <w:rPr>
          <w:rFonts w:hint="eastAsia"/>
          <w:color w:val="auto"/>
          <w:sz w:val="28"/>
          <w:szCs w:val="28"/>
        </w:rPr>
        <w:t>（</w:t>
      </w:r>
      <w:r>
        <w:rPr>
          <w:color w:val="auto"/>
          <w:sz w:val="28"/>
          <w:szCs w:val="28"/>
        </w:rPr>
        <w:t>主席令</w:t>
      </w:r>
      <w:r>
        <w:rPr>
          <w:rFonts w:hint="eastAsia" w:hAnsi="宋体"/>
          <w:color w:val="auto"/>
          <w:sz w:val="28"/>
        </w:rPr>
        <w:t>［1994］</w:t>
      </w:r>
      <w:r>
        <w:rPr>
          <w:color w:val="auto"/>
          <w:sz w:val="28"/>
          <w:szCs w:val="28"/>
        </w:rPr>
        <w:t>第28号</w:t>
      </w:r>
      <w:r>
        <w:rPr>
          <w:rFonts w:hint="eastAsia"/>
          <w:color w:val="auto"/>
          <w:sz w:val="28"/>
          <w:szCs w:val="28"/>
        </w:rPr>
        <w:t>，</w:t>
      </w:r>
      <w:r>
        <w:rPr>
          <w:color w:val="auto"/>
          <w:sz w:val="28"/>
          <w:szCs w:val="28"/>
        </w:rPr>
        <w:t>2018年12月29日修正）</w:t>
      </w:r>
    </w:p>
    <w:p>
      <w:pPr>
        <w:spacing w:line="580" w:lineRule="exact"/>
        <w:ind w:firstLine="560" w:firstLineChars="200"/>
        <w:rPr>
          <w:color w:val="auto"/>
          <w:sz w:val="28"/>
          <w:szCs w:val="28"/>
        </w:rPr>
      </w:pPr>
      <w:r>
        <w:rPr>
          <w:rFonts w:hint="eastAsia"/>
          <w:color w:val="auto"/>
          <w:sz w:val="28"/>
          <w:szCs w:val="28"/>
        </w:rPr>
        <w:t>3、</w:t>
      </w:r>
      <w:r>
        <w:rPr>
          <w:color w:val="auto"/>
          <w:sz w:val="28"/>
          <w:szCs w:val="28"/>
        </w:rPr>
        <w:t>《中华人民共和国消防法》（国家主席令</w:t>
      </w:r>
      <w:r>
        <w:rPr>
          <w:rFonts w:hint="eastAsia" w:hAnsi="宋体"/>
          <w:color w:val="auto"/>
          <w:sz w:val="28"/>
        </w:rPr>
        <w:t>［2008］</w:t>
      </w:r>
      <w:r>
        <w:rPr>
          <w:color w:val="auto"/>
          <w:sz w:val="28"/>
          <w:szCs w:val="28"/>
        </w:rPr>
        <w:t>第6号</w:t>
      </w:r>
      <w:r>
        <w:rPr>
          <w:rFonts w:hint="eastAsia"/>
          <w:color w:val="auto"/>
          <w:sz w:val="28"/>
          <w:szCs w:val="28"/>
        </w:rPr>
        <w:t>，</w:t>
      </w:r>
      <w:r>
        <w:rPr>
          <w:color w:val="auto"/>
          <w:sz w:val="28"/>
          <w:szCs w:val="28"/>
        </w:rPr>
        <w:t>2019年4月23日第十三届全国人大常委会第十次会议</w:t>
      </w:r>
      <w:r>
        <w:rPr>
          <w:rFonts w:hint="eastAsia"/>
          <w:color w:val="auto"/>
          <w:sz w:val="28"/>
          <w:szCs w:val="28"/>
        </w:rPr>
        <w:t>第二次</w:t>
      </w:r>
      <w:r>
        <w:rPr>
          <w:color w:val="auto"/>
          <w:sz w:val="28"/>
          <w:szCs w:val="28"/>
        </w:rPr>
        <w:t>修正</w:t>
      </w:r>
      <w:r>
        <w:rPr>
          <w:rFonts w:hint="eastAsia"/>
          <w:color w:val="auto"/>
          <w:sz w:val="28"/>
          <w:szCs w:val="28"/>
        </w:rPr>
        <w:t>；</w:t>
      </w:r>
      <w:r>
        <w:rPr>
          <w:rFonts w:hint="eastAsia" w:ascii="宋体" w:hAnsi="宋体"/>
          <w:color w:val="auto"/>
          <w:sz w:val="28"/>
          <w:szCs w:val="28"/>
          <w:lang w:bidi="ar"/>
        </w:rPr>
        <w:t>2021年4月29日第十三届全国人民代表大会常务委员会第二十八次会议通过《全国人民代表大会常务委员会关于修改〈中华人民共和国道路交通安全法〉等八部法律的决定》第三次修正</w:t>
      </w:r>
      <w:r>
        <w:rPr>
          <w:color w:val="auto"/>
          <w:sz w:val="28"/>
          <w:szCs w:val="28"/>
        </w:rPr>
        <w:t>）</w:t>
      </w:r>
    </w:p>
    <w:p>
      <w:pPr>
        <w:spacing w:line="580" w:lineRule="exact"/>
        <w:ind w:firstLine="560" w:firstLineChars="200"/>
        <w:rPr>
          <w:color w:val="auto"/>
          <w:sz w:val="28"/>
          <w:szCs w:val="28"/>
        </w:rPr>
      </w:pPr>
      <w:r>
        <w:rPr>
          <w:rFonts w:hint="eastAsia"/>
          <w:color w:val="auto"/>
          <w:sz w:val="28"/>
          <w:szCs w:val="28"/>
        </w:rPr>
        <w:t>4、</w:t>
      </w:r>
      <w:r>
        <w:rPr>
          <w:color w:val="auto"/>
          <w:sz w:val="28"/>
          <w:szCs w:val="28"/>
        </w:rPr>
        <w:t>《中华人民共和国环境保护法》</w:t>
      </w:r>
      <w:r>
        <w:rPr>
          <w:rFonts w:hint="eastAsia"/>
          <w:color w:val="auto"/>
          <w:sz w:val="28"/>
          <w:szCs w:val="28"/>
        </w:rPr>
        <w:t>（</w:t>
      </w:r>
      <w:r>
        <w:rPr>
          <w:color w:val="auto"/>
          <w:sz w:val="28"/>
          <w:szCs w:val="28"/>
        </w:rPr>
        <w:t>国家主席令</w:t>
      </w:r>
      <w:r>
        <w:rPr>
          <w:rFonts w:hint="eastAsia" w:hAnsi="宋体"/>
          <w:color w:val="auto"/>
          <w:sz w:val="28"/>
        </w:rPr>
        <w:t>［2014］</w:t>
      </w:r>
      <w:r>
        <w:rPr>
          <w:color w:val="auto"/>
          <w:sz w:val="28"/>
          <w:szCs w:val="28"/>
        </w:rPr>
        <w:t xml:space="preserve">第9号 </w:t>
      </w:r>
    </w:p>
    <w:p>
      <w:pPr>
        <w:spacing w:line="580" w:lineRule="exact"/>
        <w:ind w:firstLine="560" w:firstLineChars="200"/>
        <w:rPr>
          <w:color w:val="auto"/>
          <w:sz w:val="28"/>
          <w:szCs w:val="28"/>
        </w:rPr>
      </w:pPr>
      <w:r>
        <w:rPr>
          <w:rFonts w:hint="eastAsia"/>
          <w:color w:val="auto"/>
          <w:sz w:val="28"/>
          <w:szCs w:val="28"/>
        </w:rPr>
        <w:t>5、</w:t>
      </w:r>
      <w:r>
        <w:rPr>
          <w:color w:val="auto"/>
          <w:sz w:val="28"/>
          <w:szCs w:val="28"/>
        </w:rPr>
        <w:t>《中华人民共和国</w:t>
      </w:r>
      <w:r>
        <w:rPr>
          <w:rFonts w:hint="eastAsia"/>
          <w:color w:val="auto"/>
          <w:sz w:val="28"/>
          <w:szCs w:val="28"/>
        </w:rPr>
        <w:t>防洪</w:t>
      </w:r>
      <w:r>
        <w:rPr>
          <w:color w:val="auto"/>
          <w:sz w:val="28"/>
          <w:szCs w:val="28"/>
        </w:rPr>
        <w:t>法》</w:t>
      </w:r>
      <w:r>
        <w:rPr>
          <w:rFonts w:hint="eastAsia"/>
          <w:color w:val="auto"/>
          <w:sz w:val="28"/>
          <w:szCs w:val="28"/>
        </w:rPr>
        <w:t>（</w:t>
      </w:r>
      <w:r>
        <w:rPr>
          <w:color w:val="auto"/>
          <w:sz w:val="28"/>
          <w:szCs w:val="28"/>
        </w:rPr>
        <w:t>国家主席令</w:t>
      </w:r>
      <w:r>
        <w:rPr>
          <w:rFonts w:hint="eastAsia" w:hAnsi="宋体"/>
          <w:color w:val="auto"/>
          <w:sz w:val="28"/>
        </w:rPr>
        <w:t>［</w:t>
      </w:r>
      <w:r>
        <w:rPr>
          <w:rFonts w:hAnsi="宋体"/>
          <w:color w:val="auto"/>
          <w:sz w:val="28"/>
        </w:rPr>
        <w:t>1997</w:t>
      </w:r>
      <w:r>
        <w:rPr>
          <w:rFonts w:hint="eastAsia" w:hAnsi="宋体"/>
          <w:color w:val="auto"/>
          <w:sz w:val="28"/>
        </w:rPr>
        <w:t>］</w:t>
      </w:r>
      <w:r>
        <w:rPr>
          <w:color w:val="auto"/>
          <w:sz w:val="28"/>
          <w:szCs w:val="28"/>
        </w:rPr>
        <w:t>第88号</w:t>
      </w:r>
      <w:r>
        <w:rPr>
          <w:rFonts w:hint="eastAsia"/>
          <w:color w:val="auto"/>
          <w:sz w:val="28"/>
          <w:szCs w:val="28"/>
        </w:rPr>
        <w:t>，</w:t>
      </w:r>
      <w:r>
        <w:rPr>
          <w:color w:val="auto"/>
          <w:sz w:val="28"/>
          <w:szCs w:val="28"/>
        </w:rPr>
        <w:t>2016</w:t>
      </w:r>
      <w:r>
        <w:rPr>
          <w:rFonts w:hint="eastAsia"/>
          <w:color w:val="auto"/>
          <w:sz w:val="28"/>
          <w:szCs w:val="28"/>
        </w:rPr>
        <w:t>年第三次修订）</w:t>
      </w:r>
    </w:p>
    <w:p>
      <w:pPr>
        <w:spacing w:line="580" w:lineRule="exact"/>
        <w:ind w:firstLine="560" w:firstLineChars="200"/>
        <w:rPr>
          <w:color w:val="auto"/>
          <w:sz w:val="28"/>
          <w:szCs w:val="28"/>
        </w:rPr>
      </w:pPr>
      <w:r>
        <w:rPr>
          <w:rFonts w:hint="eastAsia"/>
          <w:color w:val="auto"/>
          <w:sz w:val="28"/>
          <w:szCs w:val="28"/>
        </w:rPr>
        <w:t>6、</w:t>
      </w:r>
      <w:r>
        <w:rPr>
          <w:color w:val="auto"/>
          <w:sz w:val="28"/>
          <w:szCs w:val="28"/>
        </w:rPr>
        <w:t>《中华人民共和国职业病防治法》</w:t>
      </w:r>
      <w:r>
        <w:rPr>
          <w:rFonts w:hint="eastAsia"/>
          <w:color w:val="auto"/>
          <w:sz w:val="28"/>
          <w:szCs w:val="28"/>
        </w:rPr>
        <w:t>（</w:t>
      </w:r>
      <w:r>
        <w:rPr>
          <w:color w:val="auto"/>
          <w:sz w:val="28"/>
          <w:szCs w:val="28"/>
        </w:rPr>
        <w:t>国家主席令</w:t>
      </w:r>
      <w:r>
        <w:rPr>
          <w:rFonts w:hint="eastAsia" w:hAnsi="宋体"/>
          <w:color w:val="auto"/>
          <w:sz w:val="28"/>
        </w:rPr>
        <w:t>［2018］</w:t>
      </w:r>
      <w:r>
        <w:rPr>
          <w:color w:val="auto"/>
          <w:sz w:val="28"/>
          <w:szCs w:val="28"/>
        </w:rPr>
        <w:t>第24号</w:t>
      </w:r>
      <w:r>
        <w:rPr>
          <w:rFonts w:hint="eastAsia"/>
          <w:color w:val="auto"/>
          <w:sz w:val="28"/>
          <w:szCs w:val="28"/>
        </w:rPr>
        <w:t>）</w:t>
      </w:r>
    </w:p>
    <w:p>
      <w:pPr>
        <w:spacing w:line="580" w:lineRule="exact"/>
        <w:ind w:firstLine="536" w:firstLineChars="200"/>
        <w:rPr>
          <w:color w:val="auto"/>
          <w:spacing w:val="-6"/>
          <w:sz w:val="28"/>
          <w:szCs w:val="28"/>
        </w:rPr>
      </w:pPr>
      <w:r>
        <w:rPr>
          <w:rFonts w:hint="eastAsia"/>
          <w:color w:val="auto"/>
          <w:spacing w:val="-6"/>
          <w:sz w:val="28"/>
          <w:szCs w:val="28"/>
        </w:rPr>
        <w:t>7、</w:t>
      </w:r>
      <w:r>
        <w:rPr>
          <w:color w:val="auto"/>
          <w:spacing w:val="-6"/>
          <w:sz w:val="28"/>
          <w:szCs w:val="28"/>
        </w:rPr>
        <w:t>《中华人民共和国突发事件应对法》</w:t>
      </w:r>
      <w:r>
        <w:rPr>
          <w:rFonts w:hint="eastAsia"/>
          <w:color w:val="auto"/>
          <w:spacing w:val="-6"/>
          <w:sz w:val="28"/>
          <w:szCs w:val="28"/>
        </w:rPr>
        <w:t>（</w:t>
      </w:r>
      <w:r>
        <w:rPr>
          <w:color w:val="auto"/>
          <w:spacing w:val="-6"/>
          <w:sz w:val="28"/>
          <w:szCs w:val="28"/>
        </w:rPr>
        <w:t>国家主席令</w:t>
      </w:r>
      <w:r>
        <w:rPr>
          <w:rFonts w:hint="eastAsia" w:hAnsi="宋体"/>
          <w:color w:val="auto"/>
          <w:spacing w:val="-6"/>
          <w:sz w:val="28"/>
        </w:rPr>
        <w:t>［2007］</w:t>
      </w:r>
      <w:r>
        <w:rPr>
          <w:color w:val="auto"/>
          <w:spacing w:val="-6"/>
          <w:sz w:val="28"/>
          <w:szCs w:val="28"/>
        </w:rPr>
        <w:t>第69号</w:t>
      </w:r>
      <w:r>
        <w:rPr>
          <w:rFonts w:hint="eastAsia"/>
          <w:color w:val="auto"/>
          <w:spacing w:val="-6"/>
          <w:sz w:val="28"/>
          <w:szCs w:val="28"/>
        </w:rPr>
        <w:t>）</w:t>
      </w:r>
    </w:p>
    <w:p>
      <w:pPr>
        <w:spacing w:line="580" w:lineRule="exact"/>
        <w:ind w:firstLine="536" w:firstLineChars="200"/>
        <w:rPr>
          <w:color w:val="auto"/>
          <w:spacing w:val="-6"/>
          <w:sz w:val="28"/>
          <w:szCs w:val="28"/>
        </w:rPr>
      </w:pPr>
      <w:r>
        <w:rPr>
          <w:rFonts w:hint="eastAsia"/>
          <w:color w:val="auto"/>
          <w:spacing w:val="-6"/>
          <w:sz w:val="28"/>
          <w:szCs w:val="28"/>
        </w:rPr>
        <w:t>8、</w:t>
      </w:r>
      <w:r>
        <w:rPr>
          <w:color w:val="auto"/>
          <w:spacing w:val="-6"/>
          <w:sz w:val="28"/>
          <w:szCs w:val="28"/>
        </w:rPr>
        <w:t>《中华人民共和国特种设备安全法》</w:t>
      </w:r>
      <w:r>
        <w:rPr>
          <w:rFonts w:hint="eastAsia"/>
          <w:color w:val="auto"/>
          <w:spacing w:val="-6"/>
          <w:sz w:val="28"/>
          <w:szCs w:val="28"/>
        </w:rPr>
        <w:t>（</w:t>
      </w:r>
      <w:r>
        <w:rPr>
          <w:color w:val="auto"/>
          <w:spacing w:val="-6"/>
          <w:sz w:val="28"/>
          <w:szCs w:val="28"/>
        </w:rPr>
        <w:t>国家主席令</w:t>
      </w:r>
      <w:r>
        <w:rPr>
          <w:rFonts w:hint="eastAsia" w:hAnsi="宋体"/>
          <w:color w:val="auto"/>
          <w:spacing w:val="-6"/>
          <w:sz w:val="28"/>
        </w:rPr>
        <w:t>［2013］</w:t>
      </w:r>
      <w:r>
        <w:rPr>
          <w:color w:val="auto"/>
          <w:spacing w:val="-6"/>
          <w:sz w:val="28"/>
          <w:szCs w:val="28"/>
        </w:rPr>
        <w:t>第4号</w:t>
      </w:r>
      <w:r>
        <w:rPr>
          <w:rFonts w:hint="eastAsia"/>
          <w:color w:val="auto"/>
          <w:spacing w:val="-6"/>
          <w:sz w:val="28"/>
          <w:szCs w:val="28"/>
        </w:rPr>
        <w:t>）</w:t>
      </w:r>
    </w:p>
    <w:p>
      <w:pPr>
        <w:spacing w:line="580" w:lineRule="exact"/>
        <w:ind w:firstLine="560" w:firstLineChars="200"/>
        <w:rPr>
          <w:color w:val="auto"/>
          <w:sz w:val="28"/>
          <w:szCs w:val="28"/>
        </w:rPr>
      </w:pPr>
      <w:r>
        <w:rPr>
          <w:rFonts w:hint="eastAsia"/>
          <w:color w:val="auto"/>
          <w:sz w:val="28"/>
          <w:szCs w:val="28"/>
        </w:rPr>
        <w:t>9、</w:t>
      </w:r>
      <w:r>
        <w:rPr>
          <w:color w:val="auto"/>
          <w:sz w:val="28"/>
          <w:szCs w:val="28"/>
        </w:rPr>
        <w:t>《劳动保障监察条例》</w:t>
      </w:r>
      <w:r>
        <w:rPr>
          <w:rFonts w:hint="eastAsia"/>
          <w:color w:val="auto"/>
          <w:sz w:val="28"/>
          <w:szCs w:val="28"/>
        </w:rPr>
        <w:t>（</w:t>
      </w:r>
      <w:r>
        <w:rPr>
          <w:color w:val="auto"/>
          <w:sz w:val="28"/>
          <w:szCs w:val="28"/>
        </w:rPr>
        <w:t>国务院令</w:t>
      </w:r>
      <w:r>
        <w:rPr>
          <w:rFonts w:hint="eastAsia" w:hAnsi="宋体"/>
          <w:color w:val="auto"/>
          <w:sz w:val="28"/>
        </w:rPr>
        <w:t>［2004］</w:t>
      </w:r>
      <w:r>
        <w:rPr>
          <w:color w:val="auto"/>
          <w:sz w:val="28"/>
          <w:szCs w:val="28"/>
        </w:rPr>
        <w:t>第423号</w:t>
      </w:r>
      <w:r>
        <w:rPr>
          <w:rFonts w:hint="eastAsia"/>
          <w:color w:val="auto"/>
          <w:sz w:val="28"/>
          <w:szCs w:val="28"/>
        </w:rPr>
        <w:t>）</w:t>
      </w:r>
      <w:r>
        <w:rPr>
          <w:color w:val="auto"/>
          <w:sz w:val="28"/>
          <w:szCs w:val="28"/>
        </w:rPr>
        <w:t xml:space="preserve"> </w:t>
      </w:r>
    </w:p>
    <w:p>
      <w:pPr>
        <w:spacing w:line="580" w:lineRule="exact"/>
        <w:ind w:firstLine="560" w:firstLineChars="200"/>
        <w:rPr>
          <w:color w:val="auto"/>
          <w:sz w:val="28"/>
          <w:szCs w:val="28"/>
        </w:rPr>
      </w:pPr>
      <w:r>
        <w:rPr>
          <w:rFonts w:hint="eastAsia"/>
          <w:color w:val="auto"/>
          <w:sz w:val="28"/>
          <w:szCs w:val="28"/>
        </w:rPr>
        <w:t>10、</w:t>
      </w:r>
      <w:r>
        <w:rPr>
          <w:color w:val="auto"/>
          <w:sz w:val="28"/>
          <w:szCs w:val="28"/>
        </w:rPr>
        <w:t>《危险化学品安全管理条例》</w:t>
      </w:r>
      <w:r>
        <w:rPr>
          <w:rFonts w:hint="eastAsia"/>
          <w:color w:val="auto"/>
          <w:sz w:val="28"/>
          <w:szCs w:val="28"/>
        </w:rPr>
        <w:t>（国务院令第591号，2011年12月1日起施行，国务院令第645号修改）</w:t>
      </w:r>
    </w:p>
    <w:p>
      <w:pPr>
        <w:tabs>
          <w:tab w:val="left" w:pos="4835"/>
        </w:tabs>
        <w:spacing w:line="600" w:lineRule="exact"/>
        <w:ind w:firstLine="560" w:firstLineChars="200"/>
        <w:rPr>
          <w:color w:val="auto"/>
          <w:sz w:val="28"/>
        </w:rPr>
      </w:pPr>
      <w:r>
        <w:rPr>
          <w:rFonts w:hint="eastAsia"/>
          <w:color w:val="auto"/>
          <w:sz w:val="28"/>
          <w:szCs w:val="28"/>
        </w:rPr>
        <w:t>11、</w:t>
      </w:r>
      <w:r>
        <w:rPr>
          <w:color w:val="auto"/>
          <w:sz w:val="28"/>
          <w:szCs w:val="28"/>
        </w:rPr>
        <w:t>《易制毒化学品管理条例》</w:t>
      </w:r>
      <w:r>
        <w:rPr>
          <w:rFonts w:hint="eastAsia"/>
          <w:color w:val="auto"/>
          <w:sz w:val="28"/>
          <w:szCs w:val="28"/>
        </w:rPr>
        <w:t>（</w:t>
      </w:r>
      <w:r>
        <w:rPr>
          <w:color w:val="auto"/>
          <w:sz w:val="28"/>
          <w:szCs w:val="28"/>
        </w:rPr>
        <w:t>国务院令</w:t>
      </w:r>
      <w:r>
        <w:rPr>
          <w:rFonts w:hint="eastAsia" w:hAnsi="宋体"/>
          <w:color w:val="auto"/>
          <w:sz w:val="28"/>
        </w:rPr>
        <w:t>［2005］</w:t>
      </w:r>
      <w:r>
        <w:rPr>
          <w:color w:val="auto"/>
          <w:sz w:val="28"/>
          <w:szCs w:val="28"/>
        </w:rPr>
        <w:t>第445号</w:t>
      </w:r>
      <w:r>
        <w:rPr>
          <w:rFonts w:hint="eastAsia"/>
          <w:color w:val="auto"/>
          <w:sz w:val="28"/>
          <w:szCs w:val="28"/>
        </w:rPr>
        <w:t>，</w:t>
      </w:r>
      <w:r>
        <w:rPr>
          <w:color w:val="auto"/>
          <w:sz w:val="28"/>
          <w:szCs w:val="28"/>
        </w:rPr>
        <w:t>2016年国务院第666号令、2018年国务院第703号修改</w:t>
      </w:r>
      <w:r>
        <w:rPr>
          <w:rFonts w:hint="eastAsia"/>
          <w:color w:val="auto"/>
          <w:sz w:val="28"/>
          <w:szCs w:val="28"/>
        </w:rPr>
        <w:t>，国办函[2021]58号</w:t>
      </w:r>
      <w:r>
        <w:rPr>
          <w:color w:val="auto"/>
          <w:sz w:val="28"/>
          <w:szCs w:val="28"/>
        </w:rPr>
        <w:t>）</w:t>
      </w:r>
    </w:p>
    <w:p>
      <w:pPr>
        <w:tabs>
          <w:tab w:val="left" w:pos="4835"/>
        </w:tabs>
        <w:spacing w:line="600" w:lineRule="exact"/>
        <w:ind w:firstLine="560" w:firstLineChars="200"/>
        <w:rPr>
          <w:color w:val="auto"/>
          <w:sz w:val="28"/>
          <w:szCs w:val="28"/>
        </w:rPr>
      </w:pPr>
      <w:r>
        <w:rPr>
          <w:rFonts w:hint="eastAsia"/>
          <w:color w:val="auto"/>
          <w:sz w:val="28"/>
          <w:szCs w:val="28"/>
        </w:rPr>
        <w:t>12、</w:t>
      </w:r>
      <w:r>
        <w:rPr>
          <w:color w:val="auto"/>
          <w:sz w:val="28"/>
          <w:szCs w:val="28"/>
        </w:rPr>
        <w:t>《监控化学品管理条例》</w:t>
      </w:r>
      <w:r>
        <w:rPr>
          <w:rFonts w:hint="eastAsia"/>
          <w:color w:val="auto"/>
          <w:sz w:val="28"/>
          <w:szCs w:val="28"/>
        </w:rPr>
        <w:t>（2011年国务院令第588号）</w:t>
      </w:r>
    </w:p>
    <w:p>
      <w:pPr>
        <w:tabs>
          <w:tab w:val="left" w:pos="4835"/>
        </w:tabs>
        <w:spacing w:line="600" w:lineRule="exact"/>
        <w:ind w:firstLine="560" w:firstLineChars="200"/>
        <w:rPr>
          <w:color w:val="auto"/>
          <w:sz w:val="28"/>
          <w:szCs w:val="28"/>
        </w:rPr>
      </w:pPr>
      <w:r>
        <w:rPr>
          <w:rFonts w:hint="eastAsia"/>
          <w:color w:val="auto"/>
          <w:sz w:val="28"/>
          <w:szCs w:val="28"/>
        </w:rPr>
        <w:t>13、</w:t>
      </w:r>
      <w:r>
        <w:rPr>
          <w:color w:val="auto"/>
          <w:sz w:val="28"/>
          <w:szCs w:val="28"/>
        </w:rPr>
        <w:t>《&lt;中华人民共和国监控化学品管理条例&gt;实施细则》</w:t>
      </w:r>
      <w:r>
        <w:rPr>
          <w:rFonts w:hint="eastAsia"/>
          <w:color w:val="auto"/>
          <w:sz w:val="28"/>
          <w:szCs w:val="28"/>
        </w:rPr>
        <w:t>（</w:t>
      </w:r>
      <w:r>
        <w:rPr>
          <w:color w:val="auto"/>
          <w:sz w:val="28"/>
          <w:szCs w:val="28"/>
        </w:rPr>
        <w:t>工业和信息化部令</w:t>
      </w:r>
      <w:r>
        <w:rPr>
          <w:rFonts w:hint="eastAsia" w:hAnsi="宋体"/>
          <w:color w:val="auto"/>
          <w:sz w:val="28"/>
        </w:rPr>
        <w:t>［2018］</w:t>
      </w:r>
      <w:r>
        <w:rPr>
          <w:color w:val="auto"/>
          <w:sz w:val="28"/>
          <w:szCs w:val="28"/>
        </w:rPr>
        <w:t>第48号</w:t>
      </w:r>
      <w:r>
        <w:rPr>
          <w:rFonts w:hint="eastAsia"/>
          <w:color w:val="auto"/>
          <w:sz w:val="28"/>
          <w:szCs w:val="28"/>
        </w:rPr>
        <w:t>）</w:t>
      </w:r>
    </w:p>
    <w:p>
      <w:pPr>
        <w:spacing w:line="580" w:lineRule="exact"/>
        <w:ind w:firstLine="560" w:firstLineChars="200"/>
        <w:rPr>
          <w:color w:val="auto"/>
          <w:sz w:val="28"/>
          <w:szCs w:val="28"/>
        </w:rPr>
      </w:pPr>
      <w:r>
        <w:rPr>
          <w:rFonts w:hint="eastAsia"/>
          <w:color w:val="auto"/>
          <w:sz w:val="28"/>
          <w:szCs w:val="28"/>
        </w:rPr>
        <w:t>14、</w:t>
      </w:r>
      <w:r>
        <w:rPr>
          <w:color w:val="auto"/>
          <w:sz w:val="28"/>
          <w:szCs w:val="28"/>
        </w:rPr>
        <w:t>《工伤保险条例》</w:t>
      </w:r>
      <w:r>
        <w:rPr>
          <w:rFonts w:hint="eastAsia"/>
          <w:color w:val="auto"/>
          <w:sz w:val="28"/>
          <w:szCs w:val="28"/>
        </w:rPr>
        <w:t>（</w:t>
      </w:r>
      <w:r>
        <w:rPr>
          <w:color w:val="auto"/>
          <w:sz w:val="28"/>
          <w:szCs w:val="28"/>
        </w:rPr>
        <w:t>国务院令</w:t>
      </w:r>
      <w:r>
        <w:rPr>
          <w:rFonts w:hint="eastAsia" w:hAnsi="宋体"/>
          <w:color w:val="auto"/>
          <w:sz w:val="28"/>
        </w:rPr>
        <w:t>［2010］</w:t>
      </w:r>
      <w:r>
        <w:rPr>
          <w:color w:val="auto"/>
          <w:sz w:val="28"/>
          <w:szCs w:val="28"/>
        </w:rPr>
        <w:t>第586号</w:t>
      </w:r>
      <w:r>
        <w:rPr>
          <w:rFonts w:hint="eastAsia"/>
          <w:color w:val="auto"/>
          <w:sz w:val="28"/>
          <w:szCs w:val="28"/>
        </w:rPr>
        <w:t>）</w:t>
      </w:r>
    </w:p>
    <w:p>
      <w:pPr>
        <w:spacing w:line="580" w:lineRule="exact"/>
        <w:ind w:firstLine="560" w:firstLineChars="200"/>
        <w:rPr>
          <w:color w:val="auto"/>
          <w:sz w:val="28"/>
          <w:szCs w:val="28"/>
        </w:rPr>
      </w:pPr>
      <w:r>
        <w:rPr>
          <w:rFonts w:hint="eastAsia"/>
          <w:color w:val="auto"/>
          <w:sz w:val="28"/>
          <w:szCs w:val="28"/>
        </w:rPr>
        <w:t>1</w:t>
      </w:r>
      <w:r>
        <w:rPr>
          <w:color w:val="auto"/>
          <w:sz w:val="28"/>
          <w:szCs w:val="28"/>
        </w:rPr>
        <w:t>5</w:t>
      </w:r>
      <w:r>
        <w:rPr>
          <w:rFonts w:hint="eastAsia"/>
          <w:color w:val="auto"/>
          <w:sz w:val="28"/>
          <w:szCs w:val="28"/>
        </w:rPr>
        <w:t>、《使用有毒物品作业场所劳动保护条例》（国务院令第3</w:t>
      </w:r>
      <w:r>
        <w:rPr>
          <w:color w:val="auto"/>
          <w:sz w:val="28"/>
          <w:szCs w:val="28"/>
        </w:rPr>
        <w:t>52</w:t>
      </w:r>
      <w:r>
        <w:rPr>
          <w:rFonts w:hint="eastAsia"/>
          <w:color w:val="auto"/>
          <w:sz w:val="28"/>
          <w:szCs w:val="28"/>
        </w:rPr>
        <w:t>号，2</w:t>
      </w:r>
      <w:r>
        <w:rPr>
          <w:color w:val="auto"/>
          <w:sz w:val="28"/>
          <w:szCs w:val="28"/>
        </w:rPr>
        <w:t>022</w:t>
      </w:r>
      <w:r>
        <w:rPr>
          <w:rFonts w:hint="eastAsia"/>
          <w:color w:val="auto"/>
          <w:sz w:val="28"/>
          <w:szCs w:val="28"/>
        </w:rPr>
        <w:t>年4月3</w:t>
      </w:r>
      <w:r>
        <w:rPr>
          <w:color w:val="auto"/>
          <w:sz w:val="28"/>
          <w:szCs w:val="28"/>
        </w:rPr>
        <w:t>0</w:t>
      </w:r>
      <w:r>
        <w:rPr>
          <w:rFonts w:hint="eastAsia"/>
          <w:color w:val="auto"/>
          <w:sz w:val="28"/>
          <w:szCs w:val="28"/>
        </w:rPr>
        <w:t>日起施行）</w:t>
      </w:r>
    </w:p>
    <w:p>
      <w:pPr>
        <w:spacing w:line="600" w:lineRule="exact"/>
        <w:ind w:firstLine="560" w:firstLineChars="200"/>
        <w:rPr>
          <w:color w:val="auto"/>
          <w:sz w:val="28"/>
          <w:szCs w:val="28"/>
        </w:rPr>
      </w:pPr>
      <w:r>
        <w:rPr>
          <w:rFonts w:hint="eastAsia"/>
          <w:color w:val="auto"/>
          <w:sz w:val="28"/>
          <w:szCs w:val="28"/>
        </w:rPr>
        <w:t>1</w:t>
      </w:r>
      <w:r>
        <w:rPr>
          <w:color w:val="auto"/>
          <w:sz w:val="28"/>
          <w:szCs w:val="28"/>
        </w:rPr>
        <w:t>6</w:t>
      </w:r>
      <w:r>
        <w:rPr>
          <w:rFonts w:hint="eastAsia"/>
          <w:color w:val="auto"/>
          <w:sz w:val="28"/>
          <w:szCs w:val="28"/>
        </w:rPr>
        <w:t>、</w:t>
      </w:r>
      <w:r>
        <w:rPr>
          <w:color w:val="auto"/>
          <w:sz w:val="28"/>
          <w:szCs w:val="28"/>
        </w:rPr>
        <w:t>《建设工程安全生产管理条例》</w:t>
      </w:r>
      <w:r>
        <w:rPr>
          <w:rFonts w:hint="eastAsia"/>
          <w:color w:val="auto"/>
          <w:sz w:val="28"/>
          <w:szCs w:val="28"/>
        </w:rPr>
        <w:t>（</w:t>
      </w:r>
      <w:r>
        <w:rPr>
          <w:color w:val="auto"/>
          <w:sz w:val="28"/>
          <w:szCs w:val="28"/>
        </w:rPr>
        <w:t>国务院令</w:t>
      </w:r>
      <w:r>
        <w:rPr>
          <w:rFonts w:hint="eastAsia" w:hAnsi="宋体"/>
          <w:color w:val="auto"/>
          <w:sz w:val="28"/>
        </w:rPr>
        <w:t>［2004］</w:t>
      </w:r>
      <w:r>
        <w:rPr>
          <w:color w:val="auto"/>
          <w:sz w:val="28"/>
          <w:szCs w:val="28"/>
        </w:rPr>
        <w:t>第393号</w:t>
      </w:r>
      <w:r>
        <w:rPr>
          <w:rFonts w:hint="eastAsia"/>
          <w:color w:val="auto"/>
          <w:sz w:val="28"/>
          <w:szCs w:val="28"/>
        </w:rPr>
        <w:t>）</w:t>
      </w:r>
    </w:p>
    <w:p>
      <w:pPr>
        <w:spacing w:line="600" w:lineRule="exact"/>
        <w:ind w:firstLine="560" w:firstLineChars="200"/>
        <w:rPr>
          <w:color w:val="auto"/>
          <w:sz w:val="28"/>
        </w:rPr>
      </w:pPr>
      <w:r>
        <w:rPr>
          <w:rFonts w:hint="eastAsia"/>
          <w:color w:val="auto"/>
          <w:sz w:val="28"/>
        </w:rPr>
        <w:t>1</w:t>
      </w:r>
      <w:r>
        <w:rPr>
          <w:color w:val="auto"/>
          <w:sz w:val="28"/>
        </w:rPr>
        <w:t>7</w:t>
      </w:r>
      <w:r>
        <w:rPr>
          <w:rFonts w:hint="eastAsia"/>
          <w:color w:val="auto"/>
          <w:sz w:val="28"/>
        </w:rPr>
        <w:t>、</w:t>
      </w:r>
      <w:r>
        <w:rPr>
          <w:color w:val="auto"/>
          <w:sz w:val="28"/>
        </w:rPr>
        <w:t>《生产安全事故应急条例》</w:t>
      </w:r>
      <w:r>
        <w:rPr>
          <w:rFonts w:hint="eastAsia"/>
          <w:color w:val="auto"/>
          <w:sz w:val="28"/>
        </w:rPr>
        <w:t>（</w:t>
      </w:r>
      <w:r>
        <w:rPr>
          <w:color w:val="auto"/>
          <w:sz w:val="28"/>
          <w:szCs w:val="28"/>
        </w:rPr>
        <w:t>国务院令</w:t>
      </w:r>
      <w:r>
        <w:rPr>
          <w:rFonts w:hint="eastAsia" w:hAnsi="宋体"/>
          <w:color w:val="auto"/>
          <w:sz w:val="28"/>
        </w:rPr>
        <w:t>［2019］</w:t>
      </w:r>
      <w:r>
        <w:rPr>
          <w:color w:val="auto"/>
          <w:sz w:val="28"/>
          <w:szCs w:val="28"/>
        </w:rPr>
        <w:t>第</w:t>
      </w:r>
      <w:r>
        <w:rPr>
          <w:color w:val="auto"/>
          <w:sz w:val="28"/>
          <w:szCs w:val="28"/>
          <w:lang w:val="zh-CN"/>
        </w:rPr>
        <w:t>708</w:t>
      </w:r>
      <w:r>
        <w:rPr>
          <w:color w:val="auto"/>
          <w:sz w:val="28"/>
          <w:szCs w:val="28"/>
        </w:rPr>
        <w:t>号</w:t>
      </w:r>
      <w:r>
        <w:rPr>
          <w:rFonts w:hint="eastAsia"/>
          <w:color w:val="auto"/>
          <w:sz w:val="28"/>
          <w:szCs w:val="28"/>
        </w:rPr>
        <w:t>，</w:t>
      </w:r>
      <w:r>
        <w:rPr>
          <w:color w:val="auto"/>
          <w:sz w:val="28"/>
          <w:szCs w:val="28"/>
        </w:rPr>
        <w:t>2018年12月5日国务院第33次常务会议通过，2019年4日1日起施行）</w:t>
      </w:r>
    </w:p>
    <w:p>
      <w:pPr>
        <w:spacing w:line="600" w:lineRule="exact"/>
        <w:ind w:firstLine="560" w:firstLineChars="200"/>
        <w:rPr>
          <w:color w:val="auto"/>
          <w:sz w:val="28"/>
        </w:rPr>
      </w:pPr>
      <w:r>
        <w:rPr>
          <w:rFonts w:hint="eastAsia"/>
          <w:color w:val="auto"/>
          <w:sz w:val="28"/>
        </w:rPr>
        <w:t>1</w:t>
      </w:r>
      <w:r>
        <w:rPr>
          <w:color w:val="auto"/>
          <w:sz w:val="28"/>
        </w:rPr>
        <w:t>8</w:t>
      </w:r>
      <w:r>
        <w:rPr>
          <w:rFonts w:hint="eastAsia"/>
          <w:color w:val="auto"/>
          <w:sz w:val="28"/>
        </w:rPr>
        <w:t>、</w:t>
      </w:r>
      <w:r>
        <w:rPr>
          <w:color w:val="auto"/>
          <w:sz w:val="28"/>
        </w:rPr>
        <w:t>《生产安全事故报告和调查处理条例》</w:t>
      </w:r>
      <w:r>
        <w:rPr>
          <w:rFonts w:hint="eastAsia"/>
          <w:color w:val="auto"/>
          <w:sz w:val="28"/>
        </w:rPr>
        <w:t>（</w:t>
      </w:r>
      <w:r>
        <w:rPr>
          <w:color w:val="auto"/>
          <w:sz w:val="28"/>
          <w:szCs w:val="28"/>
        </w:rPr>
        <w:t>国务院令</w:t>
      </w:r>
      <w:r>
        <w:rPr>
          <w:rFonts w:hint="eastAsia" w:hAnsi="宋体"/>
          <w:color w:val="auto"/>
          <w:sz w:val="28"/>
        </w:rPr>
        <w:t>［2007］</w:t>
      </w:r>
      <w:r>
        <w:rPr>
          <w:color w:val="auto"/>
          <w:sz w:val="28"/>
          <w:szCs w:val="28"/>
        </w:rPr>
        <w:t>第493号</w:t>
      </w:r>
    </w:p>
    <w:p>
      <w:pPr>
        <w:spacing w:line="600" w:lineRule="exact"/>
        <w:ind w:firstLine="560" w:firstLineChars="200"/>
        <w:rPr>
          <w:color w:val="auto"/>
          <w:sz w:val="28"/>
          <w:szCs w:val="28"/>
        </w:rPr>
      </w:pPr>
      <w:r>
        <w:rPr>
          <w:rFonts w:hint="eastAsia"/>
          <w:color w:val="auto"/>
          <w:sz w:val="28"/>
          <w:szCs w:val="28"/>
        </w:rPr>
        <w:t>1</w:t>
      </w:r>
      <w:r>
        <w:rPr>
          <w:color w:val="auto"/>
          <w:sz w:val="28"/>
          <w:szCs w:val="28"/>
        </w:rPr>
        <w:t>9</w:t>
      </w:r>
      <w:r>
        <w:rPr>
          <w:rFonts w:hint="eastAsia"/>
          <w:color w:val="auto"/>
          <w:sz w:val="28"/>
          <w:szCs w:val="28"/>
        </w:rPr>
        <w:t>、</w:t>
      </w:r>
      <w:r>
        <w:rPr>
          <w:color w:val="auto"/>
          <w:sz w:val="28"/>
          <w:szCs w:val="28"/>
        </w:rPr>
        <w:t>《国务院关于特大安全事故责任行政追究的规定》</w:t>
      </w:r>
      <w:r>
        <w:rPr>
          <w:rFonts w:hint="eastAsia"/>
          <w:color w:val="auto"/>
          <w:sz w:val="28"/>
          <w:szCs w:val="28"/>
        </w:rPr>
        <w:t>（</w:t>
      </w:r>
      <w:r>
        <w:rPr>
          <w:color w:val="auto"/>
          <w:sz w:val="28"/>
          <w:szCs w:val="28"/>
        </w:rPr>
        <w:t>国务院令</w:t>
      </w:r>
      <w:r>
        <w:rPr>
          <w:rFonts w:hint="eastAsia" w:hAnsi="宋体"/>
          <w:color w:val="auto"/>
          <w:sz w:val="28"/>
        </w:rPr>
        <w:t>［2001］</w:t>
      </w:r>
      <w:r>
        <w:rPr>
          <w:color w:val="auto"/>
          <w:sz w:val="28"/>
          <w:szCs w:val="28"/>
        </w:rPr>
        <w:t>第302号</w:t>
      </w:r>
    </w:p>
    <w:p>
      <w:pPr>
        <w:spacing w:line="600" w:lineRule="exact"/>
        <w:ind w:firstLine="560" w:firstLineChars="200"/>
        <w:rPr>
          <w:color w:val="auto"/>
          <w:sz w:val="28"/>
          <w:szCs w:val="28"/>
        </w:rPr>
      </w:pPr>
      <w:r>
        <w:rPr>
          <w:color w:val="auto"/>
          <w:sz w:val="28"/>
          <w:szCs w:val="28"/>
        </w:rPr>
        <w:t>20</w:t>
      </w:r>
      <w:r>
        <w:rPr>
          <w:rFonts w:hint="eastAsia"/>
          <w:color w:val="auto"/>
          <w:sz w:val="28"/>
          <w:szCs w:val="28"/>
        </w:rPr>
        <w:t>、</w:t>
      </w:r>
      <w:r>
        <w:rPr>
          <w:color w:val="auto"/>
          <w:sz w:val="28"/>
          <w:szCs w:val="28"/>
        </w:rPr>
        <w:t>《公路安全保护条例》</w:t>
      </w:r>
      <w:r>
        <w:rPr>
          <w:rFonts w:hint="eastAsia"/>
          <w:color w:val="auto"/>
          <w:sz w:val="28"/>
          <w:szCs w:val="28"/>
        </w:rPr>
        <w:t>（</w:t>
      </w:r>
      <w:r>
        <w:rPr>
          <w:color w:val="auto"/>
          <w:sz w:val="28"/>
          <w:szCs w:val="28"/>
        </w:rPr>
        <w:t>国务院令</w:t>
      </w:r>
      <w:r>
        <w:rPr>
          <w:rFonts w:hint="eastAsia" w:hAnsi="宋体"/>
          <w:color w:val="auto"/>
          <w:sz w:val="28"/>
        </w:rPr>
        <w:t>［2011］</w:t>
      </w:r>
      <w:r>
        <w:rPr>
          <w:color w:val="auto"/>
          <w:sz w:val="28"/>
          <w:szCs w:val="28"/>
        </w:rPr>
        <w:t>第593号</w:t>
      </w:r>
      <w:r>
        <w:rPr>
          <w:rFonts w:hint="eastAsia"/>
          <w:color w:val="auto"/>
          <w:sz w:val="28"/>
          <w:szCs w:val="28"/>
        </w:rPr>
        <w:t>）</w:t>
      </w:r>
    </w:p>
    <w:p>
      <w:pPr>
        <w:spacing w:line="600" w:lineRule="exact"/>
        <w:ind w:firstLine="560" w:firstLineChars="200"/>
        <w:rPr>
          <w:color w:val="auto"/>
          <w:sz w:val="28"/>
          <w:szCs w:val="28"/>
        </w:rPr>
      </w:pPr>
      <w:r>
        <w:rPr>
          <w:color w:val="auto"/>
          <w:sz w:val="28"/>
          <w:szCs w:val="28"/>
        </w:rPr>
        <w:t>21</w:t>
      </w:r>
      <w:r>
        <w:rPr>
          <w:rFonts w:hint="eastAsia"/>
          <w:color w:val="auto"/>
          <w:sz w:val="28"/>
          <w:szCs w:val="28"/>
        </w:rPr>
        <w:t>、《铁路安全管理条例》（国务院令第6</w:t>
      </w:r>
      <w:r>
        <w:rPr>
          <w:color w:val="auto"/>
          <w:sz w:val="28"/>
          <w:szCs w:val="28"/>
        </w:rPr>
        <w:t>39</w:t>
      </w:r>
      <w:r>
        <w:rPr>
          <w:rFonts w:hint="eastAsia"/>
          <w:color w:val="auto"/>
          <w:sz w:val="28"/>
          <w:szCs w:val="28"/>
        </w:rPr>
        <w:t>号，2</w:t>
      </w:r>
      <w:r>
        <w:rPr>
          <w:color w:val="auto"/>
          <w:sz w:val="28"/>
          <w:szCs w:val="28"/>
        </w:rPr>
        <w:t>014</w:t>
      </w:r>
      <w:r>
        <w:rPr>
          <w:rFonts w:hint="eastAsia"/>
          <w:color w:val="auto"/>
          <w:sz w:val="28"/>
          <w:szCs w:val="28"/>
        </w:rPr>
        <w:t>年1月1日起施行）</w:t>
      </w:r>
    </w:p>
    <w:p>
      <w:pPr>
        <w:tabs>
          <w:tab w:val="left" w:pos="5880"/>
        </w:tabs>
        <w:spacing w:line="600" w:lineRule="exact"/>
        <w:ind w:firstLine="560" w:firstLineChars="200"/>
        <w:rPr>
          <w:color w:val="auto"/>
          <w:kern w:val="0"/>
          <w:sz w:val="28"/>
          <w:szCs w:val="28"/>
        </w:rPr>
      </w:pPr>
      <w:r>
        <w:rPr>
          <w:rFonts w:hint="eastAsia"/>
          <w:color w:val="auto"/>
          <w:kern w:val="0"/>
          <w:sz w:val="28"/>
          <w:szCs w:val="28"/>
        </w:rPr>
        <w:t>2</w:t>
      </w:r>
      <w:r>
        <w:rPr>
          <w:color w:val="auto"/>
          <w:kern w:val="0"/>
          <w:sz w:val="28"/>
          <w:szCs w:val="28"/>
        </w:rPr>
        <w:t>2</w:t>
      </w:r>
      <w:r>
        <w:rPr>
          <w:rFonts w:hint="eastAsia"/>
          <w:color w:val="auto"/>
          <w:kern w:val="0"/>
          <w:sz w:val="28"/>
          <w:szCs w:val="28"/>
        </w:rPr>
        <w:t>、</w:t>
      </w:r>
      <w:r>
        <w:rPr>
          <w:color w:val="auto"/>
          <w:kern w:val="0"/>
          <w:sz w:val="28"/>
          <w:szCs w:val="28"/>
        </w:rPr>
        <w:t>《电力设施保护条例》</w:t>
      </w:r>
      <w:r>
        <w:rPr>
          <w:rFonts w:hint="eastAsia"/>
          <w:color w:val="auto"/>
          <w:kern w:val="0"/>
          <w:sz w:val="28"/>
          <w:szCs w:val="28"/>
        </w:rPr>
        <w:t>（</w:t>
      </w:r>
      <w:r>
        <w:rPr>
          <w:color w:val="auto"/>
          <w:kern w:val="0"/>
          <w:sz w:val="28"/>
          <w:szCs w:val="28"/>
        </w:rPr>
        <w:t>国务院令第239号</w:t>
      </w:r>
      <w:r>
        <w:rPr>
          <w:rFonts w:hint="eastAsia"/>
          <w:color w:val="auto"/>
          <w:kern w:val="0"/>
          <w:sz w:val="28"/>
          <w:szCs w:val="28"/>
        </w:rPr>
        <w:t>，</w:t>
      </w:r>
      <w:r>
        <w:rPr>
          <w:color w:val="auto"/>
          <w:kern w:val="0"/>
          <w:sz w:val="28"/>
          <w:szCs w:val="28"/>
        </w:rPr>
        <w:t>2011年修订）</w:t>
      </w:r>
    </w:p>
    <w:p>
      <w:pPr>
        <w:tabs>
          <w:tab w:val="left" w:pos="5880"/>
        </w:tabs>
        <w:spacing w:line="600" w:lineRule="exact"/>
        <w:ind w:firstLine="560" w:firstLineChars="200"/>
        <w:rPr>
          <w:color w:val="auto"/>
        </w:rPr>
      </w:pPr>
      <w:r>
        <w:rPr>
          <w:color w:val="auto"/>
          <w:kern w:val="0"/>
          <w:sz w:val="28"/>
          <w:szCs w:val="28"/>
        </w:rPr>
        <w:t>23</w:t>
      </w:r>
      <w:r>
        <w:rPr>
          <w:rFonts w:hint="eastAsia"/>
          <w:color w:val="auto"/>
          <w:kern w:val="0"/>
          <w:sz w:val="28"/>
          <w:szCs w:val="28"/>
        </w:rPr>
        <w:t>、《特种设备安全监察条例》（国务院令第5</w:t>
      </w:r>
      <w:r>
        <w:rPr>
          <w:color w:val="auto"/>
          <w:kern w:val="0"/>
          <w:sz w:val="28"/>
          <w:szCs w:val="28"/>
        </w:rPr>
        <w:t>49</w:t>
      </w:r>
      <w:r>
        <w:rPr>
          <w:rFonts w:hint="eastAsia"/>
          <w:color w:val="auto"/>
          <w:kern w:val="0"/>
          <w:sz w:val="28"/>
          <w:szCs w:val="28"/>
        </w:rPr>
        <w:t>号，2</w:t>
      </w:r>
      <w:r>
        <w:rPr>
          <w:color w:val="auto"/>
          <w:kern w:val="0"/>
          <w:sz w:val="28"/>
          <w:szCs w:val="28"/>
        </w:rPr>
        <w:t>009</w:t>
      </w:r>
      <w:r>
        <w:rPr>
          <w:rFonts w:hint="eastAsia"/>
          <w:color w:val="auto"/>
          <w:kern w:val="0"/>
          <w:sz w:val="28"/>
          <w:szCs w:val="28"/>
        </w:rPr>
        <w:t>年5月1日起施行）</w:t>
      </w:r>
    </w:p>
    <w:p>
      <w:pPr>
        <w:spacing w:line="600" w:lineRule="exact"/>
        <w:ind w:firstLine="560" w:firstLineChars="200"/>
        <w:rPr>
          <w:color w:val="auto"/>
          <w:sz w:val="28"/>
        </w:rPr>
      </w:pPr>
      <w:r>
        <w:rPr>
          <w:rFonts w:hint="eastAsia"/>
          <w:color w:val="auto"/>
          <w:sz w:val="28"/>
        </w:rPr>
        <w:t>2</w:t>
      </w:r>
      <w:r>
        <w:rPr>
          <w:color w:val="auto"/>
          <w:sz w:val="28"/>
        </w:rPr>
        <w:t>4</w:t>
      </w:r>
      <w:r>
        <w:rPr>
          <w:rFonts w:hint="eastAsia"/>
          <w:color w:val="auto"/>
          <w:sz w:val="28"/>
        </w:rPr>
        <w:t>、</w:t>
      </w:r>
      <w:r>
        <w:rPr>
          <w:color w:val="auto"/>
          <w:sz w:val="28"/>
        </w:rPr>
        <w:t>《女职工劳动保护特别规定》</w:t>
      </w:r>
      <w:r>
        <w:rPr>
          <w:rFonts w:hint="eastAsia"/>
          <w:color w:val="auto"/>
          <w:sz w:val="28"/>
        </w:rPr>
        <w:t>（</w:t>
      </w:r>
      <w:r>
        <w:rPr>
          <w:color w:val="auto"/>
          <w:sz w:val="28"/>
        </w:rPr>
        <w:t>国务院令第619号</w:t>
      </w:r>
      <w:r>
        <w:rPr>
          <w:rFonts w:hint="eastAsia"/>
          <w:color w:val="auto"/>
          <w:sz w:val="28"/>
        </w:rPr>
        <w:t>）</w:t>
      </w:r>
    </w:p>
    <w:p>
      <w:pPr>
        <w:spacing w:line="600" w:lineRule="exact"/>
        <w:ind w:firstLine="560" w:firstLineChars="200"/>
        <w:rPr>
          <w:color w:val="auto"/>
          <w:sz w:val="28"/>
        </w:rPr>
      </w:pPr>
      <w:r>
        <w:rPr>
          <w:rFonts w:hint="eastAsia"/>
          <w:color w:val="auto"/>
          <w:sz w:val="28"/>
        </w:rPr>
        <w:t>2</w:t>
      </w:r>
      <w:r>
        <w:rPr>
          <w:color w:val="auto"/>
          <w:sz w:val="28"/>
        </w:rPr>
        <w:t>5</w:t>
      </w:r>
      <w:r>
        <w:rPr>
          <w:rFonts w:hint="eastAsia"/>
          <w:color w:val="auto"/>
          <w:sz w:val="28"/>
        </w:rPr>
        <w:t>、《安全生产许可证条例》（国务院令第3</w:t>
      </w:r>
      <w:r>
        <w:rPr>
          <w:color w:val="auto"/>
          <w:sz w:val="28"/>
        </w:rPr>
        <w:t>97</w:t>
      </w:r>
      <w:r>
        <w:rPr>
          <w:rFonts w:hint="eastAsia"/>
          <w:color w:val="auto"/>
          <w:sz w:val="28"/>
        </w:rPr>
        <w:t>号，2</w:t>
      </w:r>
      <w:r>
        <w:rPr>
          <w:color w:val="auto"/>
          <w:sz w:val="28"/>
        </w:rPr>
        <w:t>004</w:t>
      </w:r>
      <w:r>
        <w:rPr>
          <w:rFonts w:hint="eastAsia"/>
          <w:color w:val="auto"/>
          <w:sz w:val="28"/>
        </w:rPr>
        <w:t>年1月7日起实施，2</w:t>
      </w:r>
      <w:r>
        <w:rPr>
          <w:color w:val="auto"/>
          <w:sz w:val="28"/>
        </w:rPr>
        <w:t>014</w:t>
      </w:r>
      <w:r>
        <w:rPr>
          <w:rFonts w:hint="eastAsia"/>
          <w:color w:val="auto"/>
          <w:sz w:val="28"/>
        </w:rPr>
        <w:t>年7月9日国务院令第6</w:t>
      </w:r>
      <w:r>
        <w:rPr>
          <w:color w:val="auto"/>
          <w:sz w:val="28"/>
        </w:rPr>
        <w:t>53</w:t>
      </w:r>
      <w:r>
        <w:rPr>
          <w:rFonts w:hint="eastAsia"/>
          <w:color w:val="auto"/>
          <w:sz w:val="28"/>
        </w:rPr>
        <w:t>号修改）</w:t>
      </w:r>
    </w:p>
    <w:p>
      <w:pPr>
        <w:spacing w:line="600" w:lineRule="exact"/>
        <w:ind w:firstLine="560" w:firstLineChars="200"/>
        <w:rPr>
          <w:color w:val="auto"/>
          <w:sz w:val="28"/>
        </w:rPr>
      </w:pPr>
      <w:r>
        <w:rPr>
          <w:rFonts w:hint="eastAsia"/>
          <w:color w:val="auto"/>
          <w:sz w:val="28"/>
        </w:rPr>
        <w:t>2</w:t>
      </w:r>
      <w:r>
        <w:rPr>
          <w:color w:val="auto"/>
          <w:sz w:val="28"/>
        </w:rPr>
        <w:t>5</w:t>
      </w:r>
      <w:r>
        <w:rPr>
          <w:rFonts w:hint="eastAsia"/>
          <w:color w:val="auto"/>
          <w:sz w:val="28"/>
        </w:rPr>
        <w:t>、</w:t>
      </w:r>
      <w:r>
        <w:rPr>
          <w:color w:val="auto"/>
          <w:sz w:val="28"/>
        </w:rPr>
        <w:t>《气象灾害防御条例》</w:t>
      </w:r>
      <w:r>
        <w:rPr>
          <w:rFonts w:hint="eastAsia"/>
          <w:color w:val="auto"/>
          <w:sz w:val="28"/>
        </w:rPr>
        <w:t>（</w:t>
      </w:r>
      <w:r>
        <w:rPr>
          <w:color w:val="auto"/>
          <w:sz w:val="28"/>
        </w:rPr>
        <w:t>国务院令第570号</w:t>
      </w:r>
      <w:r>
        <w:rPr>
          <w:rFonts w:hint="eastAsia"/>
          <w:color w:val="auto"/>
          <w:sz w:val="28"/>
        </w:rPr>
        <w:t>）</w:t>
      </w:r>
      <w:r>
        <w:rPr>
          <w:color w:val="auto"/>
          <w:sz w:val="28"/>
        </w:rPr>
        <w:t xml:space="preserve"> </w:t>
      </w:r>
    </w:p>
    <w:p>
      <w:pPr>
        <w:spacing w:line="600" w:lineRule="exact"/>
        <w:ind w:firstLine="560" w:firstLineChars="200"/>
        <w:rPr>
          <w:color w:val="auto"/>
          <w:sz w:val="28"/>
          <w:szCs w:val="28"/>
        </w:rPr>
      </w:pPr>
      <w:r>
        <w:rPr>
          <w:rFonts w:hint="eastAsia"/>
          <w:color w:val="auto"/>
          <w:sz w:val="28"/>
        </w:rPr>
        <w:t>23、</w:t>
      </w:r>
      <w:r>
        <w:rPr>
          <w:color w:val="auto"/>
          <w:sz w:val="28"/>
        </w:rPr>
        <w:t>《江西省安全生产条例》</w:t>
      </w:r>
      <w:r>
        <w:rPr>
          <w:rFonts w:hint="eastAsia"/>
          <w:color w:val="auto"/>
          <w:sz w:val="28"/>
        </w:rPr>
        <w:t>（</w:t>
      </w:r>
      <w:r>
        <w:rPr>
          <w:color w:val="auto"/>
          <w:sz w:val="28"/>
          <w:szCs w:val="28"/>
        </w:rPr>
        <w:t>20</w:t>
      </w:r>
      <w:r>
        <w:rPr>
          <w:rFonts w:hint="eastAsia"/>
          <w:color w:val="auto"/>
          <w:sz w:val="28"/>
          <w:szCs w:val="28"/>
        </w:rPr>
        <w:t>23</w:t>
      </w:r>
      <w:r>
        <w:rPr>
          <w:color w:val="auto"/>
          <w:sz w:val="28"/>
          <w:szCs w:val="28"/>
        </w:rPr>
        <w:t>年</w:t>
      </w:r>
      <w:r>
        <w:rPr>
          <w:rFonts w:hint="eastAsia"/>
          <w:color w:val="auto"/>
          <w:sz w:val="28"/>
          <w:szCs w:val="28"/>
        </w:rPr>
        <w:t>7</w:t>
      </w:r>
      <w:r>
        <w:rPr>
          <w:color w:val="auto"/>
          <w:sz w:val="28"/>
          <w:szCs w:val="28"/>
        </w:rPr>
        <w:t>月</w:t>
      </w:r>
      <w:r>
        <w:rPr>
          <w:rFonts w:hint="eastAsia"/>
          <w:color w:val="auto"/>
          <w:sz w:val="28"/>
          <w:szCs w:val="28"/>
        </w:rPr>
        <w:t>26</w:t>
      </w:r>
      <w:r>
        <w:rPr>
          <w:color w:val="auto"/>
          <w:sz w:val="28"/>
          <w:szCs w:val="28"/>
        </w:rPr>
        <w:t>日江西省第十</w:t>
      </w:r>
      <w:r>
        <w:rPr>
          <w:rFonts w:hint="eastAsia"/>
          <w:color w:val="auto"/>
          <w:sz w:val="28"/>
          <w:szCs w:val="28"/>
        </w:rPr>
        <w:t>四</w:t>
      </w:r>
      <w:r>
        <w:rPr>
          <w:color w:val="auto"/>
          <w:sz w:val="28"/>
          <w:szCs w:val="28"/>
        </w:rPr>
        <w:t>届人大常委会第三次会议</w:t>
      </w:r>
      <w:r>
        <w:rPr>
          <w:rFonts w:hint="eastAsia"/>
          <w:color w:val="auto"/>
          <w:sz w:val="28"/>
          <w:szCs w:val="28"/>
        </w:rPr>
        <w:t>第二次修订）</w:t>
      </w:r>
    </w:p>
    <w:p>
      <w:pPr>
        <w:spacing w:line="600" w:lineRule="exact"/>
        <w:ind w:firstLine="560" w:firstLineChars="200"/>
        <w:rPr>
          <w:color w:val="auto"/>
          <w:sz w:val="28"/>
          <w:szCs w:val="28"/>
        </w:rPr>
      </w:pPr>
      <w:r>
        <w:rPr>
          <w:rFonts w:hint="eastAsia"/>
          <w:color w:val="auto"/>
          <w:sz w:val="28"/>
          <w:szCs w:val="28"/>
        </w:rPr>
        <w:t>2</w:t>
      </w:r>
      <w:r>
        <w:rPr>
          <w:color w:val="auto"/>
          <w:sz w:val="28"/>
          <w:szCs w:val="28"/>
        </w:rPr>
        <w:t>4</w:t>
      </w:r>
      <w:r>
        <w:rPr>
          <w:rFonts w:hint="eastAsia"/>
          <w:color w:val="auto"/>
          <w:sz w:val="28"/>
          <w:szCs w:val="28"/>
        </w:rPr>
        <w:t>、《江西省消防安全责任制实施办法》（</w:t>
      </w:r>
      <w:r>
        <w:rPr>
          <w:rFonts w:hint="eastAsia" w:ascii="宋体" w:hAnsi="宋体"/>
          <w:color w:val="auto"/>
          <w:sz w:val="28"/>
          <w:szCs w:val="28"/>
        </w:rPr>
        <w:t>2021年9月1日省人民政府第75次常务会议审议通过，2021年11月1日施行</w:t>
      </w:r>
      <w:r>
        <w:rPr>
          <w:rFonts w:hint="eastAsia"/>
          <w:color w:val="auto"/>
          <w:sz w:val="28"/>
          <w:szCs w:val="28"/>
        </w:rPr>
        <w:t>）</w:t>
      </w:r>
    </w:p>
    <w:p>
      <w:pPr>
        <w:spacing w:line="600" w:lineRule="exact"/>
        <w:ind w:firstLine="560" w:firstLineChars="200"/>
        <w:rPr>
          <w:color w:val="auto"/>
          <w:sz w:val="28"/>
          <w:szCs w:val="28"/>
        </w:rPr>
      </w:pPr>
      <w:r>
        <w:rPr>
          <w:rFonts w:hint="eastAsia"/>
          <w:color w:val="auto"/>
          <w:sz w:val="28"/>
          <w:szCs w:val="28"/>
        </w:rPr>
        <w:t>2</w:t>
      </w:r>
      <w:r>
        <w:rPr>
          <w:color w:val="auto"/>
          <w:sz w:val="28"/>
          <w:szCs w:val="28"/>
        </w:rPr>
        <w:t>5</w:t>
      </w:r>
      <w:r>
        <w:rPr>
          <w:rFonts w:hint="eastAsia"/>
          <w:color w:val="auto"/>
          <w:sz w:val="28"/>
          <w:szCs w:val="28"/>
        </w:rPr>
        <w:t>、《江西省危险化学品建设项目安全监督管理实施细则（试行）》（赣应急字[</w:t>
      </w:r>
      <w:r>
        <w:rPr>
          <w:color w:val="auto"/>
          <w:sz w:val="28"/>
          <w:szCs w:val="28"/>
        </w:rPr>
        <w:t>2021]100</w:t>
      </w:r>
      <w:r>
        <w:rPr>
          <w:rFonts w:hint="eastAsia"/>
          <w:color w:val="auto"/>
          <w:sz w:val="28"/>
          <w:szCs w:val="28"/>
        </w:rPr>
        <w:t>号）</w:t>
      </w:r>
    </w:p>
    <w:p>
      <w:pPr>
        <w:spacing w:line="600" w:lineRule="exact"/>
        <w:ind w:firstLine="560" w:firstLineChars="200"/>
        <w:rPr>
          <w:color w:val="auto"/>
          <w:sz w:val="28"/>
          <w:szCs w:val="28"/>
        </w:rPr>
      </w:pPr>
      <w:r>
        <w:rPr>
          <w:color w:val="auto"/>
          <w:sz w:val="28"/>
          <w:szCs w:val="28"/>
        </w:rPr>
        <w:t>26</w:t>
      </w:r>
      <w:r>
        <w:rPr>
          <w:rFonts w:hint="eastAsia"/>
          <w:color w:val="auto"/>
          <w:sz w:val="28"/>
          <w:szCs w:val="28"/>
        </w:rPr>
        <w:t>、《江西省特种设备安全条例》（</w:t>
      </w:r>
      <w:r>
        <w:rPr>
          <w:rFonts w:hint="eastAsia" w:ascii="宋体" w:hAnsi="宋体"/>
          <w:color w:val="auto"/>
          <w:sz w:val="28"/>
          <w:szCs w:val="28"/>
        </w:rPr>
        <w:t>2017年11月30日江西省第十二届人大常务委员会第三十六次会议通过，2018年3月1日起施行</w:t>
      </w:r>
      <w:r>
        <w:rPr>
          <w:rFonts w:hint="eastAsia"/>
          <w:color w:val="auto"/>
          <w:sz w:val="28"/>
          <w:szCs w:val="28"/>
        </w:rPr>
        <w:t>）</w:t>
      </w:r>
    </w:p>
    <w:p>
      <w:pPr>
        <w:spacing w:line="600" w:lineRule="exact"/>
        <w:ind w:firstLine="560" w:firstLineChars="200"/>
        <w:rPr>
          <w:color w:val="auto"/>
          <w:sz w:val="28"/>
          <w:szCs w:val="28"/>
        </w:rPr>
      </w:pPr>
      <w:r>
        <w:rPr>
          <w:rFonts w:hint="eastAsia"/>
          <w:color w:val="auto"/>
          <w:sz w:val="28"/>
          <w:szCs w:val="28"/>
        </w:rPr>
        <w:t>2</w:t>
      </w:r>
      <w:r>
        <w:rPr>
          <w:color w:val="auto"/>
          <w:sz w:val="28"/>
          <w:szCs w:val="28"/>
        </w:rPr>
        <w:t>5</w:t>
      </w:r>
      <w:r>
        <w:rPr>
          <w:rFonts w:hint="eastAsia"/>
          <w:color w:val="auto"/>
          <w:sz w:val="28"/>
          <w:szCs w:val="28"/>
        </w:rPr>
        <w:t>、</w:t>
      </w:r>
      <w:r>
        <w:rPr>
          <w:color w:val="auto"/>
          <w:sz w:val="28"/>
          <w:szCs w:val="28"/>
        </w:rPr>
        <w:t>《江西省消防条例》</w:t>
      </w:r>
      <w:r>
        <w:rPr>
          <w:rFonts w:hint="eastAsia"/>
          <w:color w:val="auto"/>
          <w:sz w:val="28"/>
          <w:szCs w:val="28"/>
        </w:rPr>
        <w:t>（</w:t>
      </w:r>
      <w:r>
        <w:rPr>
          <w:rFonts w:hint="eastAsia" w:ascii="宋体" w:hAnsi="宋体"/>
          <w:color w:val="auto"/>
          <w:sz w:val="28"/>
          <w:szCs w:val="28"/>
        </w:rPr>
        <w:t>江西省人大常委会公号第57号，2020年11月25日江西省第十三届人民代表大会常务委员会第二十五次会议第六次修正</w:t>
      </w:r>
      <w:r>
        <w:rPr>
          <w:rFonts w:hint="eastAsia"/>
          <w:color w:val="auto"/>
          <w:sz w:val="28"/>
          <w:szCs w:val="28"/>
        </w:rPr>
        <w:t>）</w:t>
      </w:r>
    </w:p>
    <w:p>
      <w:pPr>
        <w:pStyle w:val="4"/>
        <w:rPr>
          <w:rFonts w:ascii="Times New Roman" w:hAnsi="Times New Roman" w:cs="Times New Roman"/>
          <w:bCs w:val="0"/>
          <w:color w:val="auto"/>
        </w:rPr>
      </w:pPr>
      <w:bookmarkStart w:id="290" w:name="_Toc144109270"/>
      <w:bookmarkStart w:id="291" w:name="_Toc31980"/>
      <w:bookmarkStart w:id="292" w:name="_Toc9135"/>
      <w:r>
        <w:rPr>
          <w:rFonts w:hint="eastAsia" w:ascii="Times New Roman" w:hAnsi="Times New Roman" w:cs="Times New Roman"/>
          <w:bCs w:val="0"/>
          <w:color w:val="auto"/>
        </w:rPr>
        <w:t>D</w:t>
      </w:r>
      <w:r>
        <w:rPr>
          <w:rFonts w:ascii="Times New Roman" w:hAnsi="Times New Roman" w:cs="Times New Roman"/>
          <w:bCs w:val="0"/>
          <w:color w:val="auto"/>
        </w:rPr>
        <w:t>.2 国家及省规范性文件</w:t>
      </w:r>
      <w:bookmarkEnd w:id="290"/>
      <w:bookmarkEnd w:id="291"/>
      <w:bookmarkEnd w:id="292"/>
    </w:p>
    <w:p>
      <w:pPr>
        <w:pStyle w:val="8"/>
        <w:ind w:firstLine="0" w:firstLineChars="0"/>
        <w:jc w:val="left"/>
        <w:rPr>
          <w:rFonts w:ascii="宋体" w:hAnsi="宋体"/>
          <w:color w:val="auto"/>
          <w:sz w:val="28"/>
          <w:szCs w:val="28"/>
        </w:rPr>
      </w:pPr>
      <w:bookmarkStart w:id="293" w:name="_Toc5931"/>
      <w:r>
        <w:rPr>
          <w:rFonts w:hint="eastAsia" w:ascii="宋体" w:hAnsi="宋体"/>
          <w:color w:val="auto"/>
          <w:sz w:val="28"/>
          <w:szCs w:val="28"/>
        </w:rPr>
        <w:t>《国务院关于进一步加强企业安全生产工作的通知》（国发〔2010〕23号）</w:t>
      </w:r>
    </w:p>
    <w:p>
      <w:pPr>
        <w:pStyle w:val="8"/>
        <w:ind w:firstLine="0" w:firstLineChars="0"/>
        <w:jc w:val="left"/>
        <w:rPr>
          <w:rFonts w:ascii="宋体" w:hAnsi="宋体"/>
          <w:color w:val="auto"/>
          <w:sz w:val="28"/>
          <w:szCs w:val="28"/>
        </w:rPr>
      </w:pPr>
      <w:r>
        <w:rPr>
          <w:rFonts w:hint="eastAsia" w:ascii="宋体" w:hAnsi="宋体"/>
          <w:color w:val="auto"/>
          <w:sz w:val="28"/>
          <w:szCs w:val="28"/>
        </w:rPr>
        <w:t>《国务院关于坚持科学发展安全发展促进安全生产形势持续稳定好转的意见》                                         （国发〔2011〕40号</w:t>
      </w:r>
    </w:p>
    <w:p>
      <w:pPr>
        <w:spacing w:line="360" w:lineRule="auto"/>
        <w:jc w:val="left"/>
        <w:rPr>
          <w:rFonts w:ascii="宋体" w:hAnsi="宋体"/>
          <w:color w:val="auto"/>
          <w:sz w:val="28"/>
          <w:szCs w:val="28"/>
        </w:rPr>
      </w:pPr>
      <w:r>
        <w:rPr>
          <w:rFonts w:hint="eastAsia" w:ascii="宋体" w:hAnsi="宋体"/>
          <w:color w:val="auto"/>
          <w:sz w:val="28"/>
          <w:szCs w:val="28"/>
        </w:rPr>
        <w:t>《危险化学品生产企业安全生产许可证实施办法》（安监总局令第41号，79、89号令修改）</w:t>
      </w:r>
    </w:p>
    <w:p>
      <w:pPr>
        <w:spacing w:line="360" w:lineRule="auto"/>
        <w:jc w:val="left"/>
        <w:rPr>
          <w:rFonts w:ascii="宋体" w:hAnsi="宋体"/>
          <w:color w:val="auto"/>
          <w:sz w:val="28"/>
          <w:szCs w:val="28"/>
        </w:rPr>
      </w:pPr>
      <w:r>
        <w:rPr>
          <w:rFonts w:hint="eastAsia" w:ascii="宋体" w:hAnsi="宋体"/>
          <w:color w:val="auto"/>
          <w:sz w:val="28"/>
          <w:szCs w:val="28"/>
        </w:rPr>
        <w:t>《建设项目安全设施“三同时”监督管理办法》（安监总局令第36号，77号令修改）</w:t>
      </w:r>
    </w:p>
    <w:p>
      <w:pPr>
        <w:spacing w:line="360" w:lineRule="auto"/>
        <w:jc w:val="left"/>
        <w:rPr>
          <w:rFonts w:ascii="宋体" w:hAnsi="宋体"/>
          <w:color w:val="auto"/>
          <w:sz w:val="28"/>
          <w:szCs w:val="28"/>
        </w:rPr>
      </w:pPr>
      <w:r>
        <w:rPr>
          <w:rFonts w:hint="eastAsia" w:ascii="宋体" w:hAnsi="宋体"/>
          <w:color w:val="auto"/>
          <w:sz w:val="28"/>
          <w:szCs w:val="28"/>
        </w:rPr>
        <w:t>《危险化学品建设项目安全监督管理办法》（安监总局令45号，79号令修改）</w:t>
      </w:r>
    </w:p>
    <w:p>
      <w:pPr>
        <w:pStyle w:val="8"/>
        <w:ind w:firstLine="0" w:firstLineChars="0"/>
        <w:jc w:val="left"/>
        <w:rPr>
          <w:rFonts w:ascii="宋体" w:hAnsi="宋体"/>
          <w:color w:val="auto"/>
          <w:sz w:val="28"/>
          <w:szCs w:val="28"/>
        </w:rPr>
      </w:pPr>
      <w:r>
        <w:rPr>
          <w:rFonts w:hint="eastAsia" w:ascii="宋体" w:hAnsi="宋体"/>
          <w:color w:val="auto"/>
          <w:sz w:val="28"/>
          <w:szCs w:val="28"/>
        </w:rPr>
        <w:t>《工作场所职业卫生监督管理规定》（国家安全总局2012年4月27日公布，卫生健康委员会令第5号）</w:t>
      </w:r>
    </w:p>
    <w:p>
      <w:pPr>
        <w:pStyle w:val="8"/>
        <w:ind w:firstLine="0" w:firstLineChars="0"/>
        <w:jc w:val="left"/>
        <w:rPr>
          <w:rFonts w:ascii="宋体" w:hAnsi="宋体"/>
          <w:color w:val="auto"/>
          <w:sz w:val="28"/>
          <w:szCs w:val="28"/>
        </w:rPr>
      </w:pPr>
      <w:r>
        <w:rPr>
          <w:rFonts w:hint="eastAsia" w:ascii="宋体" w:hAnsi="宋体"/>
          <w:color w:val="auto"/>
          <w:sz w:val="28"/>
          <w:szCs w:val="28"/>
        </w:rPr>
        <w:t>《特种作业人员安全技术培训考核管理规定》（安监总局令第</w:t>
      </w:r>
      <w:r>
        <w:rPr>
          <w:rStyle w:val="63"/>
          <w:rFonts w:hint="eastAsia" w:ascii="宋体" w:hAnsi="宋体"/>
          <w:color w:val="auto"/>
          <w:sz w:val="28"/>
          <w:szCs w:val="28"/>
        </w:rPr>
        <w:t>30</w:t>
      </w:r>
      <w:r>
        <w:rPr>
          <w:rFonts w:hint="eastAsia" w:ascii="宋体" w:hAnsi="宋体"/>
          <w:color w:val="auto"/>
          <w:sz w:val="28"/>
          <w:szCs w:val="28"/>
        </w:rPr>
        <w:t>号,63、80号令修改）</w:t>
      </w:r>
    </w:p>
    <w:p>
      <w:pPr>
        <w:pStyle w:val="8"/>
        <w:ind w:firstLine="0" w:firstLineChars="0"/>
        <w:jc w:val="left"/>
        <w:rPr>
          <w:rFonts w:ascii="宋体" w:hAnsi="宋体"/>
          <w:color w:val="auto"/>
          <w:sz w:val="28"/>
          <w:szCs w:val="28"/>
        </w:rPr>
      </w:pPr>
      <w:r>
        <w:rPr>
          <w:rFonts w:hint="eastAsia" w:ascii="宋体" w:hAnsi="宋体"/>
          <w:color w:val="auto"/>
          <w:sz w:val="28"/>
          <w:szCs w:val="28"/>
        </w:rPr>
        <w:t>《国家安全监管总局关于废止和修改危险化学品等领域七部规章的决定》（国家安监总局令79号）</w:t>
      </w:r>
    </w:p>
    <w:p>
      <w:pPr>
        <w:pStyle w:val="8"/>
        <w:ind w:firstLine="0" w:firstLineChars="0"/>
        <w:jc w:val="left"/>
        <w:rPr>
          <w:rFonts w:ascii="宋体" w:hAnsi="宋体"/>
          <w:color w:val="auto"/>
          <w:sz w:val="28"/>
          <w:szCs w:val="28"/>
        </w:rPr>
      </w:pPr>
      <w:r>
        <w:rPr>
          <w:rFonts w:hint="eastAsia" w:ascii="宋体" w:hAnsi="宋体"/>
          <w:color w:val="auto"/>
          <w:sz w:val="28"/>
          <w:szCs w:val="28"/>
        </w:rPr>
        <w:t>《国家安全监管总局关于废止和修改劳动防护用品和安全培训等领域十部规章的决定》                             （国家安监总局令80号）</w:t>
      </w:r>
    </w:p>
    <w:p>
      <w:pPr>
        <w:spacing w:line="360" w:lineRule="auto"/>
        <w:rPr>
          <w:rFonts w:ascii="宋体" w:hAnsi="宋体"/>
          <w:color w:val="auto"/>
          <w:sz w:val="28"/>
          <w:szCs w:val="28"/>
        </w:rPr>
      </w:pPr>
      <w:r>
        <w:rPr>
          <w:rFonts w:hint="eastAsia" w:ascii="宋体" w:hAnsi="宋体"/>
          <w:color w:val="auto"/>
          <w:sz w:val="28"/>
          <w:szCs w:val="28"/>
        </w:rPr>
        <w:t>《生产安全事故应急预案管理办法》         （国家安全生产监督管理总局令2016年第88号   根据2019年7月11日应急管理部令第2号《应急管理部关于修改&lt;生产安全事故应急预案管理办法&gt;的决定》修正)）</w:t>
      </w:r>
    </w:p>
    <w:p>
      <w:pPr>
        <w:pStyle w:val="8"/>
        <w:ind w:firstLine="0" w:firstLineChars="0"/>
        <w:jc w:val="left"/>
        <w:rPr>
          <w:rFonts w:ascii="宋体" w:hAnsi="宋体"/>
          <w:color w:val="auto"/>
          <w:sz w:val="28"/>
          <w:szCs w:val="28"/>
        </w:rPr>
      </w:pPr>
      <w:r>
        <w:rPr>
          <w:rFonts w:hint="eastAsia" w:ascii="宋体" w:hAnsi="宋体"/>
          <w:color w:val="auto"/>
          <w:sz w:val="28"/>
          <w:szCs w:val="28"/>
        </w:rPr>
        <w:t>《关于印发〈化工（危险化学品）企业保障生产安全十条规定〉〈烟花爆竹企业保障生产安全十条规定〉和〈油气罐区防火防爆十条规定〉的通知》                             （安监总政法〔2017〕15号）</w:t>
      </w:r>
    </w:p>
    <w:p>
      <w:pPr>
        <w:pStyle w:val="8"/>
        <w:ind w:firstLine="0" w:firstLineChars="0"/>
        <w:jc w:val="left"/>
        <w:rPr>
          <w:rFonts w:ascii="宋体" w:hAnsi="宋体"/>
          <w:color w:val="auto"/>
          <w:sz w:val="28"/>
          <w:szCs w:val="28"/>
        </w:rPr>
      </w:pPr>
      <w:r>
        <w:rPr>
          <w:rFonts w:hint="eastAsia" w:ascii="宋体" w:hAnsi="宋体"/>
          <w:color w:val="auto"/>
          <w:sz w:val="28"/>
          <w:szCs w:val="28"/>
        </w:rPr>
        <w:t>《国家安全监管总局关于修改和废止部分规章及规范性文件的决定》（国家安监总局令89号）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《国家安全监管总局关于印发危险化学品企业事故隐患排查治理实施导则的通知》（安监总管三〔2012〕103号）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《国家安全监管总局关于加强化工过程安全管理的指导意见》（安监总管三〔2013〕88号）</w:t>
      </w:r>
    </w:p>
    <w:p>
      <w:pPr>
        <w:spacing w:line="360" w:lineRule="auto"/>
        <w:rPr>
          <w:rFonts w:ascii="宋体" w:hAnsi="宋体"/>
          <w:color w:val="auto"/>
          <w:sz w:val="28"/>
          <w:szCs w:val="28"/>
        </w:rPr>
      </w:pPr>
      <w:r>
        <w:rPr>
          <w:rFonts w:hint="eastAsia" w:ascii="宋体" w:hAnsi="宋体"/>
          <w:color w:val="auto"/>
          <w:sz w:val="28"/>
          <w:szCs w:val="28"/>
        </w:rPr>
        <w:t>《应急管理部办公厅关于印发危险化学品企业重大危险源安全包保责任制办法（试行）的通知》应急厅〔2021〕12号</w:t>
      </w:r>
    </w:p>
    <w:p>
      <w:pPr>
        <w:pStyle w:val="8"/>
        <w:ind w:firstLine="0" w:firstLineChars="0"/>
        <w:jc w:val="left"/>
        <w:rPr>
          <w:rFonts w:ascii="宋体" w:hAnsi="宋体"/>
          <w:color w:val="auto"/>
          <w:sz w:val="28"/>
          <w:szCs w:val="28"/>
        </w:rPr>
      </w:pPr>
      <w:r>
        <w:rPr>
          <w:rFonts w:hint="eastAsia" w:ascii="宋体" w:hAnsi="宋体"/>
          <w:color w:val="auto"/>
          <w:sz w:val="28"/>
          <w:szCs w:val="28"/>
        </w:rPr>
        <w:t>《危险化学品目录》（20</w:t>
      </w:r>
      <w:r>
        <w:rPr>
          <w:rFonts w:ascii="宋体" w:hAnsi="宋体"/>
          <w:color w:val="auto"/>
          <w:sz w:val="28"/>
          <w:szCs w:val="28"/>
        </w:rPr>
        <w:t>22</w:t>
      </w:r>
      <w:r>
        <w:rPr>
          <w:rFonts w:hint="eastAsia" w:ascii="宋体" w:hAnsi="宋体"/>
          <w:color w:val="auto"/>
          <w:sz w:val="28"/>
          <w:szCs w:val="28"/>
        </w:rPr>
        <w:t>版） （应急管理部等十部门2</w:t>
      </w:r>
      <w:r>
        <w:rPr>
          <w:rFonts w:ascii="宋体" w:hAnsi="宋体"/>
          <w:color w:val="auto"/>
          <w:sz w:val="28"/>
          <w:szCs w:val="28"/>
        </w:rPr>
        <w:t>022</w:t>
      </w:r>
      <w:r>
        <w:rPr>
          <w:rFonts w:hint="eastAsia" w:ascii="宋体" w:hAnsi="宋体"/>
          <w:color w:val="auto"/>
          <w:sz w:val="28"/>
          <w:szCs w:val="28"/>
        </w:rPr>
        <w:t>年第8号）</w:t>
      </w:r>
    </w:p>
    <w:p>
      <w:pPr>
        <w:pStyle w:val="8"/>
        <w:ind w:firstLine="0" w:firstLineChars="0"/>
        <w:jc w:val="left"/>
        <w:rPr>
          <w:rFonts w:ascii="宋体" w:hAnsi="宋体"/>
          <w:color w:val="auto"/>
          <w:sz w:val="28"/>
          <w:szCs w:val="28"/>
        </w:rPr>
      </w:pPr>
      <w:r>
        <w:rPr>
          <w:rFonts w:hint="eastAsia" w:ascii="宋体" w:hAnsi="宋体"/>
          <w:color w:val="auto"/>
          <w:sz w:val="28"/>
          <w:szCs w:val="28"/>
        </w:rPr>
        <w:t>《危险化学品登记管理办法》               （安监总局令第53号）</w:t>
      </w:r>
    </w:p>
    <w:p>
      <w:pPr>
        <w:pStyle w:val="8"/>
        <w:ind w:firstLine="0" w:firstLineChars="0"/>
        <w:jc w:val="left"/>
        <w:rPr>
          <w:rFonts w:ascii="宋体" w:hAnsi="宋体"/>
          <w:color w:val="auto"/>
          <w:sz w:val="28"/>
          <w:szCs w:val="28"/>
        </w:rPr>
      </w:pPr>
      <w:r>
        <w:rPr>
          <w:rFonts w:hint="eastAsia" w:ascii="宋体" w:hAnsi="宋体"/>
          <w:color w:val="auto"/>
          <w:sz w:val="28"/>
          <w:szCs w:val="28"/>
        </w:rPr>
        <w:t>《易制爆危险化学品目录》（2017年版） （公安部2017年5月11日）</w:t>
      </w:r>
    </w:p>
    <w:p>
      <w:pPr>
        <w:spacing w:line="360" w:lineRule="auto"/>
        <w:jc w:val="left"/>
        <w:rPr>
          <w:rFonts w:ascii="宋体" w:hAnsi="宋体"/>
          <w:color w:val="auto"/>
          <w:sz w:val="28"/>
          <w:szCs w:val="28"/>
        </w:rPr>
      </w:pPr>
      <w:r>
        <w:rPr>
          <w:rFonts w:hint="eastAsia" w:ascii="宋体" w:hAnsi="宋体"/>
          <w:color w:val="auto"/>
          <w:sz w:val="28"/>
          <w:szCs w:val="28"/>
        </w:rPr>
        <w:t>《高毒物品目录》                (卫生部卫法监发[2003]第142号)</w:t>
      </w:r>
    </w:p>
    <w:p>
      <w:pPr>
        <w:spacing w:line="360" w:lineRule="auto"/>
        <w:jc w:val="left"/>
        <w:rPr>
          <w:rFonts w:ascii="宋体" w:hAnsi="宋体"/>
          <w:color w:val="auto"/>
          <w:sz w:val="28"/>
          <w:szCs w:val="28"/>
        </w:rPr>
      </w:pPr>
      <w:r>
        <w:rPr>
          <w:rFonts w:hint="eastAsia" w:ascii="宋体" w:hAnsi="宋体"/>
          <w:color w:val="auto"/>
          <w:sz w:val="28"/>
          <w:szCs w:val="28"/>
        </w:rPr>
        <w:t>《特别管控危险化学品目录（第一版）》（应急管理部、工业和信息化部、公安部、交通运输部2020年第三号公告）</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《国家安全监管总局关于进一步加强企业安全生产规范化建设严格落实企业安全生产主体责任的指导意见》           （安监总办[2010]139号）</w:t>
      </w:r>
    </w:p>
    <w:p>
      <w:pPr>
        <w:spacing w:line="360" w:lineRule="auto"/>
        <w:jc w:val="left"/>
        <w:rPr>
          <w:rFonts w:ascii="宋体" w:hAnsi="宋体"/>
          <w:color w:val="auto"/>
          <w:sz w:val="28"/>
          <w:szCs w:val="28"/>
        </w:rPr>
      </w:pPr>
      <w:r>
        <w:rPr>
          <w:rFonts w:hint="eastAsia" w:ascii="宋体" w:hAnsi="宋体"/>
          <w:color w:val="auto"/>
          <w:sz w:val="28"/>
          <w:szCs w:val="28"/>
        </w:rPr>
        <w:t>《关于危险化学品企业贯彻落实《国务院关于进一步加强企业安全生产工作的通知》的实施意见》            （安监总管三〔2010〕186号）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《国家安全监管总局关于加强化工过程安全管理的指导意见》安监总管三〔2013〕88号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《国家安全监管总局关于加强化工安全仪表系统管理的指导意见》（安监总管三〔2014〕116号）</w:t>
      </w:r>
    </w:p>
    <w:p>
      <w:pPr>
        <w:spacing w:line="360" w:lineRule="auto"/>
        <w:jc w:val="left"/>
        <w:rPr>
          <w:rFonts w:ascii="宋体" w:hAnsi="宋体"/>
          <w:color w:val="auto"/>
          <w:sz w:val="28"/>
          <w:szCs w:val="28"/>
        </w:rPr>
      </w:pPr>
      <w:r>
        <w:rPr>
          <w:rFonts w:hint="eastAsia" w:ascii="宋体" w:hAnsi="宋体"/>
          <w:color w:val="auto"/>
          <w:sz w:val="28"/>
          <w:szCs w:val="28"/>
        </w:rPr>
        <w:t>《关于进一步加强危险化学品建设项目安全设计管理的通知》安监总管三〔2013〕76号</w:t>
      </w:r>
    </w:p>
    <w:p>
      <w:pPr>
        <w:spacing w:line="360" w:lineRule="auto"/>
        <w:jc w:val="left"/>
        <w:rPr>
          <w:rFonts w:ascii="宋体" w:hAnsi="宋体"/>
          <w:bCs/>
          <w:color w:val="auto"/>
          <w:kern w:val="0"/>
          <w:sz w:val="28"/>
          <w:szCs w:val="28"/>
        </w:rPr>
      </w:pPr>
      <w:r>
        <w:rPr>
          <w:rFonts w:hint="eastAsia" w:ascii="宋体" w:hAnsi="宋体"/>
          <w:color w:val="auto"/>
          <w:sz w:val="28"/>
          <w:szCs w:val="28"/>
        </w:rPr>
        <w:t>《</w:t>
      </w:r>
      <w:r>
        <w:rPr>
          <w:rFonts w:hint="eastAsia" w:ascii="宋体" w:hAnsi="宋体"/>
          <w:bCs/>
          <w:color w:val="auto"/>
          <w:kern w:val="0"/>
          <w:sz w:val="28"/>
          <w:szCs w:val="28"/>
        </w:rPr>
        <w:t>国家安全监管总局关于公布首批重点监管的危险化学品目录的通知</w:t>
      </w:r>
      <w:r>
        <w:rPr>
          <w:rFonts w:hint="eastAsia" w:ascii="宋体" w:hAnsi="宋体"/>
          <w:color w:val="auto"/>
          <w:sz w:val="28"/>
          <w:szCs w:val="28"/>
        </w:rPr>
        <w:t>》                                （</w:t>
      </w:r>
      <w:r>
        <w:rPr>
          <w:rFonts w:hint="eastAsia" w:ascii="宋体" w:hAnsi="宋体"/>
          <w:bCs/>
          <w:color w:val="auto"/>
          <w:kern w:val="0"/>
          <w:sz w:val="28"/>
          <w:szCs w:val="28"/>
        </w:rPr>
        <w:t>安监总管三〔2011〕95号）</w:t>
      </w:r>
    </w:p>
    <w:p>
      <w:pPr>
        <w:spacing w:line="360" w:lineRule="auto"/>
        <w:jc w:val="left"/>
        <w:rPr>
          <w:rFonts w:ascii="宋体" w:hAnsi="宋体"/>
          <w:color w:val="auto"/>
          <w:sz w:val="28"/>
          <w:szCs w:val="28"/>
        </w:rPr>
      </w:pPr>
      <w:r>
        <w:rPr>
          <w:rFonts w:hint="eastAsia" w:ascii="宋体" w:hAnsi="宋体"/>
          <w:color w:val="auto"/>
          <w:sz w:val="28"/>
          <w:szCs w:val="28"/>
        </w:rPr>
        <w:t>《</w:t>
      </w:r>
      <w:r>
        <w:rPr>
          <w:rFonts w:hint="eastAsia" w:ascii="宋体" w:hAnsi="宋体"/>
          <w:bCs/>
          <w:color w:val="auto"/>
          <w:kern w:val="0"/>
          <w:sz w:val="28"/>
          <w:szCs w:val="28"/>
        </w:rPr>
        <w:t>国家安全监管总局关于公布第二批重点监管的危险化学品目录的通知</w:t>
      </w:r>
      <w:r>
        <w:rPr>
          <w:rFonts w:hint="eastAsia" w:ascii="宋体" w:hAnsi="宋体"/>
          <w:color w:val="auto"/>
          <w:sz w:val="28"/>
          <w:szCs w:val="28"/>
        </w:rPr>
        <w:t>》            （</w:t>
      </w:r>
      <w:r>
        <w:rPr>
          <w:rFonts w:hint="eastAsia" w:ascii="宋体" w:hAnsi="宋体"/>
          <w:bCs/>
          <w:color w:val="auto"/>
          <w:kern w:val="0"/>
          <w:sz w:val="28"/>
          <w:szCs w:val="28"/>
        </w:rPr>
        <w:t>安监总管三〔2013〕12号）</w:t>
      </w:r>
    </w:p>
    <w:p>
      <w:pPr>
        <w:spacing w:line="360" w:lineRule="auto"/>
        <w:jc w:val="left"/>
        <w:rPr>
          <w:rFonts w:ascii="宋体" w:hAnsi="宋体"/>
          <w:bCs/>
          <w:color w:val="auto"/>
          <w:kern w:val="0"/>
          <w:sz w:val="28"/>
          <w:szCs w:val="28"/>
        </w:rPr>
      </w:pPr>
      <w:r>
        <w:rPr>
          <w:rFonts w:hint="eastAsia" w:ascii="宋体" w:hAnsi="宋体"/>
          <w:color w:val="auto"/>
          <w:sz w:val="28"/>
          <w:szCs w:val="28"/>
        </w:rPr>
        <w:t>《首批重点监管的危险化学品安全措施和事故应急处置原则》    （</w:t>
      </w:r>
      <w:r>
        <w:rPr>
          <w:rFonts w:hint="eastAsia" w:ascii="宋体" w:hAnsi="宋体"/>
          <w:bCs/>
          <w:color w:val="auto"/>
          <w:kern w:val="0"/>
          <w:sz w:val="28"/>
          <w:szCs w:val="28"/>
        </w:rPr>
        <w:t>安监总管三〔2011〕142号）</w:t>
      </w:r>
    </w:p>
    <w:p>
      <w:pPr>
        <w:spacing w:line="360" w:lineRule="auto"/>
        <w:jc w:val="left"/>
        <w:rPr>
          <w:rFonts w:ascii="宋体" w:hAnsi="宋体"/>
          <w:bCs/>
          <w:color w:val="auto"/>
          <w:sz w:val="28"/>
          <w:szCs w:val="28"/>
        </w:rPr>
      </w:pPr>
      <w:r>
        <w:rPr>
          <w:rFonts w:hint="eastAsia" w:ascii="宋体" w:hAnsi="宋体"/>
          <w:color w:val="auto"/>
          <w:sz w:val="28"/>
          <w:szCs w:val="28"/>
        </w:rPr>
        <w:t>《国务院安委会办公室关于切实加强</w:t>
      </w:r>
      <w:r>
        <w:rPr>
          <w:rFonts w:hint="eastAsia" w:ascii="宋体" w:hAnsi="宋体"/>
          <w:bCs/>
          <w:color w:val="auto"/>
          <w:sz w:val="28"/>
          <w:szCs w:val="28"/>
        </w:rPr>
        <w:t>危险化学品安全生产工作的指导意见</w:t>
      </w:r>
      <w:r>
        <w:rPr>
          <w:rFonts w:hint="eastAsia" w:ascii="宋体" w:hAnsi="宋体"/>
          <w:color w:val="auto"/>
          <w:sz w:val="28"/>
          <w:szCs w:val="28"/>
        </w:rPr>
        <w:t>》                                          安委办</w:t>
      </w:r>
      <w:r>
        <w:rPr>
          <w:rFonts w:hint="eastAsia" w:ascii="宋体" w:hAnsi="宋体"/>
          <w:bCs/>
          <w:color w:val="auto"/>
          <w:sz w:val="28"/>
          <w:szCs w:val="28"/>
        </w:rPr>
        <w:t>[2008]26号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《国家安全监管总局关于公布首批重点监管的危险化工工艺目录的通知》                                     （安监总管三[2009]116号）</w:t>
      </w:r>
    </w:p>
    <w:p>
      <w:pPr>
        <w:spacing w:line="360" w:lineRule="auto"/>
        <w:jc w:val="left"/>
        <w:rPr>
          <w:rFonts w:ascii="宋体" w:hAnsi="宋体"/>
          <w:color w:val="auto"/>
          <w:sz w:val="28"/>
          <w:szCs w:val="28"/>
        </w:rPr>
      </w:pPr>
      <w:r>
        <w:rPr>
          <w:rFonts w:hint="eastAsia" w:ascii="宋体" w:hAnsi="宋体"/>
          <w:color w:val="auto"/>
          <w:sz w:val="28"/>
          <w:szCs w:val="28"/>
        </w:rPr>
        <w:t>《国家安全监管总局关于公布第二批重点监管危险化工工艺目录和调整首重点监管危险化工工艺中部分典型工艺的通知》 安监总管三[2013]3号）</w:t>
      </w:r>
    </w:p>
    <w:p>
      <w:pPr>
        <w:pStyle w:val="8"/>
        <w:ind w:firstLine="0" w:firstLineChars="0"/>
        <w:jc w:val="left"/>
        <w:rPr>
          <w:rFonts w:ascii="宋体" w:hAnsi="宋体"/>
          <w:color w:val="auto"/>
          <w:sz w:val="28"/>
          <w:szCs w:val="28"/>
        </w:rPr>
      </w:pPr>
      <w:r>
        <w:rPr>
          <w:rFonts w:hint="eastAsia" w:ascii="宋体" w:hAnsi="宋体"/>
          <w:color w:val="auto"/>
          <w:sz w:val="28"/>
          <w:szCs w:val="28"/>
        </w:rPr>
        <w:t>《企业安全生产费用提取和使用管理办法》   （财资[20</w:t>
      </w:r>
      <w:r>
        <w:rPr>
          <w:rFonts w:ascii="宋体" w:hAnsi="宋体"/>
          <w:color w:val="auto"/>
          <w:sz w:val="28"/>
          <w:szCs w:val="28"/>
        </w:rPr>
        <w:t>2</w:t>
      </w:r>
      <w:r>
        <w:rPr>
          <w:rFonts w:hint="eastAsia" w:ascii="宋体" w:hAnsi="宋体"/>
          <w:color w:val="auto"/>
          <w:sz w:val="28"/>
          <w:szCs w:val="28"/>
        </w:rPr>
        <w:t>2]1</w:t>
      </w:r>
      <w:r>
        <w:rPr>
          <w:rFonts w:ascii="宋体" w:hAnsi="宋体"/>
          <w:color w:val="auto"/>
          <w:sz w:val="28"/>
          <w:szCs w:val="28"/>
        </w:rPr>
        <w:t>3</w:t>
      </w:r>
      <w:r>
        <w:rPr>
          <w:rFonts w:hint="eastAsia" w:ascii="宋体" w:hAnsi="宋体"/>
          <w:color w:val="auto"/>
          <w:sz w:val="28"/>
          <w:szCs w:val="28"/>
        </w:rPr>
        <w:t>6号）</w:t>
      </w:r>
    </w:p>
    <w:p>
      <w:pPr>
        <w:spacing w:line="360" w:lineRule="auto"/>
        <w:jc w:val="left"/>
        <w:rPr>
          <w:rFonts w:ascii="宋体" w:hAnsi="宋体"/>
          <w:color w:val="auto"/>
          <w:sz w:val="28"/>
          <w:szCs w:val="28"/>
        </w:rPr>
      </w:pPr>
      <w:r>
        <w:rPr>
          <w:rFonts w:hint="eastAsia" w:ascii="宋体" w:hAnsi="宋体"/>
          <w:color w:val="auto"/>
          <w:sz w:val="28"/>
          <w:szCs w:val="28"/>
        </w:rPr>
        <w:t>《产业结构调整指导目录（2019年本）》（2021年发展和改革委员会令第49号修改）</w:t>
      </w:r>
    </w:p>
    <w:p>
      <w:pPr>
        <w:spacing w:line="360" w:lineRule="auto"/>
        <w:rPr>
          <w:rFonts w:ascii="宋体" w:hAnsi="宋体"/>
          <w:color w:val="auto"/>
          <w:sz w:val="28"/>
          <w:szCs w:val="28"/>
        </w:rPr>
      </w:pPr>
      <w:r>
        <w:rPr>
          <w:rFonts w:hint="eastAsia" w:ascii="宋体" w:hAnsi="宋体"/>
          <w:color w:val="auto"/>
          <w:sz w:val="28"/>
          <w:szCs w:val="28"/>
        </w:rPr>
        <w:t>《部分工业行业淘汰落后生产工艺装备和产品指导目录（2010年本）》中华人民共和国工业和信息化部工产业[2010]第122号</w:t>
      </w:r>
    </w:p>
    <w:p>
      <w:pPr>
        <w:spacing w:line="360" w:lineRule="auto"/>
        <w:rPr>
          <w:rFonts w:ascii="宋体" w:hAnsi="宋体"/>
          <w:color w:val="auto"/>
          <w:sz w:val="28"/>
          <w:szCs w:val="28"/>
        </w:rPr>
      </w:pPr>
      <w:r>
        <w:rPr>
          <w:rFonts w:hint="eastAsia" w:ascii="宋体" w:hAnsi="宋体"/>
          <w:color w:val="auto"/>
          <w:sz w:val="28"/>
          <w:szCs w:val="28"/>
        </w:rPr>
        <w:t>《国家安全监管总局办公厅关于印发淘汰落后与推广先进安全技术装备目录管理办法的通知》（安监总厅科技〔2015〕43号）</w:t>
      </w:r>
    </w:p>
    <w:p>
      <w:pPr>
        <w:spacing w:line="360" w:lineRule="auto"/>
        <w:rPr>
          <w:rFonts w:ascii="宋体" w:hAnsi="宋体"/>
          <w:color w:val="auto"/>
          <w:sz w:val="28"/>
          <w:szCs w:val="28"/>
        </w:rPr>
      </w:pPr>
      <w:r>
        <w:rPr>
          <w:rFonts w:hint="eastAsia" w:ascii="宋体" w:hAnsi="宋体"/>
          <w:color w:val="auto"/>
          <w:sz w:val="28"/>
          <w:szCs w:val="28"/>
        </w:rPr>
        <w:t>《国家安全监管总局关于印发淘汰落后安全技术装备目录（2015年第一批）的通知》（安监总科技〔2015〕75号）</w:t>
      </w:r>
    </w:p>
    <w:p>
      <w:pPr>
        <w:spacing w:line="360" w:lineRule="auto"/>
        <w:rPr>
          <w:rFonts w:ascii="宋体" w:hAnsi="宋体"/>
          <w:color w:val="auto"/>
          <w:sz w:val="28"/>
          <w:szCs w:val="28"/>
        </w:rPr>
      </w:pPr>
      <w:r>
        <w:rPr>
          <w:rFonts w:hint="eastAsia" w:ascii="宋体" w:hAnsi="宋体"/>
          <w:color w:val="auto"/>
          <w:sz w:val="28"/>
          <w:szCs w:val="28"/>
        </w:rPr>
        <w:t>《国家安全监管总局关于印发淘汰落后安全技术工艺、设备目录（2016年）的通知》（安监总科技〔2016〕137号）</w:t>
      </w:r>
    </w:p>
    <w:p>
      <w:pPr>
        <w:spacing w:line="360" w:lineRule="auto"/>
        <w:rPr>
          <w:rFonts w:ascii="宋体" w:hAnsi="宋体"/>
          <w:color w:val="auto"/>
          <w:sz w:val="28"/>
          <w:szCs w:val="28"/>
        </w:rPr>
      </w:pPr>
      <w:r>
        <w:rPr>
          <w:rFonts w:hint="eastAsia" w:ascii="宋体" w:hAnsi="宋体"/>
          <w:color w:val="auto"/>
          <w:sz w:val="28"/>
          <w:szCs w:val="28"/>
        </w:rPr>
        <w:t>《淘汰落后危险化学品安全生产工艺技术设备目录(第一批)》（应急厅〔2020〕38号）</w:t>
      </w:r>
    </w:p>
    <w:p>
      <w:pPr>
        <w:spacing w:line="360" w:lineRule="auto"/>
        <w:rPr>
          <w:rFonts w:ascii="宋体" w:hAnsi="宋体"/>
          <w:color w:val="auto"/>
          <w:sz w:val="28"/>
          <w:szCs w:val="28"/>
        </w:rPr>
      </w:pPr>
      <w:r>
        <w:rPr>
          <w:rFonts w:hint="eastAsia" w:ascii="宋体" w:hAnsi="宋体"/>
          <w:color w:val="auto"/>
          <w:sz w:val="28"/>
          <w:szCs w:val="28"/>
        </w:rPr>
        <w:t>《关于印发&lt;危险化学品生产建设项目安全风险防控指南（试行）&gt;的通知》（应急〔2022〕52号）</w:t>
      </w:r>
    </w:p>
    <w:p>
      <w:pPr>
        <w:spacing w:line="360" w:lineRule="auto"/>
        <w:rPr>
          <w:rFonts w:ascii="宋体" w:hAnsi="宋体"/>
          <w:color w:val="auto"/>
          <w:sz w:val="28"/>
          <w:szCs w:val="28"/>
        </w:rPr>
      </w:pPr>
      <w:r>
        <w:rPr>
          <w:rFonts w:hint="eastAsia" w:ascii="宋体" w:hAnsi="宋体"/>
          <w:color w:val="auto"/>
          <w:sz w:val="28"/>
          <w:szCs w:val="28"/>
        </w:rPr>
        <w:t>《各类监控化学品名录》             （工业和信息化部令第52号）</w:t>
      </w:r>
    </w:p>
    <w:p>
      <w:pPr>
        <w:spacing w:line="360" w:lineRule="auto"/>
        <w:rPr>
          <w:rFonts w:ascii="宋体" w:hAnsi="宋体"/>
          <w:color w:val="auto"/>
          <w:sz w:val="28"/>
          <w:szCs w:val="28"/>
        </w:rPr>
      </w:pPr>
      <w:r>
        <w:rPr>
          <w:rFonts w:hint="eastAsia" w:ascii="宋体" w:hAnsi="宋体"/>
          <w:color w:val="auto"/>
          <w:sz w:val="28"/>
          <w:szCs w:val="28"/>
        </w:rPr>
        <w:t>《&lt;中华人民共和国监控化学品管理条例&gt;实施细则》（工业和信息化部令第48号，2018年6月20日工业和信息化部第3次部务会议审议通过）</w:t>
      </w:r>
    </w:p>
    <w:p>
      <w:pPr>
        <w:spacing w:line="360" w:lineRule="auto"/>
        <w:rPr>
          <w:rFonts w:ascii="宋体" w:hAnsi="宋体"/>
          <w:color w:val="auto"/>
          <w:sz w:val="28"/>
          <w:szCs w:val="28"/>
        </w:rPr>
      </w:pPr>
      <w:r>
        <w:rPr>
          <w:rFonts w:hint="eastAsia" w:ascii="宋体" w:hAnsi="宋体"/>
          <w:color w:val="auto"/>
          <w:sz w:val="28"/>
          <w:szCs w:val="28"/>
        </w:rPr>
        <w:t>《五部委关于加强长江经济带工业绿色发展的指导意见》（工信部联节[2017]178号）</w:t>
      </w:r>
    </w:p>
    <w:p>
      <w:pPr>
        <w:spacing w:line="360" w:lineRule="auto"/>
        <w:rPr>
          <w:rFonts w:ascii="宋体" w:hAnsi="宋体"/>
          <w:color w:val="auto"/>
          <w:sz w:val="28"/>
          <w:szCs w:val="28"/>
        </w:rPr>
      </w:pPr>
      <w:r>
        <w:rPr>
          <w:rFonts w:hint="eastAsia" w:ascii="宋体" w:hAnsi="宋体"/>
          <w:color w:val="auto"/>
          <w:sz w:val="28"/>
          <w:szCs w:val="28"/>
        </w:rPr>
        <w:t>《关于发布长江经济带发展负面清单指南(试行)的通知》（推动长江经济带发展领导小组办公室文件第89号）</w:t>
      </w:r>
    </w:p>
    <w:p>
      <w:pPr>
        <w:spacing w:line="360" w:lineRule="auto"/>
        <w:jc w:val="left"/>
        <w:rPr>
          <w:rFonts w:ascii="宋体" w:hAnsi="宋体"/>
          <w:color w:val="auto"/>
          <w:sz w:val="28"/>
          <w:szCs w:val="28"/>
        </w:rPr>
      </w:pPr>
      <w:r>
        <w:rPr>
          <w:rFonts w:hint="eastAsia" w:ascii="宋体" w:hAnsi="宋体"/>
          <w:color w:val="auto"/>
          <w:sz w:val="28"/>
          <w:szCs w:val="28"/>
        </w:rPr>
        <w:t>《关于修改《消防监督检查规定》的决定》      (公安部令第120号)</w:t>
      </w:r>
    </w:p>
    <w:p>
      <w:pPr>
        <w:spacing w:line="360" w:lineRule="auto"/>
        <w:jc w:val="left"/>
        <w:rPr>
          <w:rFonts w:ascii="宋体" w:hAnsi="宋体"/>
          <w:color w:val="auto"/>
          <w:kern w:val="0"/>
          <w:sz w:val="28"/>
          <w:szCs w:val="28"/>
        </w:rPr>
      </w:pPr>
      <w:r>
        <w:rPr>
          <w:rFonts w:hint="eastAsia" w:ascii="宋体" w:hAnsi="宋体"/>
          <w:color w:val="auto"/>
          <w:kern w:val="0"/>
          <w:sz w:val="28"/>
          <w:szCs w:val="28"/>
        </w:rPr>
        <w:t>《特种设备作业人员监督管理办法》      （国家质监总局令第140号）</w:t>
      </w:r>
    </w:p>
    <w:p>
      <w:pPr>
        <w:spacing w:line="360" w:lineRule="auto"/>
        <w:jc w:val="left"/>
        <w:rPr>
          <w:rFonts w:ascii="宋体" w:hAnsi="宋体"/>
          <w:color w:val="auto"/>
          <w:spacing w:val="-6"/>
          <w:sz w:val="28"/>
          <w:szCs w:val="28"/>
        </w:rPr>
      </w:pPr>
      <w:r>
        <w:rPr>
          <w:rFonts w:hint="eastAsia" w:ascii="宋体" w:hAnsi="宋体"/>
          <w:color w:val="auto"/>
          <w:spacing w:val="-6"/>
          <w:sz w:val="28"/>
          <w:szCs w:val="28"/>
        </w:rPr>
        <w:t>《建设工程消防设计审查验收管理暂行规定》（住房和城乡建设部令第51号）</w:t>
      </w:r>
    </w:p>
    <w:p>
      <w:pPr>
        <w:autoSpaceDE w:val="0"/>
        <w:autoSpaceDN w:val="0"/>
        <w:adjustRightInd w:val="0"/>
        <w:spacing w:line="360" w:lineRule="auto"/>
        <w:jc w:val="left"/>
        <w:rPr>
          <w:rFonts w:ascii="宋体" w:hAnsi="宋体"/>
          <w:color w:val="auto"/>
          <w:sz w:val="28"/>
          <w:szCs w:val="28"/>
        </w:rPr>
      </w:pPr>
      <w:r>
        <w:rPr>
          <w:rFonts w:hint="eastAsia" w:ascii="宋体" w:hAnsi="宋体"/>
          <w:color w:val="auto"/>
          <w:sz w:val="28"/>
          <w:szCs w:val="28"/>
        </w:rPr>
        <w:t>《特种作业人员安全技术培训考核工作的意见》（国家局令[2010]第30号）</w:t>
      </w:r>
    </w:p>
    <w:p>
      <w:pPr>
        <w:autoSpaceDE w:val="0"/>
        <w:autoSpaceDN w:val="0"/>
        <w:adjustRightInd w:val="0"/>
        <w:spacing w:line="360" w:lineRule="auto"/>
        <w:jc w:val="left"/>
        <w:rPr>
          <w:rFonts w:ascii="宋体" w:hAnsi="宋体"/>
          <w:color w:val="auto"/>
          <w:sz w:val="28"/>
          <w:szCs w:val="28"/>
        </w:rPr>
      </w:pPr>
      <w:r>
        <w:rPr>
          <w:rFonts w:hint="eastAsia" w:ascii="宋体" w:hAnsi="宋体"/>
          <w:color w:val="auto"/>
          <w:sz w:val="28"/>
          <w:szCs w:val="28"/>
        </w:rPr>
        <w:t>《爆炸危险场所安全管理规定》              （劳动部[1995]56号）</w:t>
      </w:r>
    </w:p>
    <w:p>
      <w:pPr>
        <w:spacing w:line="360" w:lineRule="auto"/>
        <w:jc w:val="left"/>
        <w:rPr>
          <w:rFonts w:ascii="宋体" w:hAnsi="宋体"/>
          <w:color w:val="auto"/>
          <w:kern w:val="0"/>
          <w:sz w:val="28"/>
          <w:szCs w:val="28"/>
        </w:rPr>
      </w:pPr>
      <w:r>
        <w:rPr>
          <w:rFonts w:hint="eastAsia" w:ascii="宋体" w:hAnsi="宋体"/>
          <w:color w:val="auto"/>
          <w:kern w:val="0"/>
          <w:sz w:val="28"/>
          <w:szCs w:val="28"/>
        </w:rPr>
        <w:t>《特种设备作业人员监督管理办法》      （国家质监总局令第140号）</w:t>
      </w:r>
    </w:p>
    <w:p>
      <w:pPr>
        <w:spacing w:line="360" w:lineRule="auto"/>
        <w:ind w:left="3220" w:hanging="3220" w:hangingChars="1150"/>
        <w:jc w:val="left"/>
        <w:rPr>
          <w:rFonts w:ascii="宋体" w:hAnsi="宋体"/>
          <w:color w:val="auto"/>
          <w:kern w:val="0"/>
          <w:sz w:val="28"/>
          <w:szCs w:val="28"/>
        </w:rPr>
      </w:pPr>
      <w:r>
        <w:rPr>
          <w:rFonts w:hint="eastAsia" w:ascii="宋体" w:hAnsi="宋体"/>
          <w:color w:val="auto"/>
          <w:kern w:val="0"/>
          <w:sz w:val="28"/>
          <w:szCs w:val="28"/>
        </w:rPr>
        <w:t>《江西省人民政府办公厅关于切实加强危险化学品安全生产工作的意见》（</w:t>
      </w:r>
      <w:r>
        <w:rPr>
          <w:rFonts w:hint="eastAsia" w:ascii="宋体" w:hAnsi="宋体"/>
          <w:bCs/>
          <w:color w:val="auto"/>
          <w:kern w:val="0"/>
          <w:sz w:val="28"/>
          <w:szCs w:val="28"/>
        </w:rPr>
        <w:t>江西省人民政府办公厅</w:t>
      </w:r>
      <w:r>
        <w:rPr>
          <w:rFonts w:hint="eastAsia" w:ascii="宋体" w:hAnsi="宋体"/>
          <w:color w:val="auto"/>
          <w:kern w:val="0"/>
          <w:sz w:val="28"/>
          <w:szCs w:val="28"/>
        </w:rPr>
        <w:t>赣府厅发[2010]3号）</w:t>
      </w:r>
    </w:p>
    <w:p>
      <w:pPr>
        <w:spacing w:line="360" w:lineRule="auto"/>
        <w:ind w:left="5740" w:hanging="5740" w:hangingChars="2050"/>
        <w:jc w:val="left"/>
        <w:rPr>
          <w:rFonts w:ascii="宋体" w:hAnsi="宋体"/>
          <w:color w:val="auto"/>
          <w:sz w:val="28"/>
          <w:szCs w:val="28"/>
        </w:rPr>
      </w:pPr>
      <w:r>
        <w:rPr>
          <w:rFonts w:hint="eastAsia" w:ascii="宋体" w:hAnsi="宋体"/>
          <w:color w:val="auto"/>
          <w:sz w:val="28"/>
          <w:szCs w:val="28"/>
        </w:rPr>
        <w:t>《江西省人民政府关于进一步加强企业安全生产工作的实施意见》      （赣府发〔2010〕32号）</w:t>
      </w:r>
    </w:p>
    <w:p>
      <w:pPr>
        <w:spacing w:line="360" w:lineRule="auto"/>
        <w:rPr>
          <w:rFonts w:ascii="宋体" w:hAnsi="宋体"/>
          <w:color w:val="auto"/>
          <w:sz w:val="28"/>
          <w:szCs w:val="28"/>
        </w:rPr>
      </w:pPr>
      <w:r>
        <w:rPr>
          <w:rFonts w:hint="eastAsia" w:ascii="宋体" w:hAnsi="宋体"/>
          <w:color w:val="auto"/>
          <w:sz w:val="28"/>
          <w:szCs w:val="28"/>
        </w:rPr>
        <w:t>《关于贯彻落实《危险化学品重大危险源监督管理暂行规定》的通知》（赣安监管二字〔2012〕29号）</w:t>
      </w:r>
    </w:p>
    <w:p>
      <w:pPr>
        <w:spacing w:line="360" w:lineRule="auto"/>
        <w:jc w:val="left"/>
        <w:rPr>
          <w:rFonts w:ascii="宋体" w:hAnsi="宋体"/>
          <w:color w:val="auto"/>
          <w:sz w:val="28"/>
          <w:szCs w:val="28"/>
        </w:rPr>
      </w:pPr>
      <w:r>
        <w:rPr>
          <w:rFonts w:hint="eastAsia" w:ascii="宋体" w:hAnsi="宋体"/>
          <w:color w:val="auto"/>
          <w:sz w:val="28"/>
          <w:szCs w:val="28"/>
        </w:rPr>
        <w:t>《江西省安委会办公室关于印发江西省安全风险分级管控体系建设通用指南的通知》（江西省安全生产委员会办公室、赣安办字〔2016〕55号）</w:t>
      </w:r>
    </w:p>
    <w:p>
      <w:pPr>
        <w:spacing w:line="360" w:lineRule="auto"/>
        <w:rPr>
          <w:rFonts w:ascii="宋体" w:hAnsi="宋体"/>
          <w:color w:val="auto"/>
          <w:sz w:val="28"/>
          <w:szCs w:val="28"/>
        </w:rPr>
      </w:pPr>
      <w:r>
        <w:rPr>
          <w:rFonts w:hint="eastAsia" w:ascii="宋体" w:hAnsi="宋体"/>
          <w:color w:val="auto"/>
          <w:sz w:val="28"/>
          <w:szCs w:val="28"/>
        </w:rPr>
        <w:t>《江西省危险化学品建设项目安全监督管理实施细则（试行）》赣应急字〔2021〕100号</w:t>
      </w:r>
    </w:p>
    <w:p>
      <w:pPr>
        <w:spacing w:line="360" w:lineRule="auto"/>
        <w:rPr>
          <w:rFonts w:ascii="宋体" w:hAnsi="宋体"/>
          <w:color w:val="auto"/>
          <w:sz w:val="28"/>
          <w:szCs w:val="28"/>
        </w:rPr>
      </w:pPr>
      <w:r>
        <w:rPr>
          <w:rFonts w:hint="eastAsia" w:ascii="宋体" w:hAnsi="宋体"/>
          <w:color w:val="auto"/>
          <w:sz w:val="28"/>
          <w:szCs w:val="28"/>
        </w:rPr>
        <w:t>《关于全面加强危险化学品安全生产工作的实施意见》（赣办发〔2020〕32号）</w:t>
      </w:r>
    </w:p>
    <w:p>
      <w:pPr>
        <w:spacing w:line="360" w:lineRule="auto"/>
        <w:rPr>
          <w:rFonts w:ascii="宋体" w:hAnsi="宋体"/>
          <w:color w:val="auto"/>
          <w:sz w:val="28"/>
          <w:szCs w:val="28"/>
        </w:rPr>
      </w:pPr>
      <w:r>
        <w:rPr>
          <w:rFonts w:hint="eastAsia" w:ascii="宋体" w:hAnsi="宋体"/>
          <w:color w:val="auto"/>
          <w:spacing w:val="-6"/>
          <w:sz w:val="28"/>
          <w:szCs w:val="28"/>
        </w:rPr>
        <w:t>《江西省危险化学品安全专项整治三年行动实施方案》（赣安〔2020〕6</w:t>
      </w:r>
      <w:r>
        <w:rPr>
          <w:rFonts w:hint="eastAsia" w:ascii="宋体" w:hAnsi="宋体"/>
          <w:color w:val="auto"/>
          <w:sz w:val="28"/>
          <w:szCs w:val="28"/>
        </w:rPr>
        <w:t>号）</w:t>
      </w:r>
    </w:p>
    <w:p>
      <w:pPr>
        <w:spacing w:line="360" w:lineRule="auto"/>
        <w:rPr>
          <w:rFonts w:ascii="宋体" w:hAnsi="宋体"/>
          <w:color w:val="auto"/>
          <w:sz w:val="28"/>
          <w:szCs w:val="28"/>
        </w:rPr>
      </w:pPr>
      <w:r>
        <w:rPr>
          <w:rFonts w:hint="eastAsia" w:ascii="宋体" w:hAnsi="宋体"/>
          <w:color w:val="auto"/>
          <w:sz w:val="28"/>
          <w:szCs w:val="28"/>
        </w:rPr>
        <w:t>《全国安全生产专项整治三年行动计划》（国务院安全生产委员会〔2020〕3号文件）</w:t>
      </w:r>
    </w:p>
    <w:p>
      <w:pPr>
        <w:spacing w:line="360" w:lineRule="auto"/>
        <w:rPr>
          <w:rFonts w:ascii="宋体" w:hAnsi="宋体"/>
          <w:color w:val="auto"/>
          <w:sz w:val="28"/>
          <w:szCs w:val="28"/>
        </w:rPr>
      </w:pPr>
      <w:r>
        <w:rPr>
          <w:rFonts w:hint="eastAsia" w:ascii="宋体" w:hAnsi="宋体"/>
          <w:color w:val="auto"/>
          <w:sz w:val="28"/>
          <w:szCs w:val="28"/>
        </w:rPr>
        <w:t>《江西省应急管理厅关于印发&lt;江西省化工企业自动化提升实施方案&gt;（试行）的通知》（赣应急字〔2021〕190号）</w:t>
      </w:r>
    </w:p>
    <w:p>
      <w:pPr>
        <w:spacing w:line="360" w:lineRule="auto"/>
        <w:rPr>
          <w:rFonts w:ascii="宋体" w:hAnsi="宋体"/>
          <w:color w:val="auto"/>
          <w:sz w:val="28"/>
          <w:szCs w:val="28"/>
        </w:rPr>
      </w:pPr>
      <w:r>
        <w:rPr>
          <w:rFonts w:hint="eastAsia" w:ascii="宋体" w:hAnsi="宋体"/>
          <w:color w:val="auto"/>
          <w:sz w:val="28"/>
          <w:szCs w:val="28"/>
        </w:rPr>
        <w:t>《关于江西省化工园区认定合格名单（第一批）的公示》（赣工信石化字〔2021〕92号）</w:t>
      </w:r>
    </w:p>
    <w:p>
      <w:pPr>
        <w:spacing w:line="360" w:lineRule="auto"/>
        <w:rPr>
          <w:rFonts w:ascii="宋体" w:hAnsi="宋体"/>
          <w:color w:val="auto"/>
          <w:sz w:val="28"/>
          <w:szCs w:val="28"/>
        </w:rPr>
      </w:pPr>
      <w:r>
        <w:rPr>
          <w:rFonts w:hint="eastAsia" w:ascii="宋体" w:hAnsi="宋体"/>
          <w:color w:val="auto"/>
          <w:sz w:val="28"/>
          <w:szCs w:val="28"/>
        </w:rPr>
        <w:t>《中共江西省委办公厅江西省人民政府办公厅关于印发&lt;江西省长江经济带“共抓大保护”攻坚行动工作方案&gt;的通知》（赣办发〔2018〕8号）</w:t>
      </w:r>
    </w:p>
    <w:p>
      <w:pPr>
        <w:spacing w:line="360" w:lineRule="auto"/>
        <w:rPr>
          <w:rFonts w:ascii="宋体" w:hAnsi="宋体"/>
          <w:color w:val="auto"/>
          <w:sz w:val="28"/>
          <w:szCs w:val="28"/>
        </w:rPr>
      </w:pPr>
      <w:r>
        <w:rPr>
          <w:rFonts w:hint="eastAsia" w:ascii="宋体" w:hAnsi="宋体"/>
          <w:color w:val="auto"/>
          <w:sz w:val="28"/>
          <w:szCs w:val="28"/>
        </w:rPr>
        <w:t>《江西省安委会关于印发江西省生产经营单位安全生产分类分级监管管理办法的通知》（赣安〔2018〕29号）</w:t>
      </w:r>
    </w:p>
    <w:p>
      <w:pPr>
        <w:spacing w:line="360" w:lineRule="auto"/>
        <w:rPr>
          <w:rFonts w:ascii="宋体" w:hAnsi="宋体"/>
          <w:color w:val="auto"/>
          <w:sz w:val="28"/>
          <w:szCs w:val="28"/>
        </w:rPr>
      </w:pPr>
      <w:r>
        <w:rPr>
          <w:rFonts w:hint="eastAsia" w:ascii="宋体" w:hAnsi="宋体"/>
          <w:color w:val="auto"/>
          <w:sz w:val="28"/>
          <w:szCs w:val="28"/>
        </w:rPr>
        <w:t>《江西省工信委关于做好长江经济带化工污染整治有关工作的通知》（赣工信石化字〔2017〕638号）</w:t>
      </w:r>
    </w:p>
    <w:p>
      <w:pPr>
        <w:spacing w:line="360" w:lineRule="auto"/>
        <w:rPr>
          <w:rFonts w:ascii="宋体" w:hAnsi="宋体"/>
          <w:color w:val="auto"/>
          <w:sz w:val="28"/>
          <w:szCs w:val="28"/>
        </w:rPr>
      </w:pPr>
      <w:r>
        <w:rPr>
          <w:rFonts w:hint="eastAsia" w:ascii="宋体" w:hAnsi="宋体"/>
          <w:color w:val="auto"/>
          <w:sz w:val="28"/>
          <w:szCs w:val="28"/>
        </w:rPr>
        <w:t>《江西省发展改革委关于印发江西省第一批国家重点生态功能区产业准入负面清单的通知》（赣发改规划〔2017〕448号）</w:t>
      </w:r>
    </w:p>
    <w:p>
      <w:pPr>
        <w:spacing w:line="360" w:lineRule="auto"/>
        <w:rPr>
          <w:rFonts w:ascii="宋体" w:hAnsi="宋体"/>
          <w:color w:val="auto"/>
          <w:sz w:val="28"/>
          <w:szCs w:val="28"/>
        </w:rPr>
      </w:pPr>
      <w:r>
        <w:rPr>
          <w:rFonts w:hint="eastAsia" w:ascii="宋体" w:hAnsi="宋体"/>
          <w:color w:val="auto"/>
          <w:sz w:val="28"/>
          <w:szCs w:val="28"/>
        </w:rPr>
        <w:t>《江西省应急管理厅办公室关于开展危险化学品安全风险评估诊断分级等三项工作的通知》（赣应急办字〔2020〕53号）</w:t>
      </w:r>
    </w:p>
    <w:p>
      <w:pPr>
        <w:rPr>
          <w:rFonts w:ascii="宋体" w:hAnsi="宋体"/>
          <w:color w:val="auto"/>
          <w:sz w:val="28"/>
          <w:szCs w:val="28"/>
        </w:rPr>
      </w:pPr>
      <w:r>
        <w:rPr>
          <w:rFonts w:hint="eastAsia" w:ascii="宋体" w:hAnsi="宋体"/>
          <w:color w:val="auto"/>
          <w:sz w:val="28"/>
          <w:szCs w:val="28"/>
        </w:rPr>
        <w:t>《江西省人民政府办公厅关于严格高耗能高排放项目准入管理的实施意见》赣府厅发〔2021〕33号</w:t>
      </w:r>
    </w:p>
    <w:p>
      <w:pPr>
        <w:rPr>
          <w:color w:val="auto"/>
          <w:sz w:val="28"/>
          <w:szCs w:val="28"/>
        </w:rPr>
      </w:pPr>
      <w:r>
        <w:rPr>
          <w:rFonts w:hint="eastAsia" w:ascii="宋体" w:hAnsi="宋体"/>
          <w:color w:val="auto"/>
          <w:sz w:val="28"/>
          <w:szCs w:val="28"/>
        </w:rPr>
        <w:t>《关于印发新干县危险化学品“禁限控”目录（试行）的通知》（干府办字〔202</w:t>
      </w:r>
      <w:r>
        <w:rPr>
          <w:rFonts w:ascii="宋体" w:hAnsi="宋体"/>
          <w:color w:val="auto"/>
          <w:sz w:val="28"/>
          <w:szCs w:val="28"/>
        </w:rPr>
        <w:t>3</w:t>
      </w:r>
      <w:r>
        <w:rPr>
          <w:rFonts w:hint="eastAsia" w:ascii="宋体" w:hAnsi="宋体"/>
          <w:color w:val="auto"/>
          <w:sz w:val="28"/>
          <w:szCs w:val="28"/>
        </w:rPr>
        <w:t>〕</w:t>
      </w:r>
      <w:r>
        <w:rPr>
          <w:rFonts w:ascii="宋体" w:hAnsi="宋体"/>
          <w:color w:val="auto"/>
          <w:sz w:val="28"/>
          <w:szCs w:val="28"/>
        </w:rPr>
        <w:t>44</w:t>
      </w:r>
      <w:r>
        <w:rPr>
          <w:rFonts w:hint="eastAsia" w:ascii="宋体" w:hAnsi="宋体"/>
          <w:color w:val="auto"/>
          <w:sz w:val="28"/>
          <w:szCs w:val="28"/>
        </w:rPr>
        <w:t>号）</w:t>
      </w:r>
    </w:p>
    <w:p>
      <w:pPr>
        <w:pStyle w:val="4"/>
        <w:rPr>
          <w:rFonts w:ascii="Times New Roman" w:hAnsi="Times New Roman" w:cs="Times New Roman"/>
          <w:bCs w:val="0"/>
          <w:color w:val="auto"/>
        </w:rPr>
      </w:pPr>
      <w:bookmarkStart w:id="294" w:name="_Toc144109271"/>
      <w:r>
        <w:rPr>
          <w:rFonts w:hint="eastAsia" w:ascii="Times New Roman" w:hAnsi="Times New Roman" w:cs="Times New Roman"/>
          <w:bCs w:val="0"/>
          <w:color w:val="auto"/>
        </w:rPr>
        <w:t>D</w:t>
      </w:r>
      <w:r>
        <w:rPr>
          <w:rFonts w:ascii="Times New Roman" w:hAnsi="Times New Roman" w:cs="Times New Roman"/>
          <w:bCs w:val="0"/>
          <w:color w:val="auto"/>
        </w:rPr>
        <w:t>.3 相关标准、规范</w:t>
      </w:r>
      <w:bookmarkEnd w:id="293"/>
      <w:bookmarkEnd w:id="294"/>
    </w:p>
    <w:p>
      <w:pPr>
        <w:spacing w:line="600" w:lineRule="exact"/>
        <w:ind w:firstLine="560" w:firstLineChars="200"/>
        <w:jc w:val="left"/>
        <w:rPr>
          <w:rFonts w:ascii="宋体" w:hAnsi="宋体"/>
          <w:color w:val="auto"/>
          <w:kern w:val="0"/>
          <w:sz w:val="28"/>
          <w:szCs w:val="28"/>
        </w:rPr>
      </w:pPr>
      <w:r>
        <w:rPr>
          <w:rFonts w:hint="eastAsia" w:ascii="宋体" w:hAnsi="宋体"/>
          <w:color w:val="auto"/>
          <w:kern w:val="0"/>
          <w:sz w:val="28"/>
          <w:szCs w:val="28"/>
        </w:rPr>
        <w:t xml:space="preserve">《化工企业总图运输设计规范》 </w:t>
      </w:r>
      <w:r>
        <w:rPr>
          <w:rFonts w:ascii="宋体" w:hAnsi="宋体"/>
          <w:color w:val="auto"/>
          <w:kern w:val="0"/>
          <w:sz w:val="28"/>
          <w:szCs w:val="28"/>
        </w:rPr>
        <w:t xml:space="preserve">              </w:t>
      </w:r>
      <w:r>
        <w:rPr>
          <w:rFonts w:hint="eastAsia" w:ascii="宋体" w:hAnsi="宋体"/>
          <w:color w:val="auto"/>
          <w:kern w:val="0"/>
          <w:sz w:val="28"/>
          <w:szCs w:val="28"/>
        </w:rPr>
        <w:t>GB</w:t>
      </w:r>
      <w:r>
        <w:rPr>
          <w:rFonts w:ascii="宋体" w:hAnsi="宋体"/>
          <w:color w:val="auto"/>
          <w:kern w:val="0"/>
          <w:sz w:val="28"/>
          <w:szCs w:val="28"/>
        </w:rPr>
        <w:t>50489-2009</w:t>
      </w:r>
    </w:p>
    <w:p>
      <w:pPr>
        <w:spacing w:line="600" w:lineRule="exact"/>
        <w:ind w:firstLine="560" w:firstLineChars="200"/>
        <w:jc w:val="left"/>
        <w:rPr>
          <w:rFonts w:ascii="宋体" w:hAnsi="宋体"/>
          <w:color w:val="auto"/>
          <w:kern w:val="0"/>
          <w:sz w:val="28"/>
          <w:szCs w:val="28"/>
        </w:rPr>
      </w:pPr>
      <w:r>
        <w:rPr>
          <w:rFonts w:ascii="宋体" w:hAnsi="宋体"/>
          <w:color w:val="auto"/>
          <w:kern w:val="0"/>
          <w:sz w:val="28"/>
          <w:szCs w:val="28"/>
        </w:rPr>
        <w:t>《建筑设计防火规范》 （2018年</w:t>
      </w:r>
      <w:r>
        <w:rPr>
          <w:rFonts w:hint="eastAsia" w:ascii="宋体" w:hAnsi="宋体"/>
          <w:color w:val="auto"/>
          <w:kern w:val="0"/>
          <w:sz w:val="28"/>
          <w:szCs w:val="28"/>
        </w:rPr>
        <w:t>版</w:t>
      </w:r>
      <w:r>
        <w:rPr>
          <w:rFonts w:ascii="宋体" w:hAnsi="宋体"/>
          <w:color w:val="auto"/>
          <w:kern w:val="0"/>
          <w:sz w:val="28"/>
          <w:szCs w:val="28"/>
        </w:rPr>
        <w:t>）          GB50016-2014</w:t>
      </w:r>
    </w:p>
    <w:p>
      <w:pPr>
        <w:tabs>
          <w:tab w:val="left" w:pos="6550"/>
        </w:tabs>
        <w:spacing w:line="600" w:lineRule="exact"/>
        <w:ind w:firstLine="560" w:firstLineChars="200"/>
        <w:jc w:val="left"/>
        <w:rPr>
          <w:rFonts w:ascii="宋体" w:hAnsi="宋体"/>
          <w:color w:val="auto"/>
          <w:sz w:val="28"/>
          <w:szCs w:val="28"/>
        </w:rPr>
      </w:pPr>
      <w:r>
        <w:rPr>
          <w:rFonts w:ascii="宋体" w:hAnsi="宋体"/>
          <w:color w:val="auto"/>
          <w:sz w:val="28"/>
          <w:szCs w:val="28"/>
        </w:rPr>
        <w:t xml:space="preserve">《工业企业总平面设计规范》     </w:t>
      </w:r>
      <w:r>
        <w:rPr>
          <w:rFonts w:ascii="宋体" w:hAnsi="宋体"/>
          <w:color w:val="auto"/>
          <w:sz w:val="28"/>
          <w:szCs w:val="28"/>
        </w:rPr>
        <w:tab/>
      </w:r>
      <w:r>
        <w:rPr>
          <w:rFonts w:ascii="宋体" w:hAnsi="宋体"/>
          <w:color w:val="auto"/>
          <w:sz w:val="28"/>
          <w:szCs w:val="28"/>
        </w:rPr>
        <w:t>GB50187-2012</w:t>
      </w:r>
    </w:p>
    <w:p>
      <w:pPr>
        <w:tabs>
          <w:tab w:val="left" w:pos="6550"/>
        </w:tabs>
        <w:spacing w:line="600" w:lineRule="exact"/>
        <w:ind w:firstLine="560" w:firstLineChars="200"/>
        <w:jc w:val="left"/>
        <w:rPr>
          <w:rFonts w:ascii="宋体" w:hAnsi="宋体"/>
          <w:color w:val="auto"/>
          <w:sz w:val="28"/>
          <w:szCs w:val="28"/>
        </w:rPr>
      </w:pPr>
      <w:r>
        <w:rPr>
          <w:rFonts w:hint="eastAsia" w:ascii="宋体" w:hAnsi="宋体"/>
          <w:color w:val="auto"/>
          <w:sz w:val="28"/>
          <w:szCs w:val="28"/>
        </w:rPr>
        <w:t xml:space="preserve">《精细化工企业工程设计防火标准》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51283-2020</w:t>
      </w:r>
    </w:p>
    <w:p>
      <w:pPr>
        <w:spacing w:line="600" w:lineRule="exact"/>
        <w:ind w:firstLine="560" w:firstLineChars="200"/>
        <w:rPr>
          <w:rFonts w:ascii="宋体" w:hAnsi="宋体"/>
          <w:color w:val="auto"/>
          <w:sz w:val="28"/>
          <w:szCs w:val="28"/>
        </w:rPr>
      </w:pPr>
      <w:r>
        <w:rPr>
          <w:rFonts w:ascii="宋体" w:hAnsi="宋体"/>
          <w:color w:val="auto"/>
          <w:sz w:val="28"/>
          <w:szCs w:val="28"/>
        </w:rPr>
        <w:t>《爆炸危险环境电力装置设计规范》           GB50058-2014</w:t>
      </w:r>
    </w:p>
    <w:p>
      <w:pPr>
        <w:spacing w:line="600" w:lineRule="exact"/>
        <w:ind w:firstLine="560" w:firstLineChars="200"/>
        <w:rPr>
          <w:rFonts w:ascii="宋体" w:hAnsi="宋体"/>
          <w:color w:val="auto"/>
        </w:rPr>
      </w:pPr>
      <w:r>
        <w:rPr>
          <w:rFonts w:ascii="宋体" w:hAnsi="宋体"/>
          <w:color w:val="auto"/>
          <w:sz w:val="28"/>
          <w:szCs w:val="28"/>
        </w:rPr>
        <w:t>《石油化工可燃气体和有毒气体检测报警设计标准》GB/T 50493-2019</w:t>
      </w:r>
    </w:p>
    <w:p>
      <w:pPr>
        <w:tabs>
          <w:tab w:val="left" w:pos="7585"/>
        </w:tabs>
        <w:spacing w:line="600" w:lineRule="exact"/>
        <w:ind w:firstLine="560" w:firstLineChars="200"/>
        <w:jc w:val="left"/>
        <w:rPr>
          <w:rFonts w:ascii="宋体" w:hAnsi="宋体"/>
          <w:color w:val="auto"/>
          <w:sz w:val="28"/>
          <w:szCs w:val="28"/>
        </w:rPr>
      </w:pPr>
      <w:r>
        <w:rPr>
          <w:rFonts w:ascii="宋体" w:hAnsi="宋体"/>
          <w:color w:val="auto"/>
          <w:sz w:val="28"/>
          <w:szCs w:val="28"/>
        </w:rPr>
        <w:t>《危险化学品重大危险源辨识》               GB18218-2018</w:t>
      </w:r>
    </w:p>
    <w:p>
      <w:pPr>
        <w:tabs>
          <w:tab w:val="left" w:pos="7585"/>
        </w:tabs>
        <w:spacing w:line="600" w:lineRule="exact"/>
        <w:ind w:firstLine="560" w:firstLineChars="200"/>
        <w:jc w:val="left"/>
        <w:rPr>
          <w:rFonts w:ascii="宋体" w:hAnsi="宋体"/>
          <w:color w:val="auto"/>
          <w:sz w:val="28"/>
          <w:szCs w:val="28"/>
        </w:rPr>
      </w:pPr>
      <w:r>
        <w:rPr>
          <w:rFonts w:ascii="宋体" w:hAnsi="宋体"/>
          <w:color w:val="auto"/>
          <w:sz w:val="28"/>
          <w:szCs w:val="28"/>
        </w:rPr>
        <w:t>《生产设备安全卫生设计总则》                GB5083-1999</w:t>
      </w:r>
    </w:p>
    <w:p>
      <w:pPr>
        <w:tabs>
          <w:tab w:val="left" w:pos="7045"/>
        </w:tabs>
        <w:spacing w:line="600" w:lineRule="exact"/>
        <w:ind w:firstLine="560" w:firstLineChars="200"/>
        <w:jc w:val="left"/>
        <w:rPr>
          <w:rFonts w:ascii="宋体" w:hAnsi="宋体"/>
          <w:color w:val="auto"/>
          <w:sz w:val="28"/>
          <w:szCs w:val="28"/>
        </w:rPr>
      </w:pPr>
      <w:r>
        <w:rPr>
          <w:rFonts w:ascii="宋体" w:hAnsi="宋体"/>
          <w:color w:val="auto"/>
          <w:sz w:val="28"/>
          <w:szCs w:val="28"/>
        </w:rPr>
        <w:t>《生产过程安全卫生要求总则》               GB12801-2008</w:t>
      </w:r>
    </w:p>
    <w:p>
      <w:pPr>
        <w:tabs>
          <w:tab w:val="left" w:pos="7585"/>
        </w:tabs>
        <w:spacing w:line="600" w:lineRule="exact"/>
        <w:ind w:firstLine="560" w:firstLineChars="200"/>
        <w:jc w:val="left"/>
        <w:rPr>
          <w:rFonts w:ascii="宋体" w:hAnsi="宋体"/>
          <w:color w:val="auto"/>
          <w:sz w:val="28"/>
          <w:szCs w:val="28"/>
        </w:rPr>
      </w:pPr>
      <w:r>
        <w:rPr>
          <w:rFonts w:ascii="宋体" w:hAnsi="宋体"/>
          <w:color w:val="auto"/>
          <w:sz w:val="28"/>
          <w:szCs w:val="28"/>
        </w:rPr>
        <w:t>《粉尘爆炸危险场所用除尘系统安全技术规范》  AQ4273-2016</w:t>
      </w:r>
    </w:p>
    <w:p>
      <w:pPr>
        <w:spacing w:line="600" w:lineRule="exact"/>
        <w:ind w:firstLine="560" w:firstLineChars="200"/>
        <w:jc w:val="left"/>
        <w:rPr>
          <w:rFonts w:ascii="宋体" w:hAnsi="宋体"/>
          <w:color w:val="auto"/>
          <w:sz w:val="28"/>
          <w:szCs w:val="28"/>
        </w:rPr>
      </w:pPr>
      <w:r>
        <w:rPr>
          <w:rFonts w:ascii="宋体" w:hAnsi="宋体"/>
          <w:color w:val="auto"/>
          <w:sz w:val="28"/>
          <w:szCs w:val="28"/>
        </w:rPr>
        <w:t>《建筑抗震设计规范》（2016年版</w:t>
      </w:r>
      <w:r>
        <w:rPr>
          <w:rFonts w:ascii="宋体" w:hAnsi="宋体"/>
          <w:color w:val="auto"/>
          <w:sz w:val="28"/>
          <w:szCs w:val="28"/>
        </w:rPr>
        <w:tab/>
      </w:r>
      <w:r>
        <w:rPr>
          <w:rFonts w:ascii="宋体" w:hAnsi="宋体"/>
          <w:color w:val="auto"/>
          <w:sz w:val="28"/>
          <w:szCs w:val="28"/>
        </w:rPr>
        <w:t>）         GB50011-2010</w:t>
      </w:r>
    </w:p>
    <w:p>
      <w:pPr>
        <w:spacing w:line="600" w:lineRule="exact"/>
        <w:ind w:firstLine="560" w:firstLineChars="200"/>
        <w:jc w:val="left"/>
        <w:rPr>
          <w:rFonts w:ascii="宋体" w:hAnsi="宋体"/>
          <w:color w:val="auto"/>
          <w:sz w:val="28"/>
          <w:szCs w:val="28"/>
        </w:rPr>
      </w:pPr>
      <w:r>
        <w:rPr>
          <w:rFonts w:hint="eastAsia" w:ascii="宋体" w:hAnsi="宋体"/>
          <w:color w:val="auto"/>
          <w:sz w:val="28"/>
          <w:szCs w:val="28"/>
        </w:rPr>
        <w:t xml:space="preserve">《建筑防火通用规范》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55037-2022</w:t>
      </w:r>
    </w:p>
    <w:p>
      <w:pPr>
        <w:spacing w:line="600" w:lineRule="exact"/>
        <w:ind w:firstLine="560" w:firstLineChars="200"/>
        <w:jc w:val="left"/>
        <w:rPr>
          <w:rFonts w:ascii="宋体" w:hAnsi="宋体"/>
          <w:color w:val="auto"/>
          <w:sz w:val="28"/>
          <w:szCs w:val="28"/>
        </w:rPr>
      </w:pPr>
      <w:r>
        <w:rPr>
          <w:rFonts w:hint="eastAsia" w:ascii="宋体" w:hAnsi="宋体"/>
          <w:color w:val="auto"/>
          <w:sz w:val="28"/>
          <w:szCs w:val="28"/>
        </w:rPr>
        <w:t xml:space="preserve">《消防设施通用规范》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55036-2022</w:t>
      </w:r>
    </w:p>
    <w:p>
      <w:pPr>
        <w:spacing w:line="600" w:lineRule="exact"/>
        <w:ind w:firstLine="560" w:firstLineChars="200"/>
        <w:jc w:val="left"/>
        <w:rPr>
          <w:rFonts w:ascii="宋体" w:hAnsi="宋体"/>
          <w:color w:val="auto"/>
          <w:sz w:val="28"/>
          <w:szCs w:val="28"/>
        </w:rPr>
      </w:pPr>
      <w:r>
        <w:rPr>
          <w:rFonts w:ascii="宋体" w:hAnsi="宋体"/>
          <w:color w:val="auto"/>
          <w:sz w:val="28"/>
          <w:szCs w:val="28"/>
        </w:rPr>
        <w:t>《建筑物防雷设计规范》                     GB50057-2010</w:t>
      </w:r>
    </w:p>
    <w:p>
      <w:pPr>
        <w:tabs>
          <w:tab w:val="left" w:pos="7045"/>
        </w:tabs>
        <w:spacing w:line="600" w:lineRule="exact"/>
        <w:ind w:firstLine="560" w:firstLineChars="200"/>
        <w:jc w:val="left"/>
        <w:rPr>
          <w:rFonts w:ascii="宋体" w:hAnsi="宋体"/>
          <w:color w:val="auto"/>
          <w:sz w:val="28"/>
          <w:szCs w:val="28"/>
        </w:rPr>
      </w:pPr>
      <w:r>
        <w:rPr>
          <w:rFonts w:ascii="宋体" w:hAnsi="宋体"/>
          <w:color w:val="auto"/>
          <w:sz w:val="28"/>
          <w:szCs w:val="28"/>
        </w:rPr>
        <w:t>《建筑地基基础设计规范》                   GB50007-2011</w:t>
      </w:r>
    </w:p>
    <w:p>
      <w:pPr>
        <w:tabs>
          <w:tab w:val="left" w:pos="7045"/>
        </w:tabs>
        <w:spacing w:line="600" w:lineRule="exact"/>
        <w:ind w:firstLine="560" w:firstLineChars="200"/>
        <w:jc w:val="left"/>
        <w:rPr>
          <w:rFonts w:ascii="宋体" w:hAnsi="宋体"/>
          <w:color w:val="auto"/>
          <w:kern w:val="0"/>
          <w:sz w:val="28"/>
          <w:szCs w:val="28"/>
        </w:rPr>
      </w:pPr>
      <w:r>
        <w:rPr>
          <w:rFonts w:ascii="宋体" w:hAnsi="宋体"/>
          <w:color w:val="auto"/>
          <w:kern w:val="0"/>
          <w:sz w:val="28"/>
          <w:szCs w:val="28"/>
        </w:rPr>
        <w:t>《消防给水及消火栓系统技术规范》           GB50974-2014</w:t>
      </w:r>
    </w:p>
    <w:p>
      <w:pPr>
        <w:tabs>
          <w:tab w:val="left" w:pos="7045"/>
        </w:tabs>
        <w:spacing w:line="600" w:lineRule="exact"/>
        <w:ind w:firstLine="560" w:firstLineChars="200"/>
        <w:jc w:val="left"/>
        <w:rPr>
          <w:rFonts w:ascii="宋体" w:hAnsi="宋体"/>
          <w:color w:val="auto"/>
          <w:kern w:val="0"/>
          <w:sz w:val="28"/>
          <w:szCs w:val="28"/>
        </w:rPr>
      </w:pPr>
      <w:r>
        <w:rPr>
          <w:rFonts w:ascii="宋体" w:hAnsi="宋体"/>
          <w:color w:val="auto"/>
          <w:kern w:val="0"/>
          <w:sz w:val="28"/>
          <w:szCs w:val="28"/>
        </w:rPr>
        <w:t>《供配电系统设计规范》                     GB50052-2009</w:t>
      </w:r>
    </w:p>
    <w:p>
      <w:pPr>
        <w:tabs>
          <w:tab w:val="left" w:pos="7045"/>
        </w:tabs>
        <w:spacing w:line="600" w:lineRule="exact"/>
        <w:ind w:firstLine="560" w:firstLineChars="200"/>
        <w:jc w:val="left"/>
        <w:rPr>
          <w:rFonts w:ascii="宋体" w:hAnsi="宋体"/>
          <w:color w:val="auto"/>
        </w:rPr>
      </w:pPr>
      <w:r>
        <w:rPr>
          <w:rFonts w:ascii="宋体" w:hAnsi="宋体"/>
          <w:color w:val="auto"/>
          <w:sz w:val="28"/>
          <w:szCs w:val="28"/>
        </w:rPr>
        <w:t>《电力工程电缆设计</w:t>
      </w:r>
      <w:r>
        <w:rPr>
          <w:rFonts w:hint="eastAsia" w:ascii="宋体" w:hAnsi="宋体"/>
          <w:color w:val="auto"/>
          <w:sz w:val="28"/>
          <w:szCs w:val="28"/>
        </w:rPr>
        <w:t>标准</w:t>
      </w:r>
      <w:r>
        <w:rPr>
          <w:rFonts w:ascii="宋体" w:hAnsi="宋体"/>
          <w:color w:val="auto"/>
          <w:sz w:val="28"/>
          <w:szCs w:val="28"/>
        </w:rPr>
        <w:t>》                   GB50217-20</w:t>
      </w:r>
      <w:r>
        <w:rPr>
          <w:rFonts w:hint="eastAsia" w:ascii="宋体" w:hAnsi="宋体"/>
          <w:color w:val="auto"/>
          <w:sz w:val="28"/>
          <w:szCs w:val="28"/>
        </w:rPr>
        <w:t>18</w:t>
      </w:r>
    </w:p>
    <w:p>
      <w:pPr>
        <w:tabs>
          <w:tab w:val="left" w:pos="4835"/>
        </w:tabs>
        <w:spacing w:line="600" w:lineRule="exact"/>
        <w:ind w:firstLine="560" w:firstLineChars="200"/>
        <w:jc w:val="left"/>
        <w:rPr>
          <w:rFonts w:ascii="宋体" w:hAnsi="宋体"/>
          <w:color w:val="auto"/>
          <w:sz w:val="28"/>
          <w:szCs w:val="28"/>
        </w:rPr>
      </w:pPr>
      <w:r>
        <w:rPr>
          <w:rFonts w:ascii="宋体" w:hAnsi="宋体"/>
          <w:color w:val="auto"/>
          <w:sz w:val="28"/>
          <w:szCs w:val="28"/>
        </w:rPr>
        <w:t>《20kv及以下变电所设计规范》               GB50053-2013</w:t>
      </w:r>
    </w:p>
    <w:p>
      <w:pPr>
        <w:spacing w:line="600" w:lineRule="exact"/>
        <w:ind w:firstLine="560" w:firstLineChars="200"/>
        <w:jc w:val="left"/>
        <w:rPr>
          <w:rFonts w:ascii="宋体" w:hAnsi="宋体"/>
          <w:color w:val="auto"/>
          <w:kern w:val="0"/>
          <w:sz w:val="28"/>
          <w:szCs w:val="28"/>
        </w:rPr>
      </w:pPr>
      <w:r>
        <w:rPr>
          <w:rFonts w:ascii="宋体" w:hAnsi="宋体"/>
          <w:color w:val="auto"/>
          <w:kern w:val="0"/>
          <w:sz w:val="28"/>
          <w:szCs w:val="28"/>
        </w:rPr>
        <w:t>《电力装置的继电保护和自动装置设计规范》 GB</w:t>
      </w:r>
      <w:r>
        <w:rPr>
          <w:rFonts w:hint="eastAsia" w:ascii="宋体" w:hAnsi="宋体"/>
          <w:color w:val="auto"/>
          <w:kern w:val="0"/>
          <w:sz w:val="28"/>
          <w:szCs w:val="28"/>
        </w:rPr>
        <w:t xml:space="preserve">/T </w:t>
      </w:r>
      <w:r>
        <w:rPr>
          <w:rFonts w:ascii="宋体" w:hAnsi="宋体"/>
          <w:color w:val="auto"/>
          <w:kern w:val="0"/>
          <w:sz w:val="28"/>
          <w:szCs w:val="28"/>
        </w:rPr>
        <w:t>50062-2008</w:t>
      </w:r>
    </w:p>
    <w:p>
      <w:pPr>
        <w:tabs>
          <w:tab w:val="left" w:pos="4835"/>
        </w:tabs>
        <w:spacing w:line="600" w:lineRule="exact"/>
        <w:ind w:firstLine="560" w:firstLineChars="200"/>
        <w:jc w:val="left"/>
        <w:rPr>
          <w:rFonts w:ascii="宋体" w:hAnsi="宋体"/>
          <w:color w:val="auto"/>
          <w:sz w:val="28"/>
          <w:szCs w:val="28"/>
        </w:rPr>
      </w:pPr>
      <w:r>
        <w:rPr>
          <w:rFonts w:ascii="宋体" w:hAnsi="宋体"/>
          <w:color w:val="auto"/>
          <w:sz w:val="28"/>
          <w:szCs w:val="28"/>
        </w:rPr>
        <w:t>《电力变压器运行规程》                      DL/T572-2010</w:t>
      </w:r>
    </w:p>
    <w:p>
      <w:pPr>
        <w:spacing w:line="600" w:lineRule="exact"/>
        <w:ind w:firstLine="560" w:firstLineChars="200"/>
        <w:jc w:val="left"/>
        <w:rPr>
          <w:rFonts w:ascii="宋体" w:hAnsi="宋体"/>
          <w:color w:val="auto"/>
          <w:sz w:val="28"/>
          <w:szCs w:val="28"/>
        </w:rPr>
      </w:pPr>
      <w:r>
        <w:rPr>
          <w:rFonts w:ascii="宋体" w:hAnsi="宋体"/>
          <w:color w:val="auto"/>
          <w:sz w:val="28"/>
          <w:szCs w:val="28"/>
        </w:rPr>
        <w:t>《系统接地的型式及安全技术要求》           GB14050-2008</w:t>
      </w:r>
    </w:p>
    <w:p>
      <w:pPr>
        <w:spacing w:line="600" w:lineRule="exact"/>
        <w:ind w:firstLine="560" w:firstLineChars="200"/>
        <w:jc w:val="left"/>
        <w:rPr>
          <w:rFonts w:ascii="宋体" w:hAnsi="宋体"/>
          <w:color w:val="auto"/>
          <w:kern w:val="0"/>
          <w:sz w:val="28"/>
          <w:szCs w:val="28"/>
        </w:rPr>
      </w:pPr>
      <w:r>
        <w:rPr>
          <w:rFonts w:ascii="宋体" w:hAnsi="宋体"/>
          <w:color w:val="auto"/>
          <w:kern w:val="0"/>
          <w:sz w:val="28"/>
          <w:szCs w:val="28"/>
        </w:rPr>
        <w:t>《建筑灭火器配置设计规范》                 GB50140-2005</w:t>
      </w:r>
    </w:p>
    <w:p>
      <w:pPr>
        <w:spacing w:line="600" w:lineRule="exact"/>
        <w:ind w:firstLine="560" w:firstLineChars="200"/>
        <w:jc w:val="left"/>
        <w:rPr>
          <w:rFonts w:ascii="宋体" w:hAnsi="宋体"/>
          <w:color w:val="auto"/>
          <w:sz w:val="28"/>
          <w:szCs w:val="28"/>
          <w:lang w:val="zh-CN"/>
        </w:rPr>
      </w:pPr>
      <w:r>
        <w:rPr>
          <w:rFonts w:ascii="宋体" w:hAnsi="宋体"/>
          <w:color w:val="auto"/>
          <w:sz w:val="28"/>
          <w:szCs w:val="28"/>
          <w:lang w:val="zh-CN"/>
        </w:rPr>
        <w:t xml:space="preserve">《压缩空气站设计规范》            </w:t>
      </w:r>
      <w:r>
        <w:rPr>
          <w:rFonts w:ascii="宋体" w:hAnsi="宋体"/>
          <w:color w:val="auto"/>
          <w:sz w:val="28"/>
          <w:szCs w:val="28"/>
        </w:rPr>
        <w:t xml:space="preserve"> </w:t>
      </w:r>
      <w:r>
        <w:rPr>
          <w:rFonts w:ascii="宋体" w:hAnsi="宋体"/>
          <w:color w:val="auto"/>
          <w:sz w:val="28"/>
          <w:szCs w:val="28"/>
          <w:lang w:val="zh-CN"/>
        </w:rPr>
        <w:t xml:space="preserve">     </w:t>
      </w:r>
      <w:r>
        <w:rPr>
          <w:rFonts w:ascii="宋体" w:hAnsi="宋体"/>
          <w:color w:val="auto"/>
          <w:sz w:val="28"/>
          <w:szCs w:val="28"/>
        </w:rPr>
        <w:t xml:space="preserve">   </w:t>
      </w:r>
      <w:r>
        <w:rPr>
          <w:rFonts w:ascii="宋体" w:hAnsi="宋体"/>
          <w:color w:val="auto"/>
          <w:sz w:val="28"/>
          <w:szCs w:val="28"/>
          <w:lang w:val="zh-CN"/>
        </w:rPr>
        <w:t>GB50029-2014</w:t>
      </w:r>
    </w:p>
    <w:p>
      <w:pPr>
        <w:spacing w:line="600" w:lineRule="exact"/>
        <w:ind w:firstLine="560" w:firstLineChars="200"/>
        <w:rPr>
          <w:rFonts w:ascii="宋体" w:hAnsi="宋体"/>
          <w:color w:val="auto"/>
          <w:sz w:val="28"/>
          <w:szCs w:val="28"/>
        </w:rPr>
      </w:pPr>
      <w:r>
        <w:rPr>
          <w:rFonts w:ascii="宋体" w:hAnsi="宋体"/>
          <w:color w:val="auto"/>
          <w:sz w:val="28"/>
          <w:szCs w:val="28"/>
        </w:rPr>
        <w:t>《固定式压力容器安全技术监察规程》           TSG21-2016</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《场（厂）内专用机动车辆安全技术规程》 </w:t>
      </w:r>
      <w:r>
        <w:rPr>
          <w:rFonts w:ascii="宋体" w:hAnsi="宋体"/>
          <w:color w:val="auto"/>
          <w:sz w:val="28"/>
          <w:szCs w:val="28"/>
        </w:rPr>
        <w:t xml:space="preserve">      </w:t>
      </w:r>
      <w:r>
        <w:rPr>
          <w:rFonts w:hint="eastAsia" w:ascii="宋体" w:hAnsi="宋体"/>
          <w:color w:val="auto"/>
          <w:sz w:val="28"/>
          <w:szCs w:val="28"/>
        </w:rPr>
        <w:t>TSG</w:t>
      </w:r>
      <w:r>
        <w:rPr>
          <w:rFonts w:ascii="宋体" w:hAnsi="宋体"/>
          <w:color w:val="auto"/>
          <w:sz w:val="28"/>
          <w:szCs w:val="28"/>
        </w:rPr>
        <w:t>81-2022</w:t>
      </w:r>
    </w:p>
    <w:p>
      <w:pPr>
        <w:spacing w:line="600" w:lineRule="exact"/>
        <w:ind w:firstLine="560" w:firstLineChars="200"/>
        <w:rPr>
          <w:rFonts w:ascii="宋体" w:hAnsi="宋体"/>
          <w:color w:val="auto"/>
          <w:sz w:val="28"/>
          <w:szCs w:val="28"/>
        </w:rPr>
      </w:pPr>
      <w:r>
        <w:rPr>
          <w:rFonts w:ascii="宋体" w:hAnsi="宋体"/>
          <w:color w:val="auto"/>
          <w:sz w:val="28"/>
          <w:szCs w:val="28"/>
        </w:rPr>
        <w:t>《固定式压力容器》                    GB150.1~150.4-2011</w:t>
      </w:r>
    </w:p>
    <w:p>
      <w:pPr>
        <w:spacing w:line="600" w:lineRule="exact"/>
        <w:ind w:firstLine="560" w:firstLineChars="200"/>
        <w:rPr>
          <w:rFonts w:ascii="宋体" w:hAnsi="宋体"/>
          <w:color w:val="auto"/>
          <w:sz w:val="28"/>
          <w:szCs w:val="28"/>
        </w:rPr>
      </w:pPr>
      <w:r>
        <w:rPr>
          <w:rFonts w:ascii="宋体" w:hAnsi="宋体"/>
          <w:color w:val="auto"/>
          <w:sz w:val="28"/>
          <w:szCs w:val="28"/>
        </w:rPr>
        <w:t>《建筑给水排水设计</w:t>
      </w:r>
      <w:r>
        <w:rPr>
          <w:rFonts w:hint="eastAsia" w:ascii="宋体" w:hAnsi="宋体"/>
          <w:color w:val="auto"/>
          <w:sz w:val="28"/>
          <w:szCs w:val="28"/>
        </w:rPr>
        <w:t>标准</w:t>
      </w:r>
      <w:r>
        <w:rPr>
          <w:rFonts w:ascii="宋体" w:hAnsi="宋体"/>
          <w:color w:val="auto"/>
          <w:sz w:val="28"/>
          <w:szCs w:val="28"/>
        </w:rPr>
        <w:t>》</w:t>
      </w:r>
      <w:r>
        <w:rPr>
          <w:rFonts w:hint="eastAsia" w:ascii="宋体" w:hAnsi="宋体"/>
          <w:color w:val="auto"/>
          <w:sz w:val="28"/>
          <w:szCs w:val="28"/>
        </w:rPr>
        <w:t xml:space="preserve">                  </w:t>
      </w:r>
      <w:r>
        <w:rPr>
          <w:rFonts w:ascii="宋体" w:hAnsi="宋体"/>
          <w:color w:val="auto"/>
          <w:sz w:val="28"/>
          <w:szCs w:val="28"/>
        </w:rPr>
        <w:t>GB 50015-2019</w:t>
      </w:r>
    </w:p>
    <w:p>
      <w:pPr>
        <w:spacing w:line="600" w:lineRule="exact"/>
        <w:ind w:firstLine="560" w:firstLineChars="200"/>
        <w:rPr>
          <w:rFonts w:ascii="宋体" w:hAnsi="宋体"/>
          <w:color w:val="auto"/>
          <w:sz w:val="28"/>
          <w:szCs w:val="28"/>
        </w:rPr>
      </w:pPr>
      <w:r>
        <w:rPr>
          <w:rFonts w:ascii="宋体" w:hAnsi="宋体"/>
          <w:color w:val="auto"/>
          <w:sz w:val="28"/>
          <w:szCs w:val="28"/>
        </w:rPr>
        <w:t>《工业金属管道设计规范》         GB50316-2000（2008版）</w:t>
      </w:r>
    </w:p>
    <w:p>
      <w:pPr>
        <w:spacing w:line="600" w:lineRule="exact"/>
        <w:ind w:firstLine="560" w:firstLineChars="200"/>
        <w:rPr>
          <w:rFonts w:ascii="宋体" w:hAnsi="宋体"/>
          <w:color w:val="auto"/>
          <w:sz w:val="28"/>
          <w:szCs w:val="28"/>
        </w:rPr>
      </w:pPr>
      <w:r>
        <w:rPr>
          <w:rFonts w:ascii="宋体" w:hAnsi="宋体"/>
          <w:color w:val="auto"/>
          <w:sz w:val="28"/>
          <w:szCs w:val="28"/>
        </w:rPr>
        <w:t>《易燃易爆性商品储存养护技术条件》         GB 17914-2013</w:t>
      </w:r>
    </w:p>
    <w:p>
      <w:pPr>
        <w:spacing w:line="600" w:lineRule="exact"/>
        <w:ind w:firstLine="560" w:firstLineChars="200"/>
        <w:rPr>
          <w:rFonts w:ascii="宋体" w:hAnsi="宋体"/>
          <w:color w:val="auto"/>
          <w:sz w:val="28"/>
          <w:szCs w:val="28"/>
        </w:rPr>
      </w:pPr>
      <w:r>
        <w:rPr>
          <w:rFonts w:ascii="宋体" w:hAnsi="宋体"/>
          <w:color w:val="auto"/>
          <w:sz w:val="28"/>
          <w:szCs w:val="28"/>
        </w:rPr>
        <w:t>《毒害性商品储存养护技术条件》             GB 17916-2013</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《高毒物品作业岗位职业病危害告知规范》 </w:t>
      </w:r>
      <w:r>
        <w:rPr>
          <w:rFonts w:ascii="宋体" w:hAnsi="宋体"/>
          <w:color w:val="auto"/>
          <w:sz w:val="28"/>
          <w:szCs w:val="28"/>
        </w:rPr>
        <w:t xml:space="preserve">    </w:t>
      </w:r>
      <w:r>
        <w:rPr>
          <w:rFonts w:hint="eastAsia" w:ascii="宋体" w:hAnsi="宋体"/>
          <w:color w:val="auto"/>
          <w:sz w:val="28"/>
          <w:szCs w:val="28"/>
        </w:rPr>
        <w:t>GBZ</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203-2007</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《石油化工建筑物抗爆设计标准》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 xml:space="preserve"> 50779-2022</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《石油化工安全仪表系统设计规范》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 xml:space="preserve"> 50770-2013</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《控制室设计规范》 </w:t>
      </w:r>
      <w:r>
        <w:rPr>
          <w:rFonts w:ascii="宋体" w:hAnsi="宋体"/>
          <w:color w:val="auto"/>
          <w:sz w:val="28"/>
          <w:szCs w:val="28"/>
        </w:rPr>
        <w:t xml:space="preserve">                        </w:t>
      </w:r>
      <w:r>
        <w:rPr>
          <w:rFonts w:hint="eastAsia" w:ascii="宋体" w:hAnsi="宋体"/>
          <w:color w:val="auto"/>
          <w:sz w:val="28"/>
          <w:szCs w:val="28"/>
        </w:rPr>
        <w:t>HG</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 xml:space="preserve"> 20508-2014</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《仪表供电设计规范》 </w:t>
      </w:r>
      <w:r>
        <w:rPr>
          <w:rFonts w:ascii="宋体" w:hAnsi="宋体"/>
          <w:color w:val="auto"/>
          <w:sz w:val="28"/>
          <w:szCs w:val="28"/>
        </w:rPr>
        <w:t xml:space="preserve">                      </w:t>
      </w:r>
      <w:r>
        <w:rPr>
          <w:rFonts w:hint="eastAsia" w:ascii="宋体" w:hAnsi="宋体"/>
          <w:color w:val="auto"/>
          <w:sz w:val="28"/>
          <w:szCs w:val="28"/>
        </w:rPr>
        <w:t>HG</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 xml:space="preserve"> 20509-2014</w:t>
      </w:r>
    </w:p>
    <w:p>
      <w:pPr>
        <w:spacing w:line="600" w:lineRule="exact"/>
        <w:ind w:firstLine="560" w:firstLineChars="200"/>
        <w:rPr>
          <w:rFonts w:ascii="宋体" w:hAnsi="宋体"/>
          <w:color w:val="auto"/>
          <w:sz w:val="28"/>
          <w:szCs w:val="28"/>
        </w:rPr>
      </w:pPr>
      <w:r>
        <w:rPr>
          <w:rFonts w:ascii="宋体" w:hAnsi="宋体"/>
          <w:color w:val="auto"/>
          <w:sz w:val="28"/>
          <w:szCs w:val="28"/>
        </w:rPr>
        <w:t>《腐蚀性商品储存养护技术条件》             GB 17915-2013</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《危险化学品仓库储存通则》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15603-2022</w:t>
      </w:r>
    </w:p>
    <w:p>
      <w:pPr>
        <w:spacing w:line="600" w:lineRule="exact"/>
        <w:ind w:firstLine="560" w:firstLineChars="200"/>
        <w:rPr>
          <w:rFonts w:ascii="宋体" w:hAnsi="宋体"/>
          <w:color w:val="auto"/>
          <w:sz w:val="28"/>
          <w:szCs w:val="28"/>
        </w:rPr>
      </w:pPr>
      <w:r>
        <w:rPr>
          <w:rFonts w:ascii="宋体" w:hAnsi="宋体"/>
          <w:color w:val="auto"/>
          <w:sz w:val="28"/>
          <w:szCs w:val="28"/>
        </w:rPr>
        <w:t>《防止静电事故通用导则》                   GB 12158-2006</w:t>
      </w:r>
    </w:p>
    <w:p>
      <w:pPr>
        <w:spacing w:line="600" w:lineRule="exact"/>
        <w:ind w:firstLine="560" w:firstLineChars="200"/>
        <w:rPr>
          <w:rFonts w:ascii="宋体" w:hAnsi="宋体"/>
          <w:color w:val="auto"/>
          <w:sz w:val="28"/>
          <w:szCs w:val="28"/>
        </w:rPr>
      </w:pPr>
      <w:r>
        <w:rPr>
          <w:rFonts w:ascii="宋体" w:hAnsi="宋体"/>
          <w:color w:val="auto"/>
          <w:sz w:val="28"/>
          <w:szCs w:val="28"/>
        </w:rPr>
        <w:t>《火灾自动报警系统设计规范》               GB50116-2013</w:t>
      </w:r>
    </w:p>
    <w:p>
      <w:pPr>
        <w:spacing w:line="600" w:lineRule="exact"/>
        <w:ind w:firstLine="560" w:firstLineChars="200"/>
        <w:rPr>
          <w:rFonts w:ascii="宋体" w:hAnsi="宋体"/>
          <w:color w:val="auto"/>
          <w:sz w:val="28"/>
          <w:szCs w:val="28"/>
        </w:rPr>
      </w:pPr>
      <w:r>
        <w:rPr>
          <w:rFonts w:ascii="宋体" w:hAnsi="宋体"/>
          <w:color w:val="auto"/>
          <w:sz w:val="28"/>
          <w:szCs w:val="28"/>
        </w:rPr>
        <w:t>《以噪声为主的工业企业卫生防护距离标准》   GB18083-2003</w:t>
      </w:r>
    </w:p>
    <w:p>
      <w:pPr>
        <w:spacing w:line="600" w:lineRule="exact"/>
        <w:ind w:firstLine="560" w:firstLineChars="200"/>
        <w:rPr>
          <w:rFonts w:ascii="宋体" w:hAnsi="宋体"/>
          <w:color w:val="auto"/>
          <w:sz w:val="28"/>
          <w:szCs w:val="28"/>
        </w:rPr>
      </w:pPr>
      <w:r>
        <w:rPr>
          <w:rFonts w:ascii="宋体" w:hAnsi="宋体"/>
          <w:color w:val="auto"/>
          <w:sz w:val="28"/>
          <w:szCs w:val="28"/>
        </w:rPr>
        <w:t>《工业建筑供暖通风与空气调节设计规范》     GB50019-2015</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《工业建筑防腐蚀设计标准》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w:t>
      </w:r>
      <w:r>
        <w:rPr>
          <w:rFonts w:hint="eastAsia" w:ascii="宋体" w:hAnsi="宋体"/>
          <w:color w:val="auto"/>
          <w:sz w:val="28"/>
          <w:szCs w:val="28"/>
        </w:rPr>
        <w:t>T</w:t>
      </w:r>
      <w:r>
        <w:rPr>
          <w:rFonts w:ascii="宋体" w:hAnsi="宋体"/>
          <w:color w:val="auto"/>
          <w:sz w:val="28"/>
          <w:szCs w:val="28"/>
        </w:rPr>
        <w:t>50046-2018</w:t>
      </w:r>
    </w:p>
    <w:p>
      <w:pPr>
        <w:spacing w:line="600" w:lineRule="exact"/>
        <w:ind w:firstLine="560" w:firstLineChars="200"/>
        <w:rPr>
          <w:rFonts w:ascii="宋体" w:hAnsi="宋体"/>
          <w:color w:val="auto"/>
          <w:sz w:val="28"/>
          <w:szCs w:val="28"/>
        </w:rPr>
      </w:pPr>
      <w:r>
        <w:rPr>
          <w:rFonts w:ascii="宋体" w:hAnsi="宋体"/>
          <w:color w:val="auto"/>
          <w:sz w:val="28"/>
          <w:szCs w:val="28"/>
        </w:rPr>
        <w:t>《工业企业厂内铁路</w:t>
      </w:r>
      <w:r>
        <w:rPr>
          <w:rFonts w:hint="eastAsia" w:ascii="宋体" w:hAnsi="宋体"/>
          <w:color w:val="auto"/>
          <w:sz w:val="28"/>
          <w:szCs w:val="28"/>
        </w:rPr>
        <w:t>、</w:t>
      </w:r>
      <w:r>
        <w:rPr>
          <w:rFonts w:ascii="宋体" w:hAnsi="宋体"/>
          <w:color w:val="auto"/>
          <w:sz w:val="28"/>
          <w:szCs w:val="28"/>
        </w:rPr>
        <w:t>道路运输安全规程》        GB4387-2008</w:t>
      </w:r>
    </w:p>
    <w:p>
      <w:pPr>
        <w:spacing w:line="600" w:lineRule="exact"/>
        <w:ind w:firstLine="560" w:firstLineChars="200"/>
        <w:rPr>
          <w:rFonts w:ascii="宋体" w:hAnsi="宋体"/>
          <w:color w:val="auto"/>
          <w:sz w:val="28"/>
          <w:szCs w:val="28"/>
        </w:rPr>
      </w:pPr>
      <w:r>
        <w:rPr>
          <w:rFonts w:ascii="宋体" w:hAnsi="宋体"/>
          <w:color w:val="auto"/>
          <w:sz w:val="28"/>
          <w:szCs w:val="28"/>
        </w:rPr>
        <w:t>《压力管道安全技术监察规程-工业管道》     TSG D0001-2009</w:t>
      </w:r>
    </w:p>
    <w:p>
      <w:pPr>
        <w:spacing w:line="600" w:lineRule="exact"/>
        <w:ind w:firstLine="560" w:firstLineChars="200"/>
        <w:rPr>
          <w:rFonts w:ascii="宋体" w:hAnsi="宋体"/>
          <w:color w:val="auto"/>
          <w:sz w:val="28"/>
          <w:szCs w:val="28"/>
        </w:rPr>
      </w:pPr>
      <w:r>
        <w:rPr>
          <w:rFonts w:ascii="宋体" w:hAnsi="宋体"/>
          <w:color w:val="auto"/>
          <w:sz w:val="28"/>
          <w:szCs w:val="28"/>
        </w:rPr>
        <w:t>《建筑照明设计标准》                       GB50034-2013</w:t>
      </w:r>
    </w:p>
    <w:p>
      <w:pPr>
        <w:spacing w:line="600" w:lineRule="exact"/>
        <w:ind w:firstLine="560" w:firstLineChars="200"/>
        <w:rPr>
          <w:rFonts w:ascii="宋体" w:hAnsi="宋体"/>
          <w:color w:val="auto"/>
          <w:sz w:val="28"/>
          <w:szCs w:val="28"/>
        </w:rPr>
      </w:pPr>
      <w:r>
        <w:rPr>
          <w:rFonts w:ascii="宋体" w:hAnsi="宋体"/>
          <w:color w:val="auto"/>
          <w:sz w:val="28"/>
          <w:szCs w:val="28"/>
        </w:rPr>
        <w:t>《建筑采光设计标准》                       GB50033-2013</w:t>
      </w:r>
    </w:p>
    <w:p>
      <w:pPr>
        <w:spacing w:line="600" w:lineRule="exact"/>
        <w:ind w:firstLine="560" w:firstLineChars="200"/>
        <w:rPr>
          <w:rFonts w:ascii="宋体" w:hAnsi="宋体"/>
          <w:color w:val="auto"/>
          <w:sz w:val="28"/>
          <w:szCs w:val="28"/>
        </w:rPr>
      </w:pPr>
      <w:r>
        <w:rPr>
          <w:rFonts w:ascii="宋体" w:hAnsi="宋体"/>
          <w:color w:val="auto"/>
          <w:sz w:val="28"/>
          <w:szCs w:val="28"/>
        </w:rPr>
        <w:t>《工业企业厂界环境噪声排放标准》           GB12348-2008</w:t>
      </w:r>
    </w:p>
    <w:p>
      <w:pPr>
        <w:ind w:firstLine="560" w:firstLineChars="200"/>
        <w:rPr>
          <w:rFonts w:ascii="宋体" w:hAnsi="宋体"/>
          <w:color w:val="auto"/>
        </w:rPr>
      </w:pPr>
      <w:r>
        <w:rPr>
          <w:rFonts w:hint="eastAsia" w:ascii="宋体" w:hAnsi="宋体"/>
          <w:color w:val="auto"/>
          <w:sz w:val="28"/>
          <w:szCs w:val="28"/>
        </w:rPr>
        <w:t xml:space="preserve">《工业企业噪声控制设计规范》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50087-2013</w:t>
      </w:r>
    </w:p>
    <w:p>
      <w:pPr>
        <w:spacing w:line="600" w:lineRule="exact"/>
        <w:ind w:firstLine="560" w:firstLineChars="200"/>
        <w:rPr>
          <w:rFonts w:ascii="宋体" w:hAnsi="宋体"/>
          <w:color w:val="auto"/>
          <w:sz w:val="28"/>
          <w:szCs w:val="28"/>
        </w:rPr>
      </w:pPr>
      <w:r>
        <w:rPr>
          <w:rFonts w:ascii="宋体" w:hAnsi="宋体"/>
          <w:color w:val="auto"/>
          <w:sz w:val="28"/>
          <w:szCs w:val="28"/>
        </w:rPr>
        <w:t>《固定式钢梯及平台安全要求 第1部分：钢直梯》   GB4053.1-2009</w:t>
      </w:r>
    </w:p>
    <w:p>
      <w:pPr>
        <w:spacing w:line="600" w:lineRule="exact"/>
        <w:ind w:firstLine="560" w:firstLineChars="200"/>
        <w:rPr>
          <w:rFonts w:ascii="宋体" w:hAnsi="宋体"/>
          <w:color w:val="auto"/>
          <w:sz w:val="28"/>
          <w:szCs w:val="28"/>
        </w:rPr>
      </w:pPr>
      <w:r>
        <w:rPr>
          <w:rFonts w:ascii="宋体" w:hAnsi="宋体"/>
          <w:color w:val="auto"/>
          <w:sz w:val="28"/>
          <w:szCs w:val="28"/>
        </w:rPr>
        <w:t>《固定式钢梯及平台安全要求 第2部分：钢斜梯》   GB4053.2-2009</w:t>
      </w:r>
    </w:p>
    <w:p>
      <w:pPr>
        <w:spacing w:line="600" w:lineRule="exact"/>
        <w:ind w:firstLine="560" w:firstLineChars="200"/>
        <w:rPr>
          <w:rFonts w:ascii="宋体" w:hAnsi="宋体"/>
          <w:color w:val="auto"/>
          <w:sz w:val="28"/>
          <w:szCs w:val="28"/>
        </w:rPr>
      </w:pPr>
      <w:r>
        <w:rPr>
          <w:rFonts w:ascii="宋体" w:hAnsi="宋体"/>
          <w:color w:val="auto"/>
          <w:sz w:val="28"/>
          <w:szCs w:val="28"/>
        </w:rPr>
        <w:t>《固定式钢梯及平台安全要求 第3部分：工业防护栏杆及钢平台》GB4053.3-2009</w:t>
      </w:r>
    </w:p>
    <w:p>
      <w:pPr>
        <w:spacing w:line="600" w:lineRule="exact"/>
        <w:ind w:firstLine="560" w:firstLineChars="200"/>
        <w:rPr>
          <w:rFonts w:ascii="宋体" w:hAnsi="宋体"/>
          <w:color w:val="auto"/>
          <w:sz w:val="28"/>
          <w:szCs w:val="28"/>
        </w:rPr>
      </w:pPr>
      <w:r>
        <w:rPr>
          <w:rFonts w:ascii="宋体" w:hAnsi="宋体"/>
          <w:color w:val="auto"/>
          <w:sz w:val="28"/>
          <w:szCs w:val="28"/>
        </w:rPr>
        <w:t>《工作场所有害因素职业接触限值第1部分：化学有害因素》</w:t>
      </w:r>
    </w:p>
    <w:p>
      <w:pPr>
        <w:spacing w:line="600" w:lineRule="exact"/>
        <w:rPr>
          <w:rFonts w:ascii="宋体" w:hAnsi="宋体"/>
          <w:color w:val="auto"/>
          <w:sz w:val="28"/>
          <w:szCs w:val="28"/>
        </w:rPr>
      </w:pPr>
      <w:r>
        <w:rPr>
          <w:rFonts w:ascii="宋体" w:hAnsi="宋体"/>
          <w:color w:val="auto"/>
          <w:sz w:val="28"/>
          <w:szCs w:val="28"/>
        </w:rPr>
        <w:t>GBZ2.1-2019</w:t>
      </w:r>
    </w:p>
    <w:p>
      <w:pPr>
        <w:tabs>
          <w:tab w:val="left" w:pos="7490"/>
        </w:tabs>
        <w:spacing w:line="600" w:lineRule="exact"/>
        <w:ind w:firstLine="560" w:firstLineChars="200"/>
        <w:jc w:val="left"/>
        <w:rPr>
          <w:rFonts w:ascii="宋体" w:hAnsi="宋体"/>
          <w:color w:val="auto"/>
          <w:sz w:val="28"/>
          <w:szCs w:val="28"/>
        </w:rPr>
      </w:pPr>
      <w:r>
        <w:rPr>
          <w:rFonts w:ascii="宋体" w:hAnsi="宋体"/>
          <w:color w:val="auto"/>
          <w:sz w:val="28"/>
          <w:szCs w:val="28"/>
        </w:rPr>
        <w:t xml:space="preserve">《工作场所有害因素职业接触限值第2部分：物理因素》 </w:t>
      </w:r>
    </w:p>
    <w:p>
      <w:pPr>
        <w:spacing w:line="600" w:lineRule="exact"/>
        <w:rPr>
          <w:rFonts w:ascii="宋体" w:hAnsi="宋体"/>
          <w:color w:val="auto"/>
          <w:sz w:val="28"/>
          <w:szCs w:val="28"/>
        </w:rPr>
      </w:pPr>
      <w:r>
        <w:rPr>
          <w:rFonts w:ascii="宋体" w:hAnsi="宋体"/>
          <w:color w:val="auto"/>
          <w:sz w:val="28"/>
          <w:szCs w:val="28"/>
        </w:rPr>
        <w:t>GBZ2.2-2007</w:t>
      </w:r>
    </w:p>
    <w:p>
      <w:pPr>
        <w:spacing w:line="600" w:lineRule="exact"/>
        <w:ind w:firstLine="560" w:firstLineChars="200"/>
        <w:rPr>
          <w:rFonts w:ascii="宋体" w:hAnsi="宋体"/>
          <w:color w:val="auto"/>
          <w:sz w:val="28"/>
          <w:szCs w:val="28"/>
        </w:rPr>
      </w:pPr>
      <w:r>
        <w:rPr>
          <w:rFonts w:ascii="宋体" w:hAnsi="宋体"/>
          <w:color w:val="auto"/>
          <w:sz w:val="28"/>
          <w:szCs w:val="28"/>
        </w:rPr>
        <w:t>《高处作业分级》                           GB/T3608-2008</w:t>
      </w:r>
    </w:p>
    <w:p>
      <w:pPr>
        <w:spacing w:line="600" w:lineRule="exact"/>
        <w:ind w:firstLine="560" w:firstLineChars="200"/>
        <w:rPr>
          <w:rFonts w:ascii="宋体" w:hAnsi="宋体"/>
          <w:color w:val="auto"/>
          <w:sz w:val="28"/>
          <w:szCs w:val="28"/>
        </w:rPr>
      </w:pPr>
      <w:r>
        <w:rPr>
          <w:rFonts w:ascii="宋体" w:hAnsi="宋体"/>
          <w:color w:val="auto"/>
          <w:sz w:val="28"/>
          <w:szCs w:val="28"/>
        </w:rPr>
        <w:t>《企业职工伤亡事故分类》                    GB6441-1986</w:t>
      </w:r>
    </w:p>
    <w:p>
      <w:pPr>
        <w:spacing w:line="600" w:lineRule="exact"/>
        <w:ind w:firstLine="560" w:firstLineChars="200"/>
        <w:rPr>
          <w:rFonts w:ascii="宋体" w:hAnsi="宋体"/>
          <w:color w:val="auto"/>
          <w:sz w:val="28"/>
          <w:szCs w:val="28"/>
        </w:rPr>
      </w:pPr>
      <w:r>
        <w:rPr>
          <w:rFonts w:ascii="宋体" w:hAnsi="宋体"/>
          <w:color w:val="auto"/>
          <w:sz w:val="28"/>
          <w:szCs w:val="28"/>
        </w:rPr>
        <w:t>《生产过程危险和有害因素分类与代码》      GB/T13861-2022</w:t>
      </w:r>
    </w:p>
    <w:p>
      <w:pPr>
        <w:spacing w:line="600" w:lineRule="exact"/>
        <w:ind w:firstLine="560" w:firstLineChars="200"/>
        <w:rPr>
          <w:rFonts w:ascii="宋体" w:hAnsi="宋体"/>
          <w:color w:val="auto"/>
          <w:sz w:val="28"/>
          <w:szCs w:val="28"/>
        </w:rPr>
      </w:pPr>
      <w:r>
        <w:rPr>
          <w:rFonts w:ascii="宋体" w:hAnsi="宋体"/>
          <w:color w:val="auto"/>
          <w:sz w:val="28"/>
          <w:szCs w:val="28"/>
        </w:rPr>
        <w:t>《工业管道的基本识别色、识别符号和安全标识》 GB7231-2003</w:t>
      </w:r>
    </w:p>
    <w:p>
      <w:pPr>
        <w:spacing w:line="600" w:lineRule="exact"/>
        <w:ind w:firstLine="560" w:firstLineChars="200"/>
        <w:rPr>
          <w:rFonts w:ascii="宋体" w:hAnsi="宋体"/>
          <w:color w:val="auto"/>
          <w:sz w:val="28"/>
          <w:szCs w:val="28"/>
        </w:rPr>
      </w:pPr>
      <w:r>
        <w:rPr>
          <w:rFonts w:ascii="宋体" w:hAnsi="宋体"/>
          <w:color w:val="auto"/>
          <w:sz w:val="28"/>
          <w:szCs w:val="28"/>
        </w:rPr>
        <w:t>《安全色》                                  GB2893-2008</w:t>
      </w:r>
    </w:p>
    <w:p>
      <w:pPr>
        <w:spacing w:line="600" w:lineRule="exact"/>
        <w:ind w:firstLine="560" w:firstLineChars="200"/>
        <w:rPr>
          <w:rFonts w:ascii="宋体" w:hAnsi="宋体"/>
          <w:color w:val="auto"/>
          <w:sz w:val="28"/>
          <w:szCs w:val="28"/>
        </w:rPr>
      </w:pPr>
      <w:r>
        <w:rPr>
          <w:rFonts w:ascii="宋体" w:hAnsi="宋体"/>
          <w:color w:val="auto"/>
          <w:sz w:val="28"/>
          <w:szCs w:val="28"/>
        </w:rPr>
        <w:t>《消防安全标志 第1部分：标志》            GB13495.1-2015</w:t>
      </w:r>
    </w:p>
    <w:p>
      <w:pPr>
        <w:spacing w:line="600" w:lineRule="exact"/>
        <w:ind w:firstLine="560" w:firstLineChars="200"/>
        <w:rPr>
          <w:rFonts w:ascii="宋体" w:hAnsi="宋体"/>
          <w:color w:val="auto"/>
          <w:sz w:val="28"/>
          <w:szCs w:val="28"/>
        </w:rPr>
      </w:pPr>
      <w:r>
        <w:rPr>
          <w:rFonts w:ascii="宋体" w:hAnsi="宋体"/>
          <w:color w:val="auto"/>
          <w:sz w:val="28"/>
          <w:szCs w:val="28"/>
        </w:rPr>
        <w:t>《安全标志及其使用导则》                    GB2894-2008</w:t>
      </w:r>
    </w:p>
    <w:p>
      <w:pPr>
        <w:spacing w:line="600" w:lineRule="exact"/>
        <w:ind w:firstLine="560" w:firstLineChars="200"/>
        <w:rPr>
          <w:rFonts w:ascii="宋体" w:hAnsi="宋体"/>
          <w:color w:val="auto"/>
          <w:sz w:val="28"/>
          <w:szCs w:val="28"/>
        </w:rPr>
      </w:pPr>
      <w:r>
        <w:rPr>
          <w:rFonts w:ascii="宋体" w:hAnsi="宋体"/>
          <w:color w:val="auto"/>
          <w:sz w:val="28"/>
          <w:szCs w:val="28"/>
        </w:rPr>
        <w:t>《个体防护装备选用规范》                  GB/T11651-2008</w:t>
      </w:r>
    </w:p>
    <w:p>
      <w:pPr>
        <w:spacing w:line="600" w:lineRule="exact"/>
        <w:ind w:firstLine="560" w:firstLineChars="200"/>
        <w:rPr>
          <w:rFonts w:ascii="宋体" w:hAnsi="宋体"/>
          <w:color w:val="auto"/>
          <w:sz w:val="28"/>
          <w:szCs w:val="28"/>
        </w:rPr>
      </w:pPr>
      <w:r>
        <w:rPr>
          <w:rFonts w:hint="eastAsia" w:ascii="宋体" w:hAnsi="宋体"/>
          <w:color w:val="auto"/>
          <w:sz w:val="28"/>
          <w:szCs w:val="28"/>
        </w:rPr>
        <w:t xml:space="preserve">《危险化学品企业特殊作业安全规范》 </w:t>
      </w:r>
      <w:r>
        <w:rPr>
          <w:rFonts w:ascii="宋体" w:hAnsi="宋体"/>
          <w:color w:val="auto"/>
          <w:sz w:val="28"/>
          <w:szCs w:val="28"/>
        </w:rPr>
        <w:t xml:space="preserve">       </w:t>
      </w:r>
      <w:r>
        <w:rPr>
          <w:rFonts w:hint="eastAsia" w:ascii="宋体" w:hAnsi="宋体"/>
          <w:color w:val="auto"/>
          <w:sz w:val="28"/>
          <w:szCs w:val="28"/>
        </w:rPr>
        <w:t>GB</w:t>
      </w:r>
      <w:r>
        <w:rPr>
          <w:rFonts w:ascii="宋体" w:hAnsi="宋体"/>
          <w:color w:val="auto"/>
          <w:sz w:val="28"/>
          <w:szCs w:val="28"/>
        </w:rPr>
        <w:t>30871-2022</w:t>
      </w:r>
    </w:p>
    <w:p>
      <w:pPr>
        <w:spacing w:line="600" w:lineRule="exact"/>
        <w:ind w:firstLine="560" w:firstLineChars="200"/>
        <w:rPr>
          <w:rFonts w:ascii="宋体" w:hAnsi="宋体"/>
          <w:color w:val="auto"/>
          <w:sz w:val="28"/>
          <w:szCs w:val="28"/>
        </w:rPr>
      </w:pPr>
      <w:r>
        <w:rPr>
          <w:rFonts w:ascii="宋体" w:hAnsi="宋体"/>
          <w:color w:val="auto"/>
          <w:sz w:val="28"/>
          <w:szCs w:val="28"/>
        </w:rPr>
        <w:t>《安全评价通则》                            AQ8001-2007</w:t>
      </w:r>
    </w:p>
    <w:p>
      <w:pPr>
        <w:spacing w:line="600" w:lineRule="exact"/>
        <w:ind w:firstLine="560" w:firstLineChars="200"/>
        <w:rPr>
          <w:rFonts w:ascii="宋体" w:hAnsi="宋体"/>
          <w:color w:val="auto"/>
          <w:sz w:val="28"/>
          <w:szCs w:val="28"/>
        </w:rPr>
      </w:pPr>
      <w:r>
        <w:rPr>
          <w:rFonts w:ascii="宋体" w:hAnsi="宋体"/>
          <w:color w:val="auto"/>
          <w:sz w:val="28"/>
          <w:szCs w:val="28"/>
        </w:rPr>
        <w:t>《安全预评价导则》                          AQ8002-2007</w:t>
      </w:r>
    </w:p>
    <w:p>
      <w:pPr>
        <w:spacing w:line="600" w:lineRule="exact"/>
        <w:ind w:firstLine="560" w:firstLineChars="200"/>
        <w:rPr>
          <w:rFonts w:ascii="宋体" w:hAnsi="宋体"/>
          <w:color w:val="auto"/>
          <w:sz w:val="28"/>
          <w:szCs w:val="28"/>
        </w:rPr>
      </w:pPr>
      <w:r>
        <w:rPr>
          <w:rFonts w:ascii="宋体" w:hAnsi="宋体"/>
          <w:color w:val="auto"/>
          <w:sz w:val="28"/>
          <w:szCs w:val="28"/>
        </w:rPr>
        <w:t>《企业安全生产标准化基本规范》           GB/T 33000-2016</w:t>
      </w:r>
    </w:p>
    <w:p>
      <w:pPr>
        <w:spacing w:line="600" w:lineRule="exact"/>
        <w:ind w:firstLine="560" w:firstLineChars="200"/>
        <w:rPr>
          <w:rFonts w:ascii="宋体" w:hAnsi="宋体"/>
          <w:color w:val="auto"/>
          <w:sz w:val="28"/>
          <w:szCs w:val="28"/>
        </w:rPr>
      </w:pPr>
      <w:r>
        <w:rPr>
          <w:rFonts w:ascii="宋体" w:hAnsi="宋体"/>
          <w:color w:val="auto"/>
          <w:sz w:val="28"/>
          <w:szCs w:val="28"/>
        </w:rPr>
        <w:t>《生产经营单位生产安全事故应急预案编制导</w:t>
      </w:r>
      <w:r>
        <w:rPr>
          <w:rFonts w:hint="eastAsia" w:ascii="宋体" w:hAnsi="宋体"/>
          <w:color w:val="auto"/>
          <w:sz w:val="28"/>
          <w:szCs w:val="28"/>
        </w:rPr>
        <w:t>则》</w:t>
      </w:r>
      <w:r>
        <w:rPr>
          <w:rFonts w:ascii="宋体" w:hAnsi="宋体"/>
          <w:color w:val="auto"/>
          <w:sz w:val="28"/>
          <w:szCs w:val="28"/>
        </w:rPr>
        <w:t>GB/T29639-20</w:t>
      </w:r>
      <w:r>
        <w:rPr>
          <w:rFonts w:hint="eastAsia" w:ascii="宋体" w:hAnsi="宋体"/>
          <w:color w:val="auto"/>
          <w:sz w:val="28"/>
          <w:szCs w:val="28"/>
        </w:rPr>
        <w:t>20</w:t>
      </w:r>
    </w:p>
    <w:p>
      <w:pPr>
        <w:tabs>
          <w:tab w:val="left" w:pos="7045"/>
        </w:tabs>
        <w:spacing w:line="600" w:lineRule="exact"/>
        <w:ind w:left="6300" w:leftChars="200" w:hanging="5880" w:hangingChars="2100"/>
        <w:jc w:val="left"/>
        <w:rPr>
          <w:rFonts w:ascii="宋体" w:hAnsi="宋体"/>
          <w:color w:val="auto"/>
          <w:sz w:val="28"/>
          <w:szCs w:val="28"/>
        </w:rPr>
      </w:pPr>
      <w:r>
        <w:rPr>
          <w:rFonts w:ascii="宋体" w:hAnsi="宋体"/>
          <w:color w:val="auto"/>
          <w:sz w:val="28"/>
          <w:szCs w:val="28"/>
        </w:rPr>
        <w:t>相关的专业性国家标准、行业标准和地方标准及规定。</w:t>
      </w:r>
    </w:p>
    <w:p>
      <w:pPr>
        <w:pStyle w:val="4"/>
        <w:rPr>
          <w:rFonts w:ascii="Times New Roman" w:hAnsi="Times New Roman" w:cs="Times New Roman"/>
          <w:bCs w:val="0"/>
          <w:color w:val="auto"/>
        </w:rPr>
      </w:pPr>
      <w:bookmarkStart w:id="295" w:name="_Toc29087"/>
      <w:bookmarkStart w:id="296" w:name="_Toc18298"/>
      <w:bookmarkStart w:id="297" w:name="_Toc144109272"/>
      <w:r>
        <w:rPr>
          <w:rFonts w:hint="eastAsia" w:ascii="Times New Roman" w:hAnsi="Times New Roman" w:cs="Times New Roman"/>
          <w:bCs w:val="0"/>
          <w:color w:val="auto"/>
        </w:rPr>
        <w:t>D</w:t>
      </w:r>
      <w:r>
        <w:rPr>
          <w:rFonts w:ascii="Times New Roman" w:hAnsi="Times New Roman" w:cs="Times New Roman"/>
          <w:bCs w:val="0"/>
          <w:color w:val="auto"/>
        </w:rPr>
        <w:t xml:space="preserve">.4 </w:t>
      </w:r>
      <w:r>
        <w:rPr>
          <w:rFonts w:hint="eastAsia" w:ascii="Times New Roman" w:hAnsi="Times New Roman" w:cs="Times New Roman"/>
          <w:bCs w:val="0"/>
          <w:color w:val="auto"/>
        </w:rPr>
        <w:t>项目</w:t>
      </w:r>
      <w:r>
        <w:rPr>
          <w:rFonts w:ascii="Times New Roman" w:hAnsi="Times New Roman" w:cs="Times New Roman"/>
          <w:bCs w:val="0"/>
          <w:color w:val="auto"/>
        </w:rPr>
        <w:t>技术文件与其它评价依据</w:t>
      </w:r>
      <w:bookmarkEnd w:id="295"/>
      <w:bookmarkEnd w:id="296"/>
      <w:bookmarkEnd w:id="297"/>
    </w:p>
    <w:p>
      <w:pPr>
        <w:spacing w:line="600" w:lineRule="exact"/>
        <w:ind w:firstLine="560" w:firstLineChars="200"/>
        <w:rPr>
          <w:color w:val="auto"/>
          <w:sz w:val="28"/>
          <w:szCs w:val="28"/>
        </w:rPr>
      </w:pPr>
      <w:r>
        <w:rPr>
          <w:rFonts w:hint="eastAsia"/>
          <w:color w:val="auto"/>
          <w:sz w:val="28"/>
          <w:szCs w:val="28"/>
        </w:rPr>
        <w:t>1、江西鑫立莱生化有限责任公司营业执照，统一社会信用代码：91360</w:t>
      </w:r>
      <w:r>
        <w:rPr>
          <w:color w:val="auto"/>
          <w:sz w:val="28"/>
          <w:szCs w:val="28"/>
        </w:rPr>
        <w:t>824</w:t>
      </w:r>
      <w:r>
        <w:rPr>
          <w:rFonts w:hint="eastAsia"/>
          <w:color w:val="auto"/>
          <w:sz w:val="28"/>
          <w:szCs w:val="28"/>
        </w:rPr>
        <w:t>MA</w:t>
      </w:r>
      <w:r>
        <w:rPr>
          <w:color w:val="auto"/>
          <w:sz w:val="28"/>
          <w:szCs w:val="28"/>
        </w:rPr>
        <w:t>3</w:t>
      </w:r>
      <w:r>
        <w:rPr>
          <w:rFonts w:hint="eastAsia"/>
          <w:color w:val="auto"/>
          <w:sz w:val="28"/>
          <w:szCs w:val="28"/>
        </w:rPr>
        <w:t>ADH</w:t>
      </w:r>
      <w:r>
        <w:rPr>
          <w:color w:val="auto"/>
          <w:sz w:val="28"/>
          <w:szCs w:val="28"/>
        </w:rPr>
        <w:t>8</w:t>
      </w:r>
      <w:r>
        <w:rPr>
          <w:rFonts w:hint="eastAsia"/>
          <w:color w:val="auto"/>
          <w:sz w:val="28"/>
          <w:szCs w:val="28"/>
        </w:rPr>
        <w:t>XXN；</w:t>
      </w:r>
    </w:p>
    <w:p>
      <w:pPr>
        <w:spacing w:line="600" w:lineRule="exact"/>
        <w:ind w:firstLine="560" w:firstLineChars="200"/>
        <w:rPr>
          <w:color w:val="auto"/>
          <w:sz w:val="28"/>
          <w:szCs w:val="28"/>
        </w:rPr>
      </w:pPr>
      <w:r>
        <w:rPr>
          <w:rFonts w:hint="eastAsia"/>
          <w:color w:val="auto"/>
          <w:sz w:val="28"/>
          <w:szCs w:val="28"/>
        </w:rPr>
        <w:t>2、建设用地规划许可证；</w:t>
      </w:r>
    </w:p>
    <w:p>
      <w:pPr>
        <w:spacing w:line="600" w:lineRule="exact"/>
        <w:ind w:firstLine="560" w:firstLineChars="200"/>
        <w:rPr>
          <w:color w:val="auto"/>
          <w:sz w:val="28"/>
          <w:szCs w:val="28"/>
        </w:rPr>
      </w:pPr>
      <w:r>
        <w:rPr>
          <w:rFonts w:hint="eastAsia"/>
          <w:color w:val="auto"/>
          <w:sz w:val="28"/>
          <w:szCs w:val="28"/>
        </w:rPr>
        <w:t>3、江西省企业投资项目备案通知书，项目统一代码：</w:t>
      </w:r>
      <w:r>
        <w:rPr>
          <w:color w:val="auto"/>
          <w:sz w:val="28"/>
          <w:szCs w:val="28"/>
        </w:rPr>
        <w:t>2106</w:t>
      </w:r>
      <w:r>
        <w:rPr>
          <w:rFonts w:hint="eastAsia"/>
          <w:color w:val="auto"/>
          <w:sz w:val="28"/>
          <w:szCs w:val="28"/>
        </w:rPr>
        <w:t>-360</w:t>
      </w:r>
      <w:r>
        <w:rPr>
          <w:color w:val="auto"/>
          <w:sz w:val="28"/>
          <w:szCs w:val="28"/>
        </w:rPr>
        <w:t>824</w:t>
      </w:r>
      <w:r>
        <w:rPr>
          <w:rFonts w:hint="eastAsia"/>
          <w:color w:val="auto"/>
          <w:sz w:val="28"/>
          <w:szCs w:val="28"/>
        </w:rPr>
        <w:t>-</w:t>
      </w:r>
      <w:r>
        <w:rPr>
          <w:color w:val="auto"/>
          <w:sz w:val="28"/>
          <w:szCs w:val="28"/>
        </w:rPr>
        <w:t>0</w:t>
      </w:r>
      <w:r>
        <w:rPr>
          <w:rFonts w:hint="eastAsia"/>
          <w:color w:val="auto"/>
          <w:sz w:val="28"/>
          <w:szCs w:val="28"/>
        </w:rPr>
        <w:t>4-</w:t>
      </w:r>
      <w:r>
        <w:rPr>
          <w:color w:val="auto"/>
          <w:sz w:val="28"/>
          <w:szCs w:val="28"/>
        </w:rPr>
        <w:t>01</w:t>
      </w:r>
      <w:r>
        <w:rPr>
          <w:rFonts w:hint="eastAsia"/>
          <w:color w:val="auto"/>
          <w:sz w:val="28"/>
          <w:szCs w:val="28"/>
        </w:rPr>
        <w:t>-</w:t>
      </w:r>
      <w:r>
        <w:rPr>
          <w:color w:val="auto"/>
          <w:sz w:val="28"/>
          <w:szCs w:val="28"/>
        </w:rPr>
        <w:t>355235</w:t>
      </w:r>
      <w:r>
        <w:rPr>
          <w:rFonts w:hint="eastAsia"/>
          <w:color w:val="auto"/>
          <w:sz w:val="28"/>
          <w:szCs w:val="28"/>
        </w:rPr>
        <w:t>；</w:t>
      </w:r>
    </w:p>
    <w:p>
      <w:pPr>
        <w:spacing w:line="600" w:lineRule="exact"/>
        <w:ind w:firstLine="560" w:firstLineChars="200"/>
        <w:rPr>
          <w:color w:val="auto"/>
          <w:sz w:val="28"/>
          <w:szCs w:val="28"/>
        </w:rPr>
      </w:pPr>
      <w:r>
        <w:rPr>
          <w:rFonts w:hint="eastAsia"/>
          <w:color w:val="auto"/>
          <w:sz w:val="28"/>
          <w:szCs w:val="28"/>
        </w:rPr>
        <w:t>4、江西鑫立莱生化有限责任公司年产芸苔素内酯原药5千kg、制剂3万吨项目可行性研究报告；</w:t>
      </w:r>
    </w:p>
    <w:p>
      <w:pPr>
        <w:spacing w:line="600" w:lineRule="exact"/>
        <w:ind w:firstLine="560" w:firstLineChars="200"/>
        <w:rPr>
          <w:color w:val="auto"/>
          <w:sz w:val="28"/>
          <w:szCs w:val="28"/>
        </w:rPr>
      </w:pPr>
      <w:r>
        <w:rPr>
          <w:rFonts w:hint="eastAsia"/>
          <w:color w:val="auto"/>
          <w:sz w:val="28"/>
          <w:szCs w:val="28"/>
        </w:rPr>
        <w:t>5、工艺技术认证</w:t>
      </w:r>
    </w:p>
    <w:p>
      <w:pPr>
        <w:spacing w:line="600" w:lineRule="exact"/>
        <w:ind w:firstLine="560" w:firstLineChars="200"/>
        <w:rPr>
          <w:color w:val="auto"/>
          <w:sz w:val="28"/>
          <w:szCs w:val="28"/>
        </w:rPr>
      </w:pPr>
      <w:r>
        <w:rPr>
          <w:rFonts w:hint="eastAsia"/>
          <w:color w:val="auto"/>
          <w:sz w:val="28"/>
          <w:szCs w:val="28"/>
        </w:rPr>
        <w:t>6、危险工艺反应安全风险评估</w:t>
      </w:r>
    </w:p>
    <w:p>
      <w:pPr>
        <w:spacing w:line="600" w:lineRule="exact"/>
        <w:ind w:firstLine="560" w:firstLineChars="200"/>
        <w:rPr>
          <w:color w:val="auto"/>
          <w:sz w:val="28"/>
          <w:szCs w:val="28"/>
        </w:rPr>
      </w:pPr>
      <w:r>
        <w:rPr>
          <w:rFonts w:hint="eastAsia"/>
          <w:color w:val="auto"/>
          <w:sz w:val="28"/>
          <w:szCs w:val="28"/>
        </w:rPr>
        <w:t>7、总平面布置图</w:t>
      </w:r>
    </w:p>
    <w:p>
      <w:pPr>
        <w:widowControl/>
        <w:spacing w:before="100" w:beforeAutospacing="1" w:after="100" w:afterAutospacing="1"/>
        <w:jc w:val="left"/>
        <w:rPr>
          <w:color w:val="auto"/>
          <w:kern w:val="0"/>
          <w:sz w:val="24"/>
        </w:rPr>
      </w:pPr>
    </w:p>
    <w:p>
      <w:pPr>
        <w:keepNext/>
        <w:pageBreakBefore/>
        <w:widowControl/>
        <w:spacing w:line="600" w:lineRule="exact"/>
        <w:jc w:val="left"/>
        <w:outlineLvl w:val="0"/>
        <w:rPr>
          <w:color w:val="auto"/>
          <w:kern w:val="44"/>
          <w:sz w:val="32"/>
          <w:szCs w:val="32"/>
        </w:rPr>
      </w:pPr>
      <w:bookmarkStart w:id="298" w:name="_Toc144109273"/>
      <w:r>
        <w:rPr>
          <w:rFonts w:hint="eastAsia"/>
          <w:color w:val="auto"/>
          <w:kern w:val="44"/>
          <w:sz w:val="32"/>
          <w:szCs w:val="32"/>
        </w:rPr>
        <w:t>附</w:t>
      </w:r>
      <w:bookmarkEnd w:id="298"/>
      <w:r>
        <w:rPr>
          <w:rFonts w:hint="eastAsia"/>
          <w:color w:val="auto"/>
          <w:kern w:val="44"/>
          <w:sz w:val="32"/>
          <w:szCs w:val="32"/>
        </w:rPr>
        <w:t>件</w:t>
      </w:r>
    </w:p>
    <w:p>
      <w:pPr>
        <w:pStyle w:val="2"/>
        <w:rPr>
          <w:rFonts w:hint="eastAsia"/>
          <w:color w:val="auto"/>
        </w:rPr>
      </w:pPr>
      <w:r>
        <w:rPr>
          <w:rFonts w:hint="eastAsia"/>
          <w:color w:val="auto"/>
        </w:rPr>
        <w:t>附件1：现场照片</w:t>
      </w:r>
    </w:p>
    <w:p>
      <w:pPr>
        <w:pStyle w:val="2"/>
        <w:rPr>
          <w:color w:val="auto"/>
        </w:rPr>
      </w:pPr>
      <w:r>
        <w:rPr>
          <w:rFonts w:hint="eastAsia" w:eastAsia="宋体"/>
          <w:color w:val="auto"/>
          <w:lang w:eastAsia="zh-CN"/>
        </w:rPr>
        <w:drawing>
          <wp:inline distT="0" distB="0" distL="114300" distR="114300">
            <wp:extent cx="4681855" cy="3512820"/>
            <wp:effectExtent l="0" t="0" r="4445" b="11430"/>
            <wp:docPr id="57" name="图片 57" descr="61b9af0651084184142e0f5260ee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1b9af0651084184142e0f5260ee455"/>
                    <pic:cNvPicPr>
                      <a:picLocks noChangeAspect="1"/>
                    </pic:cNvPicPr>
                  </pic:nvPicPr>
                  <pic:blipFill>
                    <a:blip r:embed="rId65"/>
                    <a:stretch>
                      <a:fillRect/>
                    </a:stretch>
                  </pic:blipFill>
                  <pic:spPr>
                    <a:xfrm>
                      <a:off x="0" y="0"/>
                      <a:ext cx="4681855" cy="3512820"/>
                    </a:xfrm>
                    <a:prstGeom prst="rect">
                      <a:avLst/>
                    </a:prstGeom>
                  </pic:spPr>
                </pic:pic>
              </a:graphicData>
            </a:graphic>
          </wp:inline>
        </w:drawing>
      </w:r>
      <w:r>
        <w:drawing>
          <wp:inline distT="0" distB="0" distL="114300" distR="114300">
            <wp:extent cx="4674870" cy="2997200"/>
            <wp:effectExtent l="0" t="0" r="11430" b="12700"/>
            <wp:docPr id="58" name="图片 58" descr="ea9ea9eaced0059abcbe2395d9d7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a9ea9eaced0059abcbe2395d9d7ace"/>
                    <pic:cNvPicPr>
                      <a:picLocks noChangeAspect="1"/>
                    </pic:cNvPicPr>
                  </pic:nvPicPr>
                  <pic:blipFill>
                    <a:blip r:embed="rId66"/>
                    <a:stretch>
                      <a:fillRect/>
                    </a:stretch>
                  </pic:blipFill>
                  <pic:spPr>
                    <a:xfrm>
                      <a:off x="0" y="0"/>
                      <a:ext cx="4674870" cy="2997200"/>
                    </a:xfrm>
                    <a:prstGeom prst="rect">
                      <a:avLst/>
                    </a:prstGeom>
                  </pic:spPr>
                </pic:pic>
              </a:graphicData>
            </a:graphic>
          </wp:inline>
        </w:drawing>
      </w:r>
    </w:p>
    <w:p>
      <w:pPr>
        <w:pStyle w:val="2"/>
        <w:rPr>
          <w:color w:val="auto"/>
        </w:rPr>
      </w:pPr>
      <w:r>
        <w:rPr>
          <w:color w:val="auto"/>
        </w:rPr>
        <w:br w:type="page"/>
      </w:r>
    </w:p>
    <w:p>
      <w:pPr>
        <w:pStyle w:val="2"/>
        <w:rPr>
          <w:color w:val="auto"/>
        </w:rPr>
      </w:pPr>
    </w:p>
    <w:p>
      <w:pPr>
        <w:pStyle w:val="2"/>
        <w:rPr>
          <w:color w:val="auto"/>
        </w:rPr>
      </w:pPr>
      <w:r>
        <w:rPr>
          <w:color w:val="auto"/>
        </w:rPr>
        <w:t>2：企业营业执照</w:t>
      </w:r>
    </w:p>
    <w:p>
      <w:pPr>
        <w:pStyle w:val="2"/>
        <w:rPr>
          <w:color w:val="auto"/>
        </w:rPr>
      </w:pPr>
    </w:p>
    <w:p>
      <w:pPr>
        <w:pStyle w:val="2"/>
        <w:rPr>
          <w:color w:val="auto"/>
        </w:rPr>
      </w:pPr>
      <w:r>
        <w:rPr>
          <w:color w:val="auto"/>
        </w:rPr>
        <w:drawing>
          <wp:inline distT="0" distB="0" distL="0" distR="0">
            <wp:extent cx="8003540" cy="5655945"/>
            <wp:effectExtent l="0" t="0" r="1905" b="165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rot="5400000">
                      <a:off x="0" y="0"/>
                      <a:ext cx="8019561" cy="5667568"/>
                    </a:xfrm>
                    <a:prstGeom prst="rect">
                      <a:avLst/>
                    </a:prstGeom>
                    <a:noFill/>
                    <a:ln>
                      <a:noFill/>
                    </a:ln>
                  </pic:spPr>
                </pic:pic>
              </a:graphicData>
            </a:graphic>
          </wp:inline>
        </w:drawing>
      </w:r>
      <w:r>
        <w:rPr>
          <w:color w:val="auto"/>
        </w:rPr>
        <w:br w:type="page"/>
      </w:r>
    </w:p>
    <w:p>
      <w:pPr>
        <w:pStyle w:val="2"/>
        <w:rPr>
          <w:color w:val="auto"/>
        </w:rPr>
      </w:pPr>
    </w:p>
    <w:p>
      <w:pPr>
        <w:pStyle w:val="2"/>
        <w:rPr>
          <w:color w:val="auto"/>
        </w:rPr>
      </w:pPr>
      <w:r>
        <w:rPr>
          <w:color w:val="auto"/>
        </w:rPr>
        <w:t>3：项目备案登记信息表</w:t>
      </w:r>
    </w:p>
    <w:p>
      <w:pPr>
        <w:pStyle w:val="2"/>
        <w:rPr>
          <w:color w:val="auto"/>
        </w:rPr>
      </w:pPr>
      <w:r>
        <w:rPr>
          <w:color w:val="auto"/>
        </w:rPr>
        <w:drawing>
          <wp:inline distT="0" distB="0" distL="114300" distR="114300">
            <wp:extent cx="6663690" cy="4698365"/>
            <wp:effectExtent l="0" t="0" r="6985" b="381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68"/>
                    <a:stretch>
                      <a:fillRect/>
                    </a:stretch>
                  </pic:blipFill>
                  <pic:spPr>
                    <a:xfrm rot="5400000">
                      <a:off x="0" y="0"/>
                      <a:ext cx="6663690" cy="4698365"/>
                    </a:xfrm>
                    <a:prstGeom prst="rect">
                      <a:avLst/>
                    </a:prstGeom>
                    <a:noFill/>
                    <a:ln>
                      <a:noFill/>
                    </a:ln>
                  </pic:spPr>
                </pic:pic>
              </a:graphicData>
            </a:graphic>
          </wp:inline>
        </w:drawing>
      </w:r>
      <w:r>
        <w:rPr>
          <w:color w:val="auto"/>
        </w:rPr>
        <w:drawing>
          <wp:inline distT="0" distB="0" distL="114300" distR="114300">
            <wp:extent cx="6787515" cy="5394960"/>
            <wp:effectExtent l="0" t="0" r="15240" b="1333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9"/>
                    <a:stretch>
                      <a:fillRect/>
                    </a:stretch>
                  </pic:blipFill>
                  <pic:spPr>
                    <a:xfrm rot="5400000">
                      <a:off x="0" y="0"/>
                      <a:ext cx="6787515" cy="5394960"/>
                    </a:xfrm>
                    <a:prstGeom prst="rect">
                      <a:avLst/>
                    </a:prstGeom>
                    <a:noFill/>
                    <a:ln>
                      <a:noFill/>
                    </a:ln>
                  </pic:spPr>
                </pic:pic>
              </a:graphicData>
            </a:graphic>
          </wp:inline>
        </w:drawing>
      </w:r>
    </w:p>
    <w:p>
      <w:pPr>
        <w:pStyle w:val="2"/>
        <w:rPr>
          <w:color w:val="auto"/>
        </w:rPr>
      </w:pPr>
      <w:r>
        <w:rPr>
          <w:color w:val="auto"/>
        </w:rPr>
        <w:t xml:space="preserve">  </w:t>
      </w:r>
      <w:r>
        <w:rPr>
          <w:color w:val="auto"/>
        </w:rPr>
        <w:br w:type="page"/>
      </w:r>
    </w:p>
    <w:p>
      <w:pPr>
        <w:pStyle w:val="2"/>
        <w:rPr>
          <w:color w:val="auto"/>
        </w:rPr>
      </w:pPr>
      <w:r>
        <w:rPr>
          <w:rFonts w:hint="eastAsia"/>
          <w:color w:val="auto"/>
        </w:rPr>
        <w:t>4：建设用地规划许可</w:t>
      </w:r>
    </w:p>
    <w:p>
      <w:pPr>
        <w:pStyle w:val="2"/>
        <w:rPr>
          <w:color w:val="auto"/>
        </w:rPr>
      </w:pPr>
      <w:r>
        <w:rPr>
          <w:color w:val="auto"/>
        </w:rPr>
        <w:drawing>
          <wp:inline distT="0" distB="0" distL="0" distR="0">
            <wp:extent cx="5759450" cy="403987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0"/>
                    <a:stretch>
                      <a:fillRect/>
                    </a:stretch>
                  </pic:blipFill>
                  <pic:spPr>
                    <a:xfrm>
                      <a:off x="0" y="0"/>
                      <a:ext cx="5759450" cy="4039870"/>
                    </a:xfrm>
                    <a:prstGeom prst="rect">
                      <a:avLst/>
                    </a:prstGeom>
                  </pic:spPr>
                </pic:pic>
              </a:graphicData>
            </a:graphic>
          </wp:inline>
        </w:drawing>
      </w:r>
      <w:r>
        <w:rPr>
          <w:color w:val="auto"/>
        </w:rPr>
        <w:t xml:space="preserve"> </w:t>
      </w:r>
      <w:r>
        <w:rPr>
          <w:color w:val="auto"/>
        </w:rPr>
        <w:drawing>
          <wp:inline distT="0" distB="0" distL="0" distR="0">
            <wp:extent cx="5759450" cy="4068445"/>
            <wp:effectExtent l="0" t="0" r="0"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1"/>
                    <a:stretch>
                      <a:fillRect/>
                    </a:stretch>
                  </pic:blipFill>
                  <pic:spPr>
                    <a:xfrm>
                      <a:off x="0" y="0"/>
                      <a:ext cx="5759450" cy="4068445"/>
                    </a:xfrm>
                    <a:prstGeom prst="rect">
                      <a:avLst/>
                    </a:prstGeom>
                  </pic:spPr>
                </pic:pic>
              </a:graphicData>
            </a:graphic>
          </wp:inline>
        </w:drawing>
      </w:r>
    </w:p>
    <w:p>
      <w:pPr>
        <w:rPr>
          <w:color w:val="auto"/>
        </w:rPr>
      </w:pPr>
      <w:r>
        <w:rPr>
          <w:color w:val="auto"/>
        </w:rPr>
        <w:br w:type="page"/>
      </w:r>
    </w:p>
    <w:p>
      <w:pPr>
        <w:pStyle w:val="2"/>
        <w:rPr>
          <w:color w:val="auto"/>
        </w:rPr>
      </w:pPr>
      <w:r>
        <w:rPr>
          <w:rFonts w:hint="eastAsia"/>
          <w:color w:val="auto"/>
        </w:rPr>
        <w:t>5：工艺技术认证</w:t>
      </w:r>
    </w:p>
    <w:p>
      <w:pPr>
        <w:pStyle w:val="2"/>
        <w:rPr>
          <w:color w:val="auto"/>
        </w:rPr>
      </w:pPr>
      <w:r>
        <w:rPr>
          <w:rFonts w:hint="eastAsia"/>
          <w:color w:val="auto"/>
        </w:rPr>
        <w:t>1）2</w:t>
      </w:r>
      <w:r>
        <w:rPr>
          <w:color w:val="auto"/>
        </w:rPr>
        <w:t>4-</w:t>
      </w:r>
      <w:r>
        <w:rPr>
          <w:rFonts w:hint="eastAsia"/>
          <w:color w:val="auto"/>
        </w:rPr>
        <w:t>表芸苔素内酯首次工艺论证</w:t>
      </w:r>
    </w:p>
    <w:p>
      <w:pPr>
        <w:pStyle w:val="2"/>
        <w:rPr>
          <w:color w:val="auto"/>
        </w:rPr>
      </w:pPr>
      <w:r>
        <w:rPr>
          <w:color w:val="auto"/>
        </w:rPr>
        <w:drawing>
          <wp:inline distT="0" distB="0" distL="0" distR="0">
            <wp:extent cx="5758815" cy="8020685"/>
            <wp:effectExtent l="0" t="0" r="0" b="0"/>
            <wp:docPr id="595377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77589" name="图片 1"/>
                    <pic:cNvPicPr>
                      <a:picLocks noChangeAspect="1"/>
                    </pic:cNvPicPr>
                  </pic:nvPicPr>
                  <pic:blipFill>
                    <a:blip r:embed="rId72"/>
                    <a:stretch>
                      <a:fillRect/>
                    </a:stretch>
                  </pic:blipFill>
                  <pic:spPr>
                    <a:xfrm>
                      <a:off x="0" y="0"/>
                      <a:ext cx="5772619" cy="8039549"/>
                    </a:xfrm>
                    <a:prstGeom prst="rect">
                      <a:avLst/>
                    </a:prstGeom>
                  </pic:spPr>
                </pic:pic>
              </a:graphicData>
            </a:graphic>
          </wp:inline>
        </w:drawing>
      </w:r>
      <w:r>
        <w:rPr>
          <w:color w:val="auto"/>
        </w:rPr>
        <w:drawing>
          <wp:inline distT="0" distB="0" distL="0" distR="0">
            <wp:extent cx="5772785" cy="8321040"/>
            <wp:effectExtent l="0" t="0" r="0" b="3810"/>
            <wp:docPr id="307955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55614" name="图片 1"/>
                    <pic:cNvPicPr>
                      <a:picLocks noChangeAspect="1"/>
                    </pic:cNvPicPr>
                  </pic:nvPicPr>
                  <pic:blipFill>
                    <a:blip r:embed="rId73"/>
                    <a:stretch>
                      <a:fillRect/>
                    </a:stretch>
                  </pic:blipFill>
                  <pic:spPr>
                    <a:xfrm>
                      <a:off x="0" y="0"/>
                      <a:ext cx="5785707" cy="8339758"/>
                    </a:xfrm>
                    <a:prstGeom prst="rect">
                      <a:avLst/>
                    </a:prstGeom>
                  </pic:spPr>
                </pic:pic>
              </a:graphicData>
            </a:graphic>
          </wp:inline>
        </w:drawing>
      </w:r>
      <w:r>
        <w:rPr>
          <w:color w:val="auto"/>
        </w:rPr>
        <w:drawing>
          <wp:inline distT="0" distB="0" distL="0" distR="0">
            <wp:extent cx="5745480" cy="5960110"/>
            <wp:effectExtent l="0" t="0" r="7620" b="2540"/>
            <wp:docPr id="1372709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09208" name="图片 1"/>
                    <pic:cNvPicPr>
                      <a:picLocks noChangeAspect="1"/>
                    </pic:cNvPicPr>
                  </pic:nvPicPr>
                  <pic:blipFill>
                    <a:blip r:embed="rId74"/>
                    <a:stretch>
                      <a:fillRect/>
                    </a:stretch>
                  </pic:blipFill>
                  <pic:spPr>
                    <a:xfrm>
                      <a:off x="0" y="0"/>
                      <a:ext cx="5752717" cy="5967655"/>
                    </a:xfrm>
                    <a:prstGeom prst="rect">
                      <a:avLst/>
                    </a:prstGeom>
                  </pic:spPr>
                </pic:pic>
              </a:graphicData>
            </a:graphic>
          </wp:inline>
        </w:drawing>
      </w:r>
      <w:r>
        <w:rPr>
          <w:color w:val="auto"/>
        </w:rPr>
        <w:drawing>
          <wp:inline distT="0" distB="0" distL="0" distR="0">
            <wp:extent cx="5450840" cy="8707120"/>
            <wp:effectExtent l="0" t="0" r="0" b="0"/>
            <wp:docPr id="1322851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51879" name="图片 1"/>
                    <pic:cNvPicPr>
                      <a:picLocks noChangeAspect="1"/>
                    </pic:cNvPicPr>
                  </pic:nvPicPr>
                  <pic:blipFill>
                    <a:blip r:embed="rId75"/>
                    <a:stretch>
                      <a:fillRect/>
                    </a:stretch>
                  </pic:blipFill>
                  <pic:spPr>
                    <a:xfrm>
                      <a:off x="0" y="0"/>
                      <a:ext cx="5467115" cy="8732371"/>
                    </a:xfrm>
                    <a:prstGeom prst="rect">
                      <a:avLst/>
                    </a:prstGeom>
                  </pic:spPr>
                </pic:pic>
              </a:graphicData>
            </a:graphic>
          </wp:inline>
        </w:drawing>
      </w:r>
      <w:r>
        <w:rPr>
          <w:color w:val="auto"/>
        </w:rPr>
        <w:drawing>
          <wp:inline distT="0" distB="0" distL="0" distR="0">
            <wp:extent cx="5745480" cy="8237855"/>
            <wp:effectExtent l="0" t="0" r="7620" b="0"/>
            <wp:docPr id="18847469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46965" name="图片 1"/>
                    <pic:cNvPicPr>
                      <a:picLocks noChangeAspect="1"/>
                    </pic:cNvPicPr>
                  </pic:nvPicPr>
                  <pic:blipFill>
                    <a:blip r:embed="rId76"/>
                    <a:stretch>
                      <a:fillRect/>
                    </a:stretch>
                  </pic:blipFill>
                  <pic:spPr>
                    <a:xfrm>
                      <a:off x="0" y="0"/>
                      <a:ext cx="5755570" cy="8252278"/>
                    </a:xfrm>
                    <a:prstGeom prst="rect">
                      <a:avLst/>
                    </a:prstGeom>
                  </pic:spPr>
                </pic:pic>
              </a:graphicData>
            </a:graphic>
          </wp:inline>
        </w:drawing>
      </w:r>
    </w:p>
    <w:p>
      <w:pPr>
        <w:pStyle w:val="2"/>
        <w:rPr>
          <w:color w:val="auto"/>
        </w:rPr>
      </w:pPr>
      <w:r>
        <w:rPr>
          <w:rFonts w:hint="eastAsia"/>
          <w:color w:val="auto"/>
        </w:rPr>
        <w:t>2）2</w:t>
      </w:r>
      <w:r>
        <w:rPr>
          <w:color w:val="auto"/>
        </w:rPr>
        <w:t>8-</w:t>
      </w:r>
      <w:r>
        <w:rPr>
          <w:rFonts w:hint="eastAsia"/>
          <w:color w:val="auto"/>
        </w:rPr>
        <w:t>高芸苔素内酯首次工艺论证</w:t>
      </w:r>
    </w:p>
    <w:p>
      <w:pPr>
        <w:pStyle w:val="2"/>
        <w:rPr>
          <w:color w:val="auto"/>
        </w:rPr>
      </w:pPr>
      <w:r>
        <w:rPr>
          <w:color w:val="auto"/>
        </w:rPr>
        <w:drawing>
          <wp:inline distT="0" distB="0" distL="0" distR="0">
            <wp:extent cx="5676900" cy="8495665"/>
            <wp:effectExtent l="0" t="0" r="0" b="635"/>
            <wp:docPr id="1804275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75807" name="图片 1"/>
                    <pic:cNvPicPr>
                      <a:picLocks noChangeAspect="1"/>
                    </pic:cNvPicPr>
                  </pic:nvPicPr>
                  <pic:blipFill>
                    <a:blip r:embed="rId77"/>
                    <a:stretch>
                      <a:fillRect/>
                    </a:stretch>
                  </pic:blipFill>
                  <pic:spPr>
                    <a:xfrm>
                      <a:off x="0" y="0"/>
                      <a:ext cx="5682403" cy="8503455"/>
                    </a:xfrm>
                    <a:prstGeom prst="rect">
                      <a:avLst/>
                    </a:prstGeom>
                  </pic:spPr>
                </pic:pic>
              </a:graphicData>
            </a:graphic>
          </wp:inline>
        </w:drawing>
      </w:r>
      <w:r>
        <w:rPr>
          <w:color w:val="auto"/>
        </w:rPr>
        <w:drawing>
          <wp:inline distT="0" distB="0" distL="0" distR="0">
            <wp:extent cx="5445125" cy="8756650"/>
            <wp:effectExtent l="0" t="0" r="3175" b="6350"/>
            <wp:docPr id="997791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91789" name="图片 1"/>
                    <pic:cNvPicPr>
                      <a:picLocks noChangeAspect="1"/>
                    </pic:cNvPicPr>
                  </pic:nvPicPr>
                  <pic:blipFill>
                    <a:blip r:embed="rId78"/>
                    <a:stretch>
                      <a:fillRect/>
                    </a:stretch>
                  </pic:blipFill>
                  <pic:spPr>
                    <a:xfrm>
                      <a:off x="0" y="0"/>
                      <a:ext cx="5450851" cy="8765746"/>
                    </a:xfrm>
                    <a:prstGeom prst="rect">
                      <a:avLst/>
                    </a:prstGeom>
                  </pic:spPr>
                </pic:pic>
              </a:graphicData>
            </a:graphic>
          </wp:inline>
        </w:drawing>
      </w:r>
      <w:r>
        <w:rPr>
          <w:color w:val="auto"/>
        </w:rPr>
        <w:drawing>
          <wp:inline distT="0" distB="0" distL="0" distR="0">
            <wp:extent cx="5704205" cy="3683635"/>
            <wp:effectExtent l="0" t="0" r="0" b="0"/>
            <wp:docPr id="316476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76677" name="图片 1"/>
                    <pic:cNvPicPr>
                      <a:picLocks noChangeAspect="1"/>
                    </pic:cNvPicPr>
                  </pic:nvPicPr>
                  <pic:blipFill>
                    <a:blip r:embed="rId79"/>
                    <a:stretch>
                      <a:fillRect/>
                    </a:stretch>
                  </pic:blipFill>
                  <pic:spPr>
                    <a:xfrm>
                      <a:off x="0" y="0"/>
                      <a:ext cx="5715084" cy="3690705"/>
                    </a:xfrm>
                    <a:prstGeom prst="rect">
                      <a:avLst/>
                    </a:prstGeom>
                  </pic:spPr>
                </pic:pic>
              </a:graphicData>
            </a:graphic>
          </wp:inline>
        </w:drawing>
      </w:r>
      <w:r>
        <w:rPr>
          <w:color w:val="auto"/>
        </w:rPr>
        <w:drawing>
          <wp:inline distT="0" distB="0" distL="0" distR="0">
            <wp:extent cx="5486400" cy="8829040"/>
            <wp:effectExtent l="0" t="0" r="0" b="0"/>
            <wp:docPr id="1302502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02303" name="图片 1"/>
                    <pic:cNvPicPr>
                      <a:picLocks noChangeAspect="1"/>
                    </pic:cNvPicPr>
                  </pic:nvPicPr>
                  <pic:blipFill>
                    <a:blip r:embed="rId80"/>
                    <a:stretch>
                      <a:fillRect/>
                    </a:stretch>
                  </pic:blipFill>
                  <pic:spPr>
                    <a:xfrm>
                      <a:off x="0" y="0"/>
                      <a:ext cx="5495589" cy="8844063"/>
                    </a:xfrm>
                    <a:prstGeom prst="rect">
                      <a:avLst/>
                    </a:prstGeom>
                  </pic:spPr>
                </pic:pic>
              </a:graphicData>
            </a:graphic>
          </wp:inline>
        </w:drawing>
      </w:r>
      <w:r>
        <w:rPr>
          <w:color w:val="auto"/>
        </w:rPr>
        <w:drawing>
          <wp:inline distT="0" distB="0" distL="0" distR="0">
            <wp:extent cx="5594985" cy="8797925"/>
            <wp:effectExtent l="0" t="0" r="5715" b="3175"/>
            <wp:docPr id="57492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2318" name="图片 1"/>
                    <pic:cNvPicPr>
                      <a:picLocks noChangeAspect="1"/>
                    </pic:cNvPicPr>
                  </pic:nvPicPr>
                  <pic:blipFill>
                    <a:blip r:embed="rId81"/>
                    <a:stretch>
                      <a:fillRect/>
                    </a:stretch>
                  </pic:blipFill>
                  <pic:spPr>
                    <a:xfrm>
                      <a:off x="0" y="0"/>
                      <a:ext cx="5601126" cy="8807201"/>
                    </a:xfrm>
                    <a:prstGeom prst="rect">
                      <a:avLst/>
                    </a:prstGeom>
                  </pic:spPr>
                </pic:pic>
              </a:graphicData>
            </a:graphic>
          </wp:inline>
        </w:drawing>
      </w:r>
    </w:p>
    <w:p>
      <w:pPr>
        <w:pStyle w:val="2"/>
        <w:rPr>
          <w:color w:val="auto"/>
        </w:rPr>
      </w:pPr>
      <w:r>
        <w:rPr>
          <w:rFonts w:hint="eastAsia"/>
          <w:color w:val="auto"/>
        </w:rPr>
        <w:t>3）丙酰芸苔素内酯首次工艺论证</w:t>
      </w:r>
    </w:p>
    <w:p>
      <w:pPr>
        <w:pStyle w:val="2"/>
        <w:rPr>
          <w:color w:val="auto"/>
        </w:rPr>
      </w:pPr>
      <w:r>
        <w:rPr>
          <w:color w:val="auto"/>
        </w:rPr>
        <w:drawing>
          <wp:inline distT="0" distB="0" distL="0" distR="0">
            <wp:extent cx="5718175" cy="8340725"/>
            <wp:effectExtent l="0" t="0" r="0" b="3175"/>
            <wp:docPr id="494286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86819" name="图片 1"/>
                    <pic:cNvPicPr>
                      <a:picLocks noChangeAspect="1"/>
                    </pic:cNvPicPr>
                  </pic:nvPicPr>
                  <pic:blipFill>
                    <a:blip r:embed="rId82"/>
                    <a:stretch>
                      <a:fillRect/>
                    </a:stretch>
                  </pic:blipFill>
                  <pic:spPr>
                    <a:xfrm>
                      <a:off x="0" y="0"/>
                      <a:ext cx="5727306" cy="8354015"/>
                    </a:xfrm>
                    <a:prstGeom prst="rect">
                      <a:avLst/>
                    </a:prstGeom>
                  </pic:spPr>
                </pic:pic>
              </a:graphicData>
            </a:graphic>
          </wp:inline>
        </w:drawing>
      </w:r>
      <w:r>
        <w:rPr>
          <w:color w:val="auto"/>
        </w:rPr>
        <w:drawing>
          <wp:inline distT="0" distB="0" distL="0" distR="0">
            <wp:extent cx="5690870" cy="8792845"/>
            <wp:effectExtent l="0" t="0" r="5080" b="8255"/>
            <wp:docPr id="30611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1588" name="图片 1"/>
                    <pic:cNvPicPr>
                      <a:picLocks noChangeAspect="1"/>
                    </pic:cNvPicPr>
                  </pic:nvPicPr>
                  <pic:blipFill>
                    <a:blip r:embed="rId83"/>
                    <a:stretch>
                      <a:fillRect/>
                    </a:stretch>
                  </pic:blipFill>
                  <pic:spPr>
                    <a:xfrm>
                      <a:off x="0" y="0"/>
                      <a:ext cx="5699848" cy="8806335"/>
                    </a:xfrm>
                    <a:prstGeom prst="rect">
                      <a:avLst/>
                    </a:prstGeom>
                  </pic:spPr>
                </pic:pic>
              </a:graphicData>
            </a:graphic>
          </wp:inline>
        </w:drawing>
      </w:r>
      <w:r>
        <w:rPr>
          <w:color w:val="auto"/>
        </w:rPr>
        <w:drawing>
          <wp:inline distT="0" distB="0" distL="0" distR="0">
            <wp:extent cx="5772785" cy="4817110"/>
            <wp:effectExtent l="0" t="0" r="0" b="2540"/>
            <wp:docPr id="1335756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56435" name="图片 1"/>
                    <pic:cNvPicPr>
                      <a:picLocks noChangeAspect="1"/>
                    </pic:cNvPicPr>
                  </pic:nvPicPr>
                  <pic:blipFill>
                    <a:blip r:embed="rId84"/>
                    <a:stretch>
                      <a:fillRect/>
                    </a:stretch>
                  </pic:blipFill>
                  <pic:spPr>
                    <a:xfrm>
                      <a:off x="0" y="0"/>
                      <a:ext cx="5785563" cy="4827953"/>
                    </a:xfrm>
                    <a:prstGeom prst="rect">
                      <a:avLst/>
                    </a:prstGeom>
                  </pic:spPr>
                </pic:pic>
              </a:graphicData>
            </a:graphic>
          </wp:inline>
        </w:drawing>
      </w:r>
      <w:r>
        <w:rPr>
          <w:color w:val="auto"/>
        </w:rPr>
        <w:drawing>
          <wp:inline distT="0" distB="0" distL="0" distR="0">
            <wp:extent cx="5758815" cy="8790940"/>
            <wp:effectExtent l="0" t="0" r="0" b="0"/>
            <wp:docPr id="1989996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96390" name="图片 1"/>
                    <pic:cNvPicPr>
                      <a:picLocks noChangeAspect="1"/>
                    </pic:cNvPicPr>
                  </pic:nvPicPr>
                  <pic:blipFill>
                    <a:blip r:embed="rId85"/>
                    <a:stretch>
                      <a:fillRect/>
                    </a:stretch>
                  </pic:blipFill>
                  <pic:spPr>
                    <a:xfrm>
                      <a:off x="0" y="0"/>
                      <a:ext cx="5771124" cy="8809256"/>
                    </a:xfrm>
                    <a:prstGeom prst="rect">
                      <a:avLst/>
                    </a:prstGeom>
                  </pic:spPr>
                </pic:pic>
              </a:graphicData>
            </a:graphic>
          </wp:inline>
        </w:drawing>
      </w:r>
      <w:r>
        <w:rPr>
          <w:color w:val="auto"/>
        </w:rPr>
        <w:drawing>
          <wp:inline distT="0" distB="0" distL="0" distR="0">
            <wp:extent cx="5718175" cy="8677275"/>
            <wp:effectExtent l="0" t="0" r="0" b="0"/>
            <wp:docPr id="600617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17746" name="图片 1"/>
                    <pic:cNvPicPr>
                      <a:picLocks noChangeAspect="1"/>
                    </pic:cNvPicPr>
                  </pic:nvPicPr>
                  <pic:blipFill>
                    <a:blip r:embed="rId86"/>
                    <a:stretch>
                      <a:fillRect/>
                    </a:stretch>
                  </pic:blipFill>
                  <pic:spPr>
                    <a:xfrm>
                      <a:off x="0" y="0"/>
                      <a:ext cx="5727539" cy="8691353"/>
                    </a:xfrm>
                    <a:prstGeom prst="rect">
                      <a:avLst/>
                    </a:prstGeom>
                  </pic:spPr>
                </pic:pic>
              </a:graphicData>
            </a:graphic>
          </wp:inline>
        </w:drawing>
      </w:r>
    </w:p>
    <w:p>
      <w:pPr>
        <w:pStyle w:val="2"/>
        <w:rPr>
          <w:color w:val="auto"/>
        </w:rPr>
      </w:pPr>
      <w:r>
        <w:rPr>
          <w:color w:val="auto"/>
        </w:rPr>
        <w:drawing>
          <wp:inline distT="0" distB="0" distL="0" distR="0">
            <wp:extent cx="5731510" cy="6756400"/>
            <wp:effectExtent l="0" t="0" r="2540" b="6350"/>
            <wp:docPr id="1955446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46004" name="图片 1"/>
                    <pic:cNvPicPr>
                      <a:picLocks noChangeAspect="1"/>
                    </pic:cNvPicPr>
                  </pic:nvPicPr>
                  <pic:blipFill>
                    <a:blip r:embed="rId87"/>
                    <a:stretch>
                      <a:fillRect/>
                    </a:stretch>
                  </pic:blipFill>
                  <pic:spPr>
                    <a:xfrm>
                      <a:off x="0" y="0"/>
                      <a:ext cx="5738927" cy="6764558"/>
                    </a:xfrm>
                    <a:prstGeom prst="rect">
                      <a:avLst/>
                    </a:prstGeom>
                  </pic:spPr>
                </pic:pic>
              </a:graphicData>
            </a:graphic>
          </wp:inline>
        </w:drawing>
      </w:r>
    </w:p>
    <w:p>
      <w:pPr>
        <w:rPr>
          <w:color w:val="auto"/>
        </w:rPr>
      </w:pPr>
      <w:r>
        <w:rPr>
          <w:color w:val="auto"/>
        </w:rPr>
        <w:br w:type="page"/>
      </w:r>
    </w:p>
    <w:p>
      <w:pPr>
        <w:pStyle w:val="2"/>
        <w:rPr>
          <w:color w:val="auto"/>
        </w:rPr>
      </w:pPr>
      <w:r>
        <w:rPr>
          <w:rFonts w:hint="eastAsia"/>
          <w:color w:val="auto"/>
        </w:rPr>
        <w:t>6：危险工艺反应风险评估</w:t>
      </w:r>
    </w:p>
    <w:p>
      <w:pPr>
        <w:pStyle w:val="2"/>
        <w:rPr>
          <w:color w:val="auto"/>
        </w:rPr>
      </w:pPr>
      <w:r>
        <w:rPr>
          <w:color w:val="auto"/>
        </w:rPr>
        <w:drawing>
          <wp:inline distT="0" distB="0" distL="114300" distR="114300">
            <wp:extent cx="5737225" cy="8176895"/>
            <wp:effectExtent l="0" t="0" r="15875" b="1460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88"/>
                    <a:stretch>
                      <a:fillRect/>
                    </a:stretch>
                  </pic:blipFill>
                  <pic:spPr>
                    <a:xfrm>
                      <a:off x="0" y="0"/>
                      <a:ext cx="5737225" cy="8176895"/>
                    </a:xfrm>
                    <a:prstGeom prst="rect">
                      <a:avLst/>
                    </a:prstGeom>
                    <a:noFill/>
                    <a:ln>
                      <a:noFill/>
                    </a:ln>
                  </pic:spPr>
                </pic:pic>
              </a:graphicData>
            </a:graphic>
          </wp:inline>
        </w:drawing>
      </w:r>
      <w:r>
        <w:rPr>
          <w:color w:val="auto"/>
        </w:rPr>
        <w:drawing>
          <wp:inline distT="0" distB="0" distL="114300" distR="114300">
            <wp:extent cx="5700395" cy="8535035"/>
            <wp:effectExtent l="0" t="0" r="14605" b="1841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89"/>
                    <a:stretch>
                      <a:fillRect/>
                    </a:stretch>
                  </pic:blipFill>
                  <pic:spPr>
                    <a:xfrm>
                      <a:off x="0" y="0"/>
                      <a:ext cx="5700395" cy="8535035"/>
                    </a:xfrm>
                    <a:prstGeom prst="rect">
                      <a:avLst/>
                    </a:prstGeom>
                    <a:noFill/>
                    <a:ln>
                      <a:noFill/>
                    </a:ln>
                  </pic:spPr>
                </pic:pic>
              </a:graphicData>
            </a:graphic>
          </wp:inline>
        </w:drawing>
      </w:r>
    </w:p>
    <w:p>
      <w:pPr>
        <w:pStyle w:val="2"/>
        <w:rPr>
          <w:color w:val="auto"/>
        </w:rPr>
      </w:pPr>
      <w:r>
        <w:rPr>
          <w:color w:val="auto"/>
        </w:rPr>
        <w:drawing>
          <wp:inline distT="0" distB="0" distL="114300" distR="114300">
            <wp:extent cx="5725795" cy="7567930"/>
            <wp:effectExtent l="0" t="0" r="8255" b="1397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90"/>
                    <a:stretch>
                      <a:fillRect/>
                    </a:stretch>
                  </pic:blipFill>
                  <pic:spPr>
                    <a:xfrm>
                      <a:off x="0" y="0"/>
                      <a:ext cx="5725795" cy="7567930"/>
                    </a:xfrm>
                    <a:prstGeom prst="rect">
                      <a:avLst/>
                    </a:prstGeom>
                    <a:noFill/>
                    <a:ln>
                      <a:noFill/>
                    </a:ln>
                  </pic:spPr>
                </pic:pic>
              </a:graphicData>
            </a:graphic>
          </wp:inline>
        </w:drawing>
      </w:r>
      <w:r>
        <w:rPr>
          <w:color w:val="auto"/>
        </w:rPr>
        <w:drawing>
          <wp:inline distT="0" distB="0" distL="114300" distR="114300">
            <wp:extent cx="5740400" cy="8206740"/>
            <wp:effectExtent l="0" t="0" r="12700" b="381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91"/>
                    <a:stretch>
                      <a:fillRect/>
                    </a:stretch>
                  </pic:blipFill>
                  <pic:spPr>
                    <a:xfrm>
                      <a:off x="0" y="0"/>
                      <a:ext cx="5740400" cy="8206740"/>
                    </a:xfrm>
                    <a:prstGeom prst="rect">
                      <a:avLst/>
                    </a:prstGeom>
                    <a:noFill/>
                    <a:ln>
                      <a:noFill/>
                    </a:ln>
                  </pic:spPr>
                </pic:pic>
              </a:graphicData>
            </a:graphic>
          </wp:inline>
        </w:drawing>
      </w:r>
      <w:r>
        <w:rPr>
          <w:color w:val="auto"/>
        </w:rPr>
        <w:drawing>
          <wp:inline distT="0" distB="0" distL="114300" distR="114300">
            <wp:extent cx="5770880" cy="7581265"/>
            <wp:effectExtent l="0" t="0" r="1270" b="635"/>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92"/>
                    <a:stretch>
                      <a:fillRect/>
                    </a:stretch>
                  </pic:blipFill>
                  <pic:spPr>
                    <a:xfrm>
                      <a:off x="0" y="0"/>
                      <a:ext cx="5770880" cy="7581265"/>
                    </a:xfrm>
                    <a:prstGeom prst="rect">
                      <a:avLst/>
                    </a:prstGeom>
                    <a:noFill/>
                    <a:ln>
                      <a:noFill/>
                    </a:ln>
                  </pic:spPr>
                </pic:pic>
              </a:graphicData>
            </a:graphic>
          </wp:inline>
        </w:drawing>
      </w:r>
      <w:r>
        <w:rPr>
          <w:color w:val="auto"/>
        </w:rPr>
        <w:drawing>
          <wp:inline distT="0" distB="0" distL="114300" distR="114300">
            <wp:extent cx="5731510" cy="8129905"/>
            <wp:effectExtent l="0" t="0" r="2540" b="444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93"/>
                    <a:stretch>
                      <a:fillRect/>
                    </a:stretch>
                  </pic:blipFill>
                  <pic:spPr>
                    <a:xfrm>
                      <a:off x="0" y="0"/>
                      <a:ext cx="5731510" cy="8129905"/>
                    </a:xfrm>
                    <a:prstGeom prst="rect">
                      <a:avLst/>
                    </a:prstGeom>
                    <a:noFill/>
                    <a:ln>
                      <a:noFill/>
                    </a:ln>
                  </pic:spPr>
                </pic:pic>
              </a:graphicData>
            </a:graphic>
          </wp:inline>
        </w:drawing>
      </w:r>
      <w:r>
        <w:rPr>
          <w:color w:val="auto"/>
        </w:rPr>
        <w:drawing>
          <wp:inline distT="0" distB="0" distL="114300" distR="114300">
            <wp:extent cx="5730240" cy="2287270"/>
            <wp:effectExtent l="0" t="0" r="3810" b="1778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94"/>
                    <a:stretch>
                      <a:fillRect/>
                    </a:stretch>
                  </pic:blipFill>
                  <pic:spPr>
                    <a:xfrm>
                      <a:off x="0" y="0"/>
                      <a:ext cx="5730240" cy="2287270"/>
                    </a:xfrm>
                    <a:prstGeom prst="rect">
                      <a:avLst/>
                    </a:prstGeom>
                    <a:noFill/>
                    <a:ln>
                      <a:noFill/>
                    </a:ln>
                  </pic:spPr>
                </pic:pic>
              </a:graphicData>
            </a:graphic>
          </wp:inline>
        </w:drawing>
      </w:r>
      <w:r>
        <w:rPr>
          <w:color w:val="auto"/>
        </w:rPr>
        <w:drawing>
          <wp:inline distT="0" distB="0" distL="114300" distR="114300">
            <wp:extent cx="5744845" cy="7391400"/>
            <wp:effectExtent l="0" t="0" r="8255" b="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95"/>
                    <a:stretch>
                      <a:fillRect/>
                    </a:stretch>
                  </pic:blipFill>
                  <pic:spPr>
                    <a:xfrm>
                      <a:off x="0" y="0"/>
                      <a:ext cx="5744845" cy="7391400"/>
                    </a:xfrm>
                    <a:prstGeom prst="rect">
                      <a:avLst/>
                    </a:prstGeom>
                    <a:noFill/>
                    <a:ln>
                      <a:noFill/>
                    </a:ln>
                  </pic:spPr>
                </pic:pic>
              </a:graphicData>
            </a:graphic>
          </wp:inline>
        </w:drawing>
      </w:r>
      <w:r>
        <w:rPr>
          <w:color w:val="auto"/>
        </w:rPr>
        <w:drawing>
          <wp:inline distT="0" distB="0" distL="114300" distR="114300">
            <wp:extent cx="5751195" cy="8480425"/>
            <wp:effectExtent l="0" t="0" r="1905" b="15875"/>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96"/>
                    <a:stretch>
                      <a:fillRect/>
                    </a:stretch>
                  </pic:blipFill>
                  <pic:spPr>
                    <a:xfrm>
                      <a:off x="0" y="0"/>
                      <a:ext cx="5751195" cy="8480425"/>
                    </a:xfrm>
                    <a:prstGeom prst="rect">
                      <a:avLst/>
                    </a:prstGeom>
                    <a:noFill/>
                    <a:ln>
                      <a:noFill/>
                    </a:ln>
                  </pic:spPr>
                </pic:pic>
              </a:graphicData>
            </a:graphic>
          </wp:inline>
        </w:drawing>
      </w:r>
      <w:r>
        <w:rPr>
          <w:color w:val="auto"/>
        </w:rPr>
        <w:t xml:space="preserve"> </w:t>
      </w:r>
      <w:r>
        <w:rPr>
          <w:color w:val="auto"/>
        </w:rPr>
        <w:drawing>
          <wp:inline distT="0" distB="0" distL="0" distR="0">
            <wp:extent cx="5735320" cy="7388860"/>
            <wp:effectExtent l="0" t="0" r="0" b="2540"/>
            <wp:docPr id="1918653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53048" name="图片 1"/>
                    <pic:cNvPicPr>
                      <a:picLocks noChangeAspect="1"/>
                    </pic:cNvPicPr>
                  </pic:nvPicPr>
                  <pic:blipFill>
                    <a:blip r:embed="rId97"/>
                    <a:stretch>
                      <a:fillRect/>
                    </a:stretch>
                  </pic:blipFill>
                  <pic:spPr>
                    <a:xfrm>
                      <a:off x="0" y="0"/>
                      <a:ext cx="5742373" cy="7397466"/>
                    </a:xfrm>
                    <a:prstGeom prst="rect">
                      <a:avLst/>
                    </a:prstGeom>
                  </pic:spPr>
                </pic:pic>
              </a:graphicData>
            </a:graphic>
          </wp:inline>
        </w:drawing>
      </w:r>
      <w:r>
        <w:rPr>
          <w:color w:val="auto"/>
        </w:rPr>
        <w:t xml:space="preserve"> </w:t>
      </w:r>
      <w:r>
        <w:rPr>
          <w:color w:val="auto"/>
        </w:rPr>
        <w:drawing>
          <wp:inline distT="0" distB="0" distL="0" distR="0">
            <wp:extent cx="5747385" cy="8849995"/>
            <wp:effectExtent l="0" t="0" r="5715" b="8255"/>
            <wp:docPr id="1992933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33807" name="图片 1"/>
                    <pic:cNvPicPr>
                      <a:picLocks noChangeAspect="1"/>
                    </pic:cNvPicPr>
                  </pic:nvPicPr>
                  <pic:blipFill>
                    <a:blip r:embed="rId98"/>
                    <a:stretch>
                      <a:fillRect/>
                    </a:stretch>
                  </pic:blipFill>
                  <pic:spPr>
                    <a:xfrm>
                      <a:off x="0" y="0"/>
                      <a:ext cx="5756258" cy="8863721"/>
                    </a:xfrm>
                    <a:prstGeom prst="rect">
                      <a:avLst/>
                    </a:prstGeom>
                  </pic:spPr>
                </pic:pic>
              </a:graphicData>
            </a:graphic>
          </wp:inline>
        </w:drawing>
      </w:r>
      <w:r>
        <w:rPr>
          <w:color w:val="auto"/>
        </w:rPr>
        <w:t xml:space="preserve">   </w:t>
      </w:r>
      <w:r>
        <w:rPr>
          <w:color w:val="auto"/>
        </w:rPr>
        <w:drawing>
          <wp:inline distT="0" distB="0" distL="114300" distR="114300">
            <wp:extent cx="5757545" cy="7615555"/>
            <wp:effectExtent l="0" t="0" r="14605" b="4445"/>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99"/>
                    <a:stretch>
                      <a:fillRect/>
                    </a:stretch>
                  </pic:blipFill>
                  <pic:spPr>
                    <a:xfrm>
                      <a:off x="0" y="0"/>
                      <a:ext cx="5757545" cy="7615555"/>
                    </a:xfrm>
                    <a:prstGeom prst="rect">
                      <a:avLst/>
                    </a:prstGeom>
                    <a:noFill/>
                    <a:ln>
                      <a:noFill/>
                    </a:ln>
                  </pic:spPr>
                </pic:pic>
              </a:graphicData>
            </a:graphic>
          </wp:inline>
        </w:drawing>
      </w:r>
      <w:r>
        <w:rPr>
          <w:color w:val="auto"/>
        </w:rPr>
        <w:drawing>
          <wp:inline distT="0" distB="0" distL="114300" distR="114300">
            <wp:extent cx="5725795" cy="8147685"/>
            <wp:effectExtent l="0" t="0" r="8255" b="5715"/>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100"/>
                    <a:stretch>
                      <a:fillRect/>
                    </a:stretch>
                  </pic:blipFill>
                  <pic:spPr>
                    <a:xfrm>
                      <a:off x="0" y="0"/>
                      <a:ext cx="5725795" cy="8147685"/>
                    </a:xfrm>
                    <a:prstGeom prst="rect">
                      <a:avLst/>
                    </a:prstGeom>
                    <a:noFill/>
                    <a:ln>
                      <a:noFill/>
                    </a:ln>
                  </pic:spPr>
                </pic:pic>
              </a:graphicData>
            </a:graphic>
          </wp:inline>
        </w:drawing>
      </w:r>
      <w:r>
        <w:rPr>
          <w:color w:val="auto"/>
        </w:rPr>
        <w:drawing>
          <wp:inline distT="0" distB="0" distL="114300" distR="114300">
            <wp:extent cx="5753735" cy="7484110"/>
            <wp:effectExtent l="0" t="0" r="18415" b="254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101"/>
                    <a:stretch>
                      <a:fillRect/>
                    </a:stretch>
                  </pic:blipFill>
                  <pic:spPr>
                    <a:xfrm>
                      <a:off x="0" y="0"/>
                      <a:ext cx="5753735" cy="7484110"/>
                    </a:xfrm>
                    <a:prstGeom prst="rect">
                      <a:avLst/>
                    </a:prstGeom>
                    <a:noFill/>
                    <a:ln>
                      <a:noFill/>
                    </a:ln>
                  </pic:spPr>
                </pic:pic>
              </a:graphicData>
            </a:graphic>
          </wp:inline>
        </w:drawing>
      </w:r>
      <w:r>
        <w:rPr>
          <w:color w:val="auto"/>
        </w:rPr>
        <w:drawing>
          <wp:inline distT="0" distB="0" distL="114300" distR="114300">
            <wp:extent cx="5756275" cy="8115300"/>
            <wp:effectExtent l="0" t="0" r="15875" b="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102"/>
                    <a:stretch>
                      <a:fillRect/>
                    </a:stretch>
                  </pic:blipFill>
                  <pic:spPr>
                    <a:xfrm>
                      <a:off x="0" y="0"/>
                      <a:ext cx="5756275" cy="8115300"/>
                    </a:xfrm>
                    <a:prstGeom prst="rect">
                      <a:avLst/>
                    </a:prstGeom>
                    <a:noFill/>
                    <a:ln>
                      <a:noFill/>
                    </a:ln>
                  </pic:spPr>
                </pic:pic>
              </a:graphicData>
            </a:graphic>
          </wp:inline>
        </w:drawing>
      </w:r>
      <w:r>
        <w:rPr>
          <w:color w:val="auto"/>
        </w:rPr>
        <w:t xml:space="preserve"> </w:t>
      </w:r>
      <w:r>
        <w:rPr>
          <w:color w:val="auto"/>
        </w:rPr>
        <w:drawing>
          <wp:inline distT="0" distB="0" distL="0" distR="0">
            <wp:extent cx="5735320" cy="7696835"/>
            <wp:effectExtent l="0" t="0" r="0" b="0"/>
            <wp:docPr id="1426817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17480" name="图片 1"/>
                    <pic:cNvPicPr>
                      <a:picLocks noChangeAspect="1"/>
                    </pic:cNvPicPr>
                  </pic:nvPicPr>
                  <pic:blipFill>
                    <a:blip r:embed="rId103"/>
                    <a:stretch>
                      <a:fillRect/>
                    </a:stretch>
                  </pic:blipFill>
                  <pic:spPr>
                    <a:xfrm>
                      <a:off x="0" y="0"/>
                      <a:ext cx="5743448" cy="7707409"/>
                    </a:xfrm>
                    <a:prstGeom prst="rect">
                      <a:avLst/>
                    </a:prstGeom>
                  </pic:spPr>
                </pic:pic>
              </a:graphicData>
            </a:graphic>
          </wp:inline>
        </w:drawing>
      </w:r>
      <w:r>
        <w:rPr>
          <w:color w:val="auto"/>
        </w:rPr>
        <w:t xml:space="preserve"> </w:t>
      </w:r>
      <w:r>
        <w:rPr>
          <w:color w:val="auto"/>
        </w:rPr>
        <w:drawing>
          <wp:inline distT="0" distB="0" distL="0" distR="0">
            <wp:extent cx="5723890" cy="8742680"/>
            <wp:effectExtent l="0" t="0" r="0" b="1270"/>
            <wp:docPr id="782262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62000" name="图片 1"/>
                    <pic:cNvPicPr>
                      <a:picLocks noChangeAspect="1"/>
                    </pic:cNvPicPr>
                  </pic:nvPicPr>
                  <pic:blipFill>
                    <a:blip r:embed="rId104"/>
                    <a:stretch>
                      <a:fillRect/>
                    </a:stretch>
                  </pic:blipFill>
                  <pic:spPr>
                    <a:xfrm>
                      <a:off x="0" y="0"/>
                      <a:ext cx="5729918" cy="8752025"/>
                    </a:xfrm>
                    <a:prstGeom prst="rect">
                      <a:avLst/>
                    </a:prstGeom>
                  </pic:spPr>
                </pic:pic>
              </a:graphicData>
            </a:graphic>
          </wp:inline>
        </w:drawing>
      </w:r>
      <w:r>
        <w:rPr>
          <w:color w:val="auto"/>
        </w:rPr>
        <w:t xml:space="preserve"> </w:t>
      </w:r>
      <w:r>
        <w:rPr>
          <w:color w:val="auto"/>
        </w:rPr>
        <w:drawing>
          <wp:inline distT="0" distB="0" distL="114300" distR="114300">
            <wp:extent cx="5761990" cy="7773670"/>
            <wp:effectExtent l="0" t="0" r="10160" b="17780"/>
            <wp:docPr id="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pic:cNvPicPr>
                      <a:picLocks noChangeAspect="1"/>
                    </pic:cNvPicPr>
                  </pic:nvPicPr>
                  <pic:blipFill>
                    <a:blip r:embed="rId105"/>
                    <a:stretch>
                      <a:fillRect/>
                    </a:stretch>
                  </pic:blipFill>
                  <pic:spPr>
                    <a:xfrm>
                      <a:off x="0" y="0"/>
                      <a:ext cx="5761990" cy="7773670"/>
                    </a:xfrm>
                    <a:prstGeom prst="rect">
                      <a:avLst/>
                    </a:prstGeom>
                    <a:noFill/>
                    <a:ln>
                      <a:noFill/>
                    </a:ln>
                  </pic:spPr>
                </pic:pic>
              </a:graphicData>
            </a:graphic>
          </wp:inline>
        </w:drawing>
      </w:r>
      <w:r>
        <w:rPr>
          <w:color w:val="auto"/>
        </w:rPr>
        <w:drawing>
          <wp:inline distT="0" distB="0" distL="114300" distR="114300">
            <wp:extent cx="5748655" cy="8583930"/>
            <wp:effectExtent l="0" t="0" r="4445" b="7620"/>
            <wp:docPr id="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1"/>
                    </pic:cNvPicPr>
                  </pic:nvPicPr>
                  <pic:blipFill>
                    <a:blip r:embed="rId106"/>
                    <a:stretch>
                      <a:fillRect/>
                    </a:stretch>
                  </pic:blipFill>
                  <pic:spPr>
                    <a:xfrm>
                      <a:off x="0" y="0"/>
                      <a:ext cx="5748655" cy="8583930"/>
                    </a:xfrm>
                    <a:prstGeom prst="rect">
                      <a:avLst/>
                    </a:prstGeom>
                    <a:noFill/>
                    <a:ln>
                      <a:noFill/>
                    </a:ln>
                  </pic:spPr>
                </pic:pic>
              </a:graphicData>
            </a:graphic>
          </wp:inline>
        </w:drawing>
      </w:r>
    </w:p>
    <w:p>
      <w:pPr>
        <w:rPr>
          <w:color w:val="auto"/>
        </w:rPr>
      </w:pPr>
      <w:r>
        <w:rPr>
          <w:color w:val="auto"/>
        </w:rPr>
        <w:br w:type="page"/>
      </w:r>
    </w:p>
    <w:p>
      <w:pPr>
        <w:pStyle w:val="2"/>
        <w:rPr>
          <w:color w:val="auto"/>
        </w:rPr>
      </w:pPr>
      <w:r>
        <w:rPr>
          <w:rFonts w:hint="eastAsia"/>
          <w:color w:val="auto"/>
        </w:rPr>
        <w:t>7</w:t>
      </w:r>
      <w:r>
        <w:rPr>
          <w:color w:val="auto"/>
        </w:rPr>
        <w:t>.</w:t>
      </w:r>
      <w:r>
        <w:rPr>
          <w:rFonts w:hint="eastAsia"/>
          <w:color w:val="auto"/>
        </w:rPr>
        <w:t>入园证明</w:t>
      </w:r>
    </w:p>
    <w:p>
      <w:pPr>
        <w:pStyle w:val="2"/>
        <w:rPr>
          <w:color w:val="auto"/>
        </w:rPr>
      </w:pPr>
      <w:r>
        <w:rPr>
          <w:color w:val="auto"/>
        </w:rPr>
        <w:drawing>
          <wp:inline distT="0" distB="0" distL="0" distR="0">
            <wp:extent cx="5581015" cy="5908675"/>
            <wp:effectExtent l="0" t="0" r="635" b="0"/>
            <wp:docPr id="1303956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56318" name="图片 1"/>
                    <pic:cNvPicPr>
                      <a:picLocks noChangeAspect="1"/>
                    </pic:cNvPicPr>
                  </pic:nvPicPr>
                  <pic:blipFill>
                    <a:blip r:embed="rId107"/>
                    <a:stretch>
                      <a:fillRect/>
                    </a:stretch>
                  </pic:blipFill>
                  <pic:spPr>
                    <a:xfrm>
                      <a:off x="0" y="0"/>
                      <a:ext cx="5591742" cy="5919926"/>
                    </a:xfrm>
                    <a:prstGeom prst="rect">
                      <a:avLst/>
                    </a:prstGeom>
                  </pic:spPr>
                </pic:pic>
              </a:graphicData>
            </a:graphic>
          </wp:inline>
        </w:drawing>
      </w:r>
    </w:p>
    <w:p>
      <w:pPr>
        <w:pStyle w:val="2"/>
        <w:rPr>
          <w:color w:val="auto"/>
        </w:rPr>
      </w:pPr>
      <w:r>
        <w:rPr>
          <w:color w:val="auto"/>
        </w:rPr>
        <w:br w:type="page"/>
      </w:r>
    </w:p>
    <w:p>
      <w:pPr>
        <w:pStyle w:val="2"/>
        <w:rPr>
          <w:color w:val="auto"/>
        </w:rPr>
      </w:pPr>
      <w:r>
        <w:rPr>
          <w:color w:val="auto"/>
        </w:rPr>
        <w:t>8</w:t>
      </w:r>
      <w:r>
        <w:rPr>
          <w:rFonts w:hint="eastAsia"/>
          <w:color w:val="auto"/>
        </w:rPr>
        <w:t>：</w:t>
      </w:r>
      <w:r>
        <w:rPr>
          <w:color w:val="auto"/>
        </w:rPr>
        <w:t>总平面布置图</w:t>
      </w:r>
    </w:p>
    <w:p>
      <w:pPr>
        <w:jc w:val="left"/>
        <w:rPr>
          <w:color w:val="auto"/>
          <w:kern w:val="0"/>
          <w:sz w:val="28"/>
          <w:szCs w:val="28"/>
        </w:rPr>
      </w:pPr>
    </w:p>
    <w:p>
      <w:pPr>
        <w:jc w:val="left"/>
        <w:rPr>
          <w:color w:val="auto"/>
          <w:kern w:val="0"/>
          <w:sz w:val="28"/>
          <w:szCs w:val="28"/>
        </w:rPr>
      </w:pPr>
    </w:p>
    <w:sectPr>
      <w:headerReference r:id="rId16" w:type="default"/>
      <w:footerReference r:id="rId17" w:type="default"/>
      <w:pgSz w:w="11906" w:h="16838"/>
      <w:pgMar w:top="1418" w:right="1418" w:bottom="1440"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00"/>
    <w:family w:val="auto"/>
    <w:pitch w:val="default"/>
    <w:sig w:usb0="00000000" w:usb1="00000000" w:usb2="00000000" w:usb3="00000000" w:csb0="00000000" w:csb1="00000000"/>
  </w:font>
  <w:font w:name="TimesNewRomanPSMT">
    <w:altName w:val="Times New Roman"/>
    <w:panose1 w:val="00000000000000000000"/>
    <w:charset w:val="00"/>
    <w:family w:val="auto"/>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ArialMT">
    <w:altName w:val="Arial"/>
    <w:panose1 w:val="00000000000000000000"/>
    <w:charset w:val="00"/>
    <w:family w:val="swiss"/>
    <w:pitch w:val="default"/>
    <w:sig w:usb0="00000000" w:usb1="00000000" w:usb2="00000000" w:usb3="00000000" w:csb0="00000001" w:csb1="00000000"/>
  </w:font>
  <w:font w:name="_5b8b_4f53">
    <w:altName w:val="Calibri"/>
    <w:panose1 w:val="00000000000000000000"/>
    <w:charset w:val="00"/>
    <w:family w:val="auto"/>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SimSun-Identity-H">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Open Sans">
    <w:altName w:val="Times New Roman"/>
    <w:panose1 w:val="00000000000000000000"/>
    <w:charset w:val="00"/>
    <w:family w:val="swiss"/>
    <w:pitch w:val="default"/>
    <w:sig w:usb0="00000000" w:usb1="00000000" w:usb2="00000028" w:usb3="00000000" w:csb0="0000019F" w:csb1="00000000"/>
  </w:font>
  <w:font w:name="Helvetica">
    <w:altName w:val="Arial"/>
    <w:panose1 w:val="020B0604020202020204"/>
    <w:charset w:val="00"/>
    <w:family w:val="swiss"/>
    <w:pitch w:val="default"/>
    <w:sig w:usb0="00000000" w:usb1="00000000" w:usb2="00000009" w:usb3="00000000" w:csb0="000001F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qthBktAgAAVwQAAA4AAABkcnMvZTJvRG9jLnhtbK1UzY7TMBC+I/EO&#10;lu80aYGlqp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qthBktAgAAVwQAAA4AAAAAAAAAAQAgAAAAHwEAAGRycy9lMm9Eb2MueG1sUEsFBgAAAAAG&#10;AAYAWQEAAL4FA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AsRGw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B3TVTqPjpx/fT&#10;z4fTr28EZxCotX6GuHuLyNC9Mx3aZjj3OIy8u8qp+AUjAj/kPV7kFV0gPF6aTqbTHC4O37ABfvZ4&#10;3Tof3gujSDQK6lC/JCs7bHzoQ4eQmE2bdSNlqqHUpC3o1eu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ACxEbCwCAABXBAAADgAAAAAAAAABACAAAAAfAQAAZHJzL2Uyb0RvYy54bWxQSwUGAAAAAAYA&#10;BgBZAQAAvQU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hhFyw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hhFywtAgAAVwQAAA4AAAAAAAAAAQAgAAAAHwEAAGRycy9lMm9Eb2MueG1sUEsFBgAAAAAG&#10;AAYAWQEAAL4FA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2"/>
      </w:pBdr>
      <w:tabs>
        <w:tab w:val="left" w:pos="5254"/>
        <w:tab w:val="right" w:pos="8306"/>
      </w:tabs>
      <w:snapToGrid w:val="0"/>
      <w:jc w:val="left"/>
      <w:rPr>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x+U5ssAgAAV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H5TmywCAABXBAAADgAAAAAAAAABACAAAAAfAQAAZHJzL2Uyb0RvYy54bWxQSwUGAAAAAAYA&#10;BgBZAQAAvQU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r>
      <w:rPr>
        <w:rFonts w:hint="eastAsia"/>
        <w:sz w:val="18"/>
      </w:rPr>
      <w:t>江西赣安安全生产科学技术咨询服务中心</w:t>
    </w:r>
    <w:r>
      <w:rPr>
        <w:rFonts w:hint="eastAsia"/>
        <w:sz w:val="18"/>
      </w:rPr>
      <w:tab/>
    </w:r>
    <w:r>
      <w:rPr>
        <w:rFonts w:hint="eastAsia"/>
        <w:sz w:val="18"/>
      </w:rPr>
      <w:t xml:space="preserve">                         APJ－（赣）－002</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snapToGrid w:val="0"/>
      <w:jc w:val="left"/>
      <w:rPr>
        <w:rFonts w:ascii="Calibri" w:hAnsi="Calibri"/>
        <w:sz w:val="18"/>
        <w:szCs w:val="18"/>
      </w:rPr>
    </w:pPr>
    <w:r>
      <w:rPr>
        <w:rFonts w:hint="eastAsia" w:ascii="宋体" w:hAnsi="宋体"/>
        <w:sz w:val="18"/>
        <w:szCs w:val="18"/>
      </w:rPr>
      <w:t xml:space="preserve">江西鑫立莱生化有限责任公司年产芸苔素内酯原药5千kg、制剂3万吨项目 </w:t>
    </w:r>
    <w:r>
      <w:rPr>
        <w:rFonts w:ascii="宋体" w:hAnsi="宋体"/>
        <w:sz w:val="18"/>
        <w:szCs w:val="18"/>
      </w:rPr>
      <w:t xml:space="preserve">                </w:t>
    </w:r>
    <w:r>
      <w:rPr>
        <w:rFonts w:ascii="Calibri" w:hAnsi="Calibri"/>
        <w:sz w:val="18"/>
        <w:szCs w:val="18"/>
      </w:rPr>
      <w:t>GAAP[20</w:t>
    </w:r>
    <w:r>
      <w:rPr>
        <w:rFonts w:hint="eastAsia" w:ascii="Calibri" w:hAnsi="Calibri"/>
        <w:sz w:val="18"/>
        <w:szCs w:val="18"/>
      </w:rPr>
      <w:t>2</w:t>
    </w:r>
    <w:r>
      <w:rPr>
        <w:rFonts w:ascii="Calibri" w:hAnsi="Calibri"/>
        <w:sz w:val="18"/>
        <w:szCs w:val="18"/>
      </w:rPr>
      <w:t>3]</w:t>
    </w:r>
    <w:r>
      <w:rPr>
        <w:rFonts w:hint="eastAsia" w:ascii="Calibri" w:hAnsi="Calibri"/>
        <w:sz w:val="18"/>
        <w:szCs w:val="18"/>
      </w:rPr>
      <w:t>0458</w:t>
    </w:r>
    <w:r>
      <w:rPr>
        <w:rFonts w:ascii="宋体" w:hAnsi="宋体"/>
        <w:sz w:val="18"/>
        <w:szCs w:val="18"/>
      </w:rPr>
      <w:t>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9670C1"/>
    <w:multiLevelType w:val="singleLevel"/>
    <w:tmpl w:val="839670C1"/>
    <w:lvl w:ilvl="0" w:tentative="0">
      <w:start w:val="1"/>
      <w:numFmt w:val="decimal"/>
      <w:lvlText w:val="%1."/>
      <w:lvlJc w:val="left"/>
      <w:pPr>
        <w:ind w:left="425" w:hanging="425"/>
      </w:pPr>
      <w:rPr>
        <w:rFonts w:hint="default"/>
      </w:rPr>
    </w:lvl>
  </w:abstractNum>
  <w:abstractNum w:abstractNumId="1">
    <w:nsid w:val="8DF9F4DF"/>
    <w:multiLevelType w:val="singleLevel"/>
    <w:tmpl w:val="8DF9F4DF"/>
    <w:lvl w:ilvl="0" w:tentative="0">
      <w:start w:val="1"/>
      <w:numFmt w:val="decimal"/>
      <w:lvlText w:val="%1."/>
      <w:lvlJc w:val="left"/>
      <w:pPr>
        <w:tabs>
          <w:tab w:val="left" w:pos="312"/>
        </w:tabs>
      </w:pPr>
    </w:lvl>
  </w:abstractNum>
  <w:abstractNum w:abstractNumId="2">
    <w:nsid w:val="9D16E17A"/>
    <w:multiLevelType w:val="singleLevel"/>
    <w:tmpl w:val="9D16E17A"/>
    <w:lvl w:ilvl="0" w:tentative="0">
      <w:start w:val="1"/>
      <w:numFmt w:val="decimal"/>
      <w:lvlText w:val="%1)"/>
      <w:lvlJc w:val="left"/>
      <w:pPr>
        <w:ind w:left="425" w:hanging="425"/>
      </w:pPr>
      <w:rPr>
        <w:rFonts w:hint="default"/>
      </w:rPr>
    </w:lvl>
  </w:abstractNum>
  <w:abstractNum w:abstractNumId="3">
    <w:nsid w:val="047F06B7"/>
    <w:multiLevelType w:val="singleLevel"/>
    <w:tmpl w:val="047F06B7"/>
    <w:lvl w:ilvl="0" w:tentative="0">
      <w:start w:val="1"/>
      <w:numFmt w:val="decimal"/>
      <w:lvlText w:val="%1."/>
      <w:lvlJc w:val="left"/>
      <w:pPr>
        <w:ind w:left="425" w:hanging="425"/>
      </w:pPr>
      <w:rPr>
        <w:rFonts w:hint="default"/>
      </w:rPr>
    </w:lvl>
  </w:abstractNum>
  <w:abstractNum w:abstractNumId="4">
    <w:nsid w:val="07A740FC"/>
    <w:multiLevelType w:val="multilevel"/>
    <w:tmpl w:val="07A740FC"/>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5">
    <w:nsid w:val="09483EB9"/>
    <w:multiLevelType w:val="multilevel"/>
    <w:tmpl w:val="09483EB9"/>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6">
    <w:nsid w:val="0FA01AA6"/>
    <w:multiLevelType w:val="multilevel"/>
    <w:tmpl w:val="0FA01AA6"/>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11E07286"/>
    <w:multiLevelType w:val="multilevel"/>
    <w:tmpl w:val="11E07286"/>
    <w:lvl w:ilvl="0" w:tentative="0">
      <w:start w:val="1"/>
      <w:numFmt w:val="decimal"/>
      <w:lvlText w:val="%1"/>
      <w:lvlJc w:val="left"/>
      <w:pPr>
        <w:tabs>
          <w:tab w:val="left" w:pos="360"/>
        </w:tabs>
        <w:ind w:left="360" w:hanging="360"/>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8">
    <w:nsid w:val="13BE1003"/>
    <w:multiLevelType w:val="multilevel"/>
    <w:tmpl w:val="13BE100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8DC58AD"/>
    <w:multiLevelType w:val="multilevel"/>
    <w:tmpl w:val="18DC58AD"/>
    <w:lvl w:ilvl="0" w:tentative="0">
      <w:start w:val="1"/>
      <w:numFmt w:val="decimal"/>
      <w:lvlText w:val="%1）"/>
      <w:lvlJc w:val="left"/>
      <w:pPr>
        <w:ind w:left="980" w:hanging="420"/>
      </w:pPr>
      <w:rPr>
        <w:rFonts w:hint="eastAsia"/>
        <w:sz w:val="28"/>
        <w:szCs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1A33422B"/>
    <w:multiLevelType w:val="multilevel"/>
    <w:tmpl w:val="1A33422B"/>
    <w:lvl w:ilvl="0" w:tentative="0">
      <w:start w:val="1"/>
      <w:numFmt w:val="decimal"/>
      <w:lvlText w:val="%1."/>
      <w:lvlJc w:val="left"/>
      <w:pPr>
        <w:ind w:left="425" w:hanging="425"/>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1">
    <w:nsid w:val="1B3F07B3"/>
    <w:multiLevelType w:val="multilevel"/>
    <w:tmpl w:val="1B3F07B3"/>
    <w:lvl w:ilvl="0" w:tentative="0">
      <w:start w:val="1"/>
      <w:numFmt w:val="decimal"/>
      <w:lvlText w:val="%1、"/>
      <w:lvlJc w:val="left"/>
      <w:pPr>
        <w:tabs>
          <w:tab w:val="left" w:pos="360"/>
        </w:tabs>
        <w:ind w:left="360" w:hanging="360"/>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12">
    <w:nsid w:val="216E33BB"/>
    <w:multiLevelType w:val="multilevel"/>
    <w:tmpl w:val="216E33BB"/>
    <w:lvl w:ilvl="0" w:tentative="0">
      <w:start w:val="1"/>
      <w:numFmt w:val="decimal"/>
      <w:lvlText w:val="%1."/>
      <w:lvlJc w:val="left"/>
      <w:pPr>
        <w:ind w:left="1120" w:hanging="420"/>
      </w:pPr>
      <w:rPr>
        <w:rFonts w:hint="default" w:ascii="Times New Roman" w:hAnsi="Times New Roman" w:cs="Times New Roman"/>
      </w:rPr>
    </w:lvl>
    <w:lvl w:ilvl="1" w:tentative="0">
      <w:start w:val="1"/>
      <w:numFmt w:val="lowerLetter"/>
      <w:lvlText w:val="%2)"/>
      <w:lvlJc w:val="left"/>
      <w:pPr>
        <w:ind w:left="1540" w:hanging="420"/>
      </w:pPr>
      <w:rPr>
        <w:rFonts w:hint="default" w:ascii="Times New Roman" w:hAnsi="Times New Roman" w:cs="Times New Roman"/>
      </w:rPr>
    </w:lvl>
    <w:lvl w:ilvl="2" w:tentative="0">
      <w:start w:val="1"/>
      <w:numFmt w:val="lowerRoman"/>
      <w:lvlText w:val="%3."/>
      <w:lvlJc w:val="right"/>
      <w:pPr>
        <w:ind w:left="1960" w:hanging="420"/>
      </w:pPr>
      <w:rPr>
        <w:rFonts w:hint="default" w:ascii="Times New Roman" w:hAnsi="Times New Roman" w:cs="Times New Roman"/>
      </w:rPr>
    </w:lvl>
    <w:lvl w:ilvl="3" w:tentative="0">
      <w:start w:val="1"/>
      <w:numFmt w:val="decimal"/>
      <w:lvlText w:val="%4."/>
      <w:lvlJc w:val="left"/>
      <w:pPr>
        <w:ind w:left="2380" w:hanging="420"/>
      </w:pPr>
      <w:rPr>
        <w:rFonts w:hint="default" w:ascii="Times New Roman" w:hAnsi="Times New Roman" w:cs="Times New Roman"/>
      </w:rPr>
    </w:lvl>
    <w:lvl w:ilvl="4" w:tentative="0">
      <w:start w:val="1"/>
      <w:numFmt w:val="lowerLetter"/>
      <w:lvlText w:val="%5)"/>
      <w:lvlJc w:val="left"/>
      <w:pPr>
        <w:ind w:left="2800" w:hanging="420"/>
      </w:pPr>
      <w:rPr>
        <w:rFonts w:hint="default" w:ascii="Times New Roman" w:hAnsi="Times New Roman" w:cs="Times New Roman"/>
      </w:rPr>
    </w:lvl>
    <w:lvl w:ilvl="5" w:tentative="0">
      <w:start w:val="1"/>
      <w:numFmt w:val="lowerRoman"/>
      <w:lvlText w:val="%6."/>
      <w:lvlJc w:val="right"/>
      <w:pPr>
        <w:ind w:left="3220" w:hanging="420"/>
      </w:pPr>
      <w:rPr>
        <w:rFonts w:hint="default" w:ascii="Times New Roman" w:hAnsi="Times New Roman" w:cs="Times New Roman"/>
      </w:rPr>
    </w:lvl>
    <w:lvl w:ilvl="6" w:tentative="0">
      <w:start w:val="1"/>
      <w:numFmt w:val="decimal"/>
      <w:lvlText w:val="%7."/>
      <w:lvlJc w:val="left"/>
      <w:pPr>
        <w:ind w:left="3640" w:hanging="420"/>
      </w:pPr>
      <w:rPr>
        <w:rFonts w:hint="default" w:ascii="Times New Roman" w:hAnsi="Times New Roman" w:cs="Times New Roman"/>
      </w:rPr>
    </w:lvl>
    <w:lvl w:ilvl="7" w:tentative="0">
      <w:start w:val="1"/>
      <w:numFmt w:val="lowerLetter"/>
      <w:lvlText w:val="%8)"/>
      <w:lvlJc w:val="left"/>
      <w:pPr>
        <w:ind w:left="4060" w:hanging="420"/>
      </w:pPr>
      <w:rPr>
        <w:rFonts w:hint="default" w:ascii="Times New Roman" w:hAnsi="Times New Roman" w:cs="Times New Roman"/>
      </w:rPr>
    </w:lvl>
    <w:lvl w:ilvl="8" w:tentative="0">
      <w:start w:val="1"/>
      <w:numFmt w:val="lowerRoman"/>
      <w:lvlText w:val="%9."/>
      <w:lvlJc w:val="right"/>
      <w:pPr>
        <w:ind w:left="4480" w:hanging="420"/>
      </w:pPr>
      <w:rPr>
        <w:rFonts w:hint="default" w:ascii="Times New Roman" w:hAnsi="Times New Roman" w:cs="Times New Roman"/>
      </w:rPr>
    </w:lvl>
  </w:abstractNum>
  <w:abstractNum w:abstractNumId="13">
    <w:nsid w:val="23B76F5A"/>
    <w:multiLevelType w:val="multilevel"/>
    <w:tmpl w:val="23B76F5A"/>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14">
    <w:nsid w:val="23F479E5"/>
    <w:multiLevelType w:val="multilevel"/>
    <w:tmpl w:val="23F479E5"/>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15">
    <w:nsid w:val="251710E5"/>
    <w:multiLevelType w:val="multilevel"/>
    <w:tmpl w:val="251710E5"/>
    <w:lvl w:ilvl="0" w:tentative="0">
      <w:start w:val="1"/>
      <w:numFmt w:val="decimal"/>
      <w:lvlText w:val="%1、"/>
      <w:lvlJc w:val="left"/>
      <w:pPr>
        <w:tabs>
          <w:tab w:val="left" w:pos="360"/>
        </w:tabs>
        <w:ind w:left="360" w:hanging="360"/>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16">
    <w:nsid w:val="265531F2"/>
    <w:multiLevelType w:val="multilevel"/>
    <w:tmpl w:val="265531F2"/>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7">
    <w:nsid w:val="2C5A210D"/>
    <w:multiLevelType w:val="multilevel"/>
    <w:tmpl w:val="2C5A210D"/>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2FB3200B"/>
    <w:multiLevelType w:val="multilevel"/>
    <w:tmpl w:val="2FB3200B"/>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9">
    <w:nsid w:val="391D3A6C"/>
    <w:multiLevelType w:val="multilevel"/>
    <w:tmpl w:val="391D3A6C"/>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0">
    <w:nsid w:val="3EBF61D9"/>
    <w:multiLevelType w:val="multilevel"/>
    <w:tmpl w:val="3EBF61D9"/>
    <w:lvl w:ilvl="0" w:tentative="0">
      <w:start w:val="1"/>
      <w:numFmt w:val="decimal"/>
      <w:lvlText w:val="%1."/>
      <w:lvlJc w:val="left"/>
      <w:pPr>
        <w:ind w:left="328" w:hanging="420"/>
      </w:pPr>
      <w:rPr>
        <w:rFonts w:hint="default" w:ascii="Times New Roman" w:hAnsi="Times New Roman" w:cs="Times New Roman"/>
      </w:rPr>
    </w:lvl>
    <w:lvl w:ilvl="1" w:tentative="0">
      <w:start w:val="1"/>
      <w:numFmt w:val="lowerLetter"/>
      <w:lvlText w:val="%2)"/>
      <w:lvlJc w:val="left"/>
      <w:pPr>
        <w:ind w:left="748" w:hanging="420"/>
      </w:pPr>
      <w:rPr>
        <w:rFonts w:hint="default" w:ascii="Times New Roman" w:hAnsi="Times New Roman" w:cs="Times New Roman"/>
      </w:rPr>
    </w:lvl>
    <w:lvl w:ilvl="2" w:tentative="0">
      <w:start w:val="1"/>
      <w:numFmt w:val="lowerRoman"/>
      <w:lvlText w:val="%3."/>
      <w:lvlJc w:val="right"/>
      <w:pPr>
        <w:ind w:left="1168" w:hanging="420"/>
      </w:pPr>
      <w:rPr>
        <w:rFonts w:hint="default" w:ascii="Times New Roman" w:hAnsi="Times New Roman" w:cs="Times New Roman"/>
      </w:rPr>
    </w:lvl>
    <w:lvl w:ilvl="3" w:tentative="0">
      <w:start w:val="1"/>
      <w:numFmt w:val="decimal"/>
      <w:lvlText w:val="%4."/>
      <w:lvlJc w:val="left"/>
      <w:pPr>
        <w:ind w:left="1588" w:hanging="420"/>
      </w:pPr>
      <w:rPr>
        <w:rFonts w:hint="default" w:ascii="Times New Roman" w:hAnsi="Times New Roman" w:cs="Times New Roman"/>
      </w:rPr>
    </w:lvl>
    <w:lvl w:ilvl="4" w:tentative="0">
      <w:start w:val="1"/>
      <w:numFmt w:val="lowerLetter"/>
      <w:lvlText w:val="%5)"/>
      <w:lvlJc w:val="left"/>
      <w:pPr>
        <w:ind w:left="2008" w:hanging="420"/>
      </w:pPr>
      <w:rPr>
        <w:rFonts w:hint="default" w:ascii="Times New Roman" w:hAnsi="Times New Roman" w:cs="Times New Roman"/>
      </w:rPr>
    </w:lvl>
    <w:lvl w:ilvl="5" w:tentative="0">
      <w:start w:val="1"/>
      <w:numFmt w:val="lowerRoman"/>
      <w:lvlText w:val="%6."/>
      <w:lvlJc w:val="right"/>
      <w:pPr>
        <w:ind w:left="2428" w:hanging="420"/>
      </w:pPr>
      <w:rPr>
        <w:rFonts w:hint="default" w:ascii="Times New Roman" w:hAnsi="Times New Roman" w:cs="Times New Roman"/>
      </w:rPr>
    </w:lvl>
    <w:lvl w:ilvl="6" w:tentative="0">
      <w:start w:val="1"/>
      <w:numFmt w:val="decimal"/>
      <w:lvlText w:val="%7."/>
      <w:lvlJc w:val="left"/>
      <w:pPr>
        <w:ind w:left="2848" w:hanging="420"/>
      </w:pPr>
      <w:rPr>
        <w:rFonts w:hint="default" w:ascii="Times New Roman" w:hAnsi="Times New Roman" w:cs="Times New Roman"/>
      </w:rPr>
    </w:lvl>
    <w:lvl w:ilvl="7" w:tentative="0">
      <w:start w:val="1"/>
      <w:numFmt w:val="lowerLetter"/>
      <w:lvlText w:val="%8)"/>
      <w:lvlJc w:val="left"/>
      <w:pPr>
        <w:ind w:left="3268" w:hanging="420"/>
      </w:pPr>
      <w:rPr>
        <w:rFonts w:hint="default" w:ascii="Times New Roman" w:hAnsi="Times New Roman" w:cs="Times New Roman"/>
      </w:rPr>
    </w:lvl>
    <w:lvl w:ilvl="8" w:tentative="0">
      <w:start w:val="1"/>
      <w:numFmt w:val="lowerRoman"/>
      <w:lvlText w:val="%9."/>
      <w:lvlJc w:val="right"/>
      <w:pPr>
        <w:ind w:left="3688" w:hanging="420"/>
      </w:pPr>
      <w:rPr>
        <w:rFonts w:hint="default" w:ascii="Times New Roman" w:hAnsi="Times New Roman" w:cs="Times New Roman"/>
      </w:rPr>
    </w:lvl>
  </w:abstractNum>
  <w:abstractNum w:abstractNumId="21">
    <w:nsid w:val="41952BA1"/>
    <w:multiLevelType w:val="multilevel"/>
    <w:tmpl w:val="41952BA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437E7C7D"/>
    <w:multiLevelType w:val="multilevel"/>
    <w:tmpl w:val="437E7C7D"/>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3">
    <w:nsid w:val="4C2A254C"/>
    <w:multiLevelType w:val="multilevel"/>
    <w:tmpl w:val="4C2A254C"/>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24">
    <w:nsid w:val="4CD266F1"/>
    <w:multiLevelType w:val="multilevel"/>
    <w:tmpl w:val="4CD266F1"/>
    <w:lvl w:ilvl="0" w:tentative="0">
      <w:start w:val="1"/>
      <w:numFmt w:val="decimal"/>
      <w:lvlText w:val="%1."/>
      <w:lvlJc w:val="left"/>
      <w:pPr>
        <w:ind w:left="425" w:hanging="425"/>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5">
    <w:nsid w:val="4E746DBD"/>
    <w:multiLevelType w:val="multilevel"/>
    <w:tmpl w:val="4E746DBD"/>
    <w:lvl w:ilvl="0" w:tentative="0">
      <w:start w:val="1"/>
      <w:numFmt w:val="decimal"/>
      <w:lvlText w:val="%1）"/>
      <w:lvlJc w:val="left"/>
      <w:pPr>
        <w:ind w:left="420" w:hanging="420"/>
      </w:pPr>
      <w:rPr>
        <w:rFonts w:hint="eastAsia"/>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4EAA2744"/>
    <w:multiLevelType w:val="multilevel"/>
    <w:tmpl w:val="4EAA2744"/>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7">
    <w:nsid w:val="4FAF9A2F"/>
    <w:multiLevelType w:val="singleLevel"/>
    <w:tmpl w:val="4FAF9A2F"/>
    <w:lvl w:ilvl="0" w:tentative="0">
      <w:start w:val="8"/>
      <w:numFmt w:val="decimal"/>
      <w:suff w:val="nothing"/>
      <w:lvlText w:val="%1）"/>
      <w:lvlJc w:val="left"/>
    </w:lvl>
  </w:abstractNum>
  <w:abstractNum w:abstractNumId="28">
    <w:nsid w:val="51317D19"/>
    <w:multiLevelType w:val="multilevel"/>
    <w:tmpl w:val="51317D19"/>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9">
    <w:nsid w:val="514E73DB"/>
    <w:multiLevelType w:val="multilevel"/>
    <w:tmpl w:val="514E73DB"/>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30">
    <w:nsid w:val="52A71C36"/>
    <w:multiLevelType w:val="multilevel"/>
    <w:tmpl w:val="52A71C3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54241E17"/>
    <w:multiLevelType w:val="multilevel"/>
    <w:tmpl w:val="54241E1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5CD63637"/>
    <w:multiLevelType w:val="multilevel"/>
    <w:tmpl w:val="5CD6363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5CD76EBB"/>
    <w:multiLevelType w:val="multilevel"/>
    <w:tmpl w:val="5CD76EBB"/>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34">
    <w:nsid w:val="5E1B6F32"/>
    <w:multiLevelType w:val="multilevel"/>
    <w:tmpl w:val="5E1B6F32"/>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5">
    <w:nsid w:val="5F8D7BCA"/>
    <w:multiLevelType w:val="multilevel"/>
    <w:tmpl w:val="5F8D7BCA"/>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6">
    <w:nsid w:val="67601CFE"/>
    <w:multiLevelType w:val="multilevel"/>
    <w:tmpl w:val="67601CFE"/>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37">
    <w:nsid w:val="68275D91"/>
    <w:multiLevelType w:val="multilevel"/>
    <w:tmpl w:val="68275D91"/>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8">
    <w:nsid w:val="694673D1"/>
    <w:multiLevelType w:val="multilevel"/>
    <w:tmpl w:val="694673D1"/>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39">
    <w:nsid w:val="6E546339"/>
    <w:multiLevelType w:val="multilevel"/>
    <w:tmpl w:val="6E546339"/>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40">
    <w:nsid w:val="6F4A2843"/>
    <w:multiLevelType w:val="multilevel"/>
    <w:tmpl w:val="6F4A2843"/>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41">
    <w:nsid w:val="6F532339"/>
    <w:multiLevelType w:val="multilevel"/>
    <w:tmpl w:val="6F532339"/>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2">
    <w:nsid w:val="73B1298D"/>
    <w:multiLevelType w:val="multilevel"/>
    <w:tmpl w:val="73B1298D"/>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43">
    <w:nsid w:val="794B0B13"/>
    <w:multiLevelType w:val="multilevel"/>
    <w:tmpl w:val="794B0B13"/>
    <w:lvl w:ilvl="0" w:tentative="0">
      <w:start w:val="1"/>
      <w:numFmt w:val="decimal"/>
      <w:lvlText w:val="%1."/>
      <w:lvlJc w:val="left"/>
      <w:pPr>
        <w:tabs>
          <w:tab w:val="left" w:pos="57"/>
        </w:tabs>
        <w:ind w:left="0" w:firstLine="57"/>
      </w:pPr>
      <w:rPr>
        <w:rFonts w:hint="default" w:ascii="Times New Roman" w:hAnsi="Times New Roman"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44">
    <w:nsid w:val="798251BF"/>
    <w:multiLevelType w:val="multilevel"/>
    <w:tmpl w:val="798251BF"/>
    <w:lvl w:ilvl="0" w:tentative="0">
      <w:start w:val="2"/>
      <w:numFmt w:val="decimalEnclosedCircle"/>
      <w:lvlText w:val="%1"/>
      <w:lvlJc w:val="left"/>
      <w:pPr>
        <w:ind w:left="1060" w:hanging="360"/>
      </w:pPr>
      <w:rPr>
        <w:rFonts w:hint="default"/>
      </w:rPr>
    </w:lvl>
    <w:lvl w:ilvl="1" w:tentative="0">
      <w:start w:val="1"/>
      <w:numFmt w:val="lowerLetter"/>
      <w:lvlText w:val="%2)"/>
      <w:lvlJc w:val="left"/>
      <w:pPr>
        <w:ind w:left="1540" w:hanging="420"/>
      </w:pPr>
    </w:lvl>
    <w:lvl w:ilvl="2" w:tentative="0">
      <w:start w:val="1"/>
      <w:numFmt w:val="lowerRoman"/>
      <w:lvlText w:val="%3."/>
      <w:lvlJc w:val="right"/>
      <w:pPr>
        <w:ind w:left="1960" w:hanging="420"/>
      </w:pPr>
    </w:lvl>
    <w:lvl w:ilvl="3" w:tentative="0">
      <w:start w:val="1"/>
      <w:numFmt w:val="decimal"/>
      <w:lvlText w:val="%4."/>
      <w:lvlJc w:val="left"/>
      <w:pPr>
        <w:ind w:left="2380" w:hanging="420"/>
      </w:pPr>
    </w:lvl>
    <w:lvl w:ilvl="4" w:tentative="0">
      <w:start w:val="1"/>
      <w:numFmt w:val="lowerLetter"/>
      <w:lvlText w:val="%5)"/>
      <w:lvlJc w:val="left"/>
      <w:pPr>
        <w:ind w:left="2800" w:hanging="420"/>
      </w:pPr>
    </w:lvl>
    <w:lvl w:ilvl="5" w:tentative="0">
      <w:start w:val="1"/>
      <w:numFmt w:val="lowerRoman"/>
      <w:lvlText w:val="%6."/>
      <w:lvlJc w:val="right"/>
      <w:pPr>
        <w:ind w:left="3220" w:hanging="420"/>
      </w:pPr>
    </w:lvl>
    <w:lvl w:ilvl="6" w:tentative="0">
      <w:start w:val="1"/>
      <w:numFmt w:val="decimal"/>
      <w:lvlText w:val="%7."/>
      <w:lvlJc w:val="left"/>
      <w:pPr>
        <w:ind w:left="3640" w:hanging="420"/>
      </w:pPr>
    </w:lvl>
    <w:lvl w:ilvl="7" w:tentative="0">
      <w:start w:val="1"/>
      <w:numFmt w:val="lowerLetter"/>
      <w:lvlText w:val="%8)"/>
      <w:lvlJc w:val="left"/>
      <w:pPr>
        <w:ind w:left="4060" w:hanging="420"/>
      </w:pPr>
    </w:lvl>
    <w:lvl w:ilvl="8" w:tentative="0">
      <w:start w:val="1"/>
      <w:numFmt w:val="lowerRoman"/>
      <w:lvlText w:val="%9."/>
      <w:lvlJc w:val="right"/>
      <w:pPr>
        <w:ind w:left="4480" w:hanging="420"/>
      </w:pPr>
    </w:lvl>
  </w:abstractNum>
  <w:abstractNum w:abstractNumId="45">
    <w:nsid w:val="7C81478C"/>
    <w:multiLevelType w:val="multilevel"/>
    <w:tmpl w:val="7C81478C"/>
    <w:lvl w:ilvl="0" w:tentative="0">
      <w:start w:val="1"/>
      <w:numFmt w:val="decimal"/>
      <w:lvlText w:val="%1."/>
      <w:lvlJc w:val="left"/>
      <w:pPr>
        <w:tabs>
          <w:tab w:val="left" w:pos="0"/>
        </w:tabs>
        <w:ind w:left="420" w:hanging="420"/>
      </w:pPr>
      <w:rPr>
        <w:rFonts w:hint="default" w:ascii="Times New Roman" w:hAnsi="Times New Roman" w:cs="Times New Roman"/>
      </w:rPr>
    </w:lvl>
    <w:lvl w:ilvl="1" w:tentative="0">
      <w:start w:val="1"/>
      <w:numFmt w:val="lowerLetter"/>
      <w:lvlText w:val="%2)"/>
      <w:lvlJc w:val="left"/>
      <w:pPr>
        <w:tabs>
          <w:tab w:val="left" w:pos="0"/>
        </w:tabs>
        <w:ind w:left="840" w:hanging="420"/>
      </w:pPr>
      <w:rPr>
        <w:rFonts w:hint="default" w:ascii="Times New Roman" w:hAnsi="Times New Roman" w:cs="Times New Roman"/>
      </w:rPr>
    </w:lvl>
    <w:lvl w:ilvl="2" w:tentative="0">
      <w:start w:val="1"/>
      <w:numFmt w:val="lowerRoman"/>
      <w:lvlText w:val="%3."/>
      <w:lvlJc w:val="right"/>
      <w:pPr>
        <w:tabs>
          <w:tab w:val="left" w:pos="0"/>
        </w:tabs>
        <w:ind w:left="1260" w:hanging="420"/>
      </w:pPr>
      <w:rPr>
        <w:rFonts w:hint="default" w:ascii="Times New Roman" w:hAnsi="Times New Roman" w:cs="Times New Roman"/>
      </w:rPr>
    </w:lvl>
    <w:lvl w:ilvl="3" w:tentative="0">
      <w:start w:val="1"/>
      <w:numFmt w:val="decimal"/>
      <w:lvlText w:val="%4."/>
      <w:lvlJc w:val="left"/>
      <w:pPr>
        <w:tabs>
          <w:tab w:val="left" w:pos="0"/>
        </w:tabs>
        <w:ind w:left="1680" w:hanging="420"/>
      </w:pPr>
      <w:rPr>
        <w:rFonts w:hint="default" w:ascii="Times New Roman" w:hAnsi="Times New Roman" w:cs="Times New Roman"/>
      </w:rPr>
    </w:lvl>
    <w:lvl w:ilvl="4" w:tentative="0">
      <w:start w:val="1"/>
      <w:numFmt w:val="lowerLetter"/>
      <w:lvlText w:val="%5)"/>
      <w:lvlJc w:val="left"/>
      <w:pPr>
        <w:tabs>
          <w:tab w:val="left" w:pos="0"/>
        </w:tabs>
        <w:ind w:left="2100" w:hanging="420"/>
      </w:pPr>
      <w:rPr>
        <w:rFonts w:hint="default" w:ascii="Times New Roman" w:hAnsi="Times New Roman" w:cs="Times New Roman"/>
      </w:rPr>
    </w:lvl>
    <w:lvl w:ilvl="5" w:tentative="0">
      <w:start w:val="1"/>
      <w:numFmt w:val="lowerRoman"/>
      <w:lvlText w:val="%6."/>
      <w:lvlJc w:val="right"/>
      <w:pPr>
        <w:tabs>
          <w:tab w:val="left" w:pos="0"/>
        </w:tabs>
        <w:ind w:left="2520" w:hanging="420"/>
      </w:pPr>
      <w:rPr>
        <w:rFonts w:hint="default" w:ascii="Times New Roman" w:hAnsi="Times New Roman" w:cs="Times New Roman"/>
      </w:rPr>
    </w:lvl>
    <w:lvl w:ilvl="6" w:tentative="0">
      <w:start w:val="1"/>
      <w:numFmt w:val="decimal"/>
      <w:lvlText w:val="%7."/>
      <w:lvlJc w:val="left"/>
      <w:pPr>
        <w:tabs>
          <w:tab w:val="left" w:pos="0"/>
        </w:tabs>
        <w:ind w:left="2940" w:hanging="420"/>
      </w:pPr>
      <w:rPr>
        <w:rFonts w:hint="default" w:ascii="Times New Roman" w:hAnsi="Times New Roman" w:cs="Times New Roman"/>
      </w:rPr>
    </w:lvl>
    <w:lvl w:ilvl="7" w:tentative="0">
      <w:start w:val="1"/>
      <w:numFmt w:val="lowerLetter"/>
      <w:lvlText w:val="%8)"/>
      <w:lvlJc w:val="left"/>
      <w:pPr>
        <w:tabs>
          <w:tab w:val="left" w:pos="0"/>
        </w:tabs>
        <w:ind w:left="3360" w:hanging="420"/>
      </w:pPr>
      <w:rPr>
        <w:rFonts w:hint="default" w:ascii="Times New Roman" w:hAnsi="Times New Roman" w:cs="Times New Roman"/>
      </w:rPr>
    </w:lvl>
    <w:lvl w:ilvl="8" w:tentative="0">
      <w:start w:val="1"/>
      <w:numFmt w:val="lowerRoman"/>
      <w:lvlText w:val="%9."/>
      <w:lvlJc w:val="right"/>
      <w:pPr>
        <w:tabs>
          <w:tab w:val="left" w:pos="0"/>
        </w:tabs>
        <w:ind w:left="3780" w:hanging="420"/>
      </w:pPr>
      <w:rPr>
        <w:rFonts w:hint="default" w:ascii="Times New Roman" w:hAnsi="Times New Roman" w:cs="Times New Roman"/>
      </w:rPr>
    </w:lvl>
  </w:abstractNum>
  <w:abstractNum w:abstractNumId="46">
    <w:nsid w:val="7EDC1D1A"/>
    <w:multiLevelType w:val="multilevel"/>
    <w:tmpl w:val="7EDC1D1A"/>
    <w:lvl w:ilvl="0" w:tentative="0">
      <w:start w:val="1"/>
      <w:numFmt w:val="decimal"/>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num w:numId="1">
    <w:abstractNumId w:val="30"/>
  </w:num>
  <w:num w:numId="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num>
  <w:num w:numId="7">
    <w:abstractNumId w:val="32"/>
  </w:num>
  <w:num w:numId="8">
    <w:abstractNumId w:val="12"/>
  </w:num>
  <w:num w:numId="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1"/>
  </w:num>
  <w:num w:numId="11">
    <w:abstractNumId w:val="40"/>
  </w:num>
  <w:num w:numId="12">
    <w:abstractNumId w:val="3"/>
  </w:num>
  <w:num w:numId="13">
    <w:abstractNumId w:val="44"/>
  </w:num>
  <w:num w:numId="14">
    <w:abstractNumId w:val="4"/>
  </w:num>
  <w:num w:numId="15">
    <w:abstractNumId w:val="37"/>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26"/>
  </w:num>
  <w:num w:numId="19">
    <w:abstractNumId w:val="0"/>
  </w:num>
  <w:num w:numId="20">
    <w:abstractNumId w:val="1"/>
  </w:num>
  <w:num w:numId="21">
    <w:abstractNumId w:val="9"/>
  </w:num>
  <w:num w:numId="22">
    <w:abstractNumId w:val="41"/>
  </w:num>
  <w:num w:numId="23">
    <w:abstractNumId w:val="6"/>
  </w:num>
  <w:num w:numId="24">
    <w:abstractNumId w:val="25"/>
  </w:num>
  <w:num w:numId="25">
    <w:abstractNumId w:val="35"/>
  </w:num>
  <w:num w:numId="26">
    <w:abstractNumId w:val="17"/>
  </w:num>
  <w:num w:numId="27">
    <w:abstractNumId w:val="2"/>
  </w:num>
  <w:num w:numId="28">
    <w:abstractNumId w:val="27"/>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5"/>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UyYWUxNGNmMmUyZTIxY2FmM2YyMWFiMjM3Y2U3MzAifQ=="/>
  </w:docVars>
  <w:rsids>
    <w:rsidRoot w:val="00172A27"/>
    <w:rsid w:val="0000028B"/>
    <w:rsid w:val="000004A6"/>
    <w:rsid w:val="00000707"/>
    <w:rsid w:val="0000132D"/>
    <w:rsid w:val="0000326F"/>
    <w:rsid w:val="000044A7"/>
    <w:rsid w:val="00005D9B"/>
    <w:rsid w:val="0000721D"/>
    <w:rsid w:val="0001083B"/>
    <w:rsid w:val="000135C7"/>
    <w:rsid w:val="000145D4"/>
    <w:rsid w:val="0001684C"/>
    <w:rsid w:val="0001691B"/>
    <w:rsid w:val="00016E9F"/>
    <w:rsid w:val="00024A39"/>
    <w:rsid w:val="00024A76"/>
    <w:rsid w:val="00026A66"/>
    <w:rsid w:val="000312B3"/>
    <w:rsid w:val="000319D1"/>
    <w:rsid w:val="00033F3C"/>
    <w:rsid w:val="00034018"/>
    <w:rsid w:val="0003415D"/>
    <w:rsid w:val="0003548B"/>
    <w:rsid w:val="00035E9A"/>
    <w:rsid w:val="00042BE1"/>
    <w:rsid w:val="000437AB"/>
    <w:rsid w:val="0004462F"/>
    <w:rsid w:val="000510ED"/>
    <w:rsid w:val="00052A18"/>
    <w:rsid w:val="00054968"/>
    <w:rsid w:val="0005758C"/>
    <w:rsid w:val="000618E7"/>
    <w:rsid w:val="00061AEC"/>
    <w:rsid w:val="00062460"/>
    <w:rsid w:val="00062648"/>
    <w:rsid w:val="00063B23"/>
    <w:rsid w:val="00064912"/>
    <w:rsid w:val="00066907"/>
    <w:rsid w:val="00066A11"/>
    <w:rsid w:val="00071256"/>
    <w:rsid w:val="0007653A"/>
    <w:rsid w:val="00081128"/>
    <w:rsid w:val="00083679"/>
    <w:rsid w:val="000841F4"/>
    <w:rsid w:val="000860D2"/>
    <w:rsid w:val="000866FB"/>
    <w:rsid w:val="00087560"/>
    <w:rsid w:val="00090C72"/>
    <w:rsid w:val="000918AF"/>
    <w:rsid w:val="0009248D"/>
    <w:rsid w:val="00094F40"/>
    <w:rsid w:val="000951EF"/>
    <w:rsid w:val="000A178F"/>
    <w:rsid w:val="000A18D5"/>
    <w:rsid w:val="000A4002"/>
    <w:rsid w:val="000A454E"/>
    <w:rsid w:val="000A4DEC"/>
    <w:rsid w:val="000A61E8"/>
    <w:rsid w:val="000A68A2"/>
    <w:rsid w:val="000A6CE4"/>
    <w:rsid w:val="000A753C"/>
    <w:rsid w:val="000A7E8B"/>
    <w:rsid w:val="000B0802"/>
    <w:rsid w:val="000B4BA1"/>
    <w:rsid w:val="000B52E7"/>
    <w:rsid w:val="000B53D9"/>
    <w:rsid w:val="000B7089"/>
    <w:rsid w:val="000B7610"/>
    <w:rsid w:val="000C4E06"/>
    <w:rsid w:val="000C7C6F"/>
    <w:rsid w:val="000D4977"/>
    <w:rsid w:val="000D52F3"/>
    <w:rsid w:val="000D59CE"/>
    <w:rsid w:val="000D7002"/>
    <w:rsid w:val="000E02F5"/>
    <w:rsid w:val="000E15DC"/>
    <w:rsid w:val="000E1B18"/>
    <w:rsid w:val="000E268B"/>
    <w:rsid w:val="000E26FA"/>
    <w:rsid w:val="000E29C5"/>
    <w:rsid w:val="000E4B78"/>
    <w:rsid w:val="000E5111"/>
    <w:rsid w:val="000E6A3F"/>
    <w:rsid w:val="000F40DD"/>
    <w:rsid w:val="000F4A6B"/>
    <w:rsid w:val="000F576C"/>
    <w:rsid w:val="000F6F38"/>
    <w:rsid w:val="000F6FAD"/>
    <w:rsid w:val="00100969"/>
    <w:rsid w:val="0010203A"/>
    <w:rsid w:val="00102BAB"/>
    <w:rsid w:val="00103554"/>
    <w:rsid w:val="00103A43"/>
    <w:rsid w:val="00103B0A"/>
    <w:rsid w:val="00103EAC"/>
    <w:rsid w:val="0010551F"/>
    <w:rsid w:val="001062DE"/>
    <w:rsid w:val="00111667"/>
    <w:rsid w:val="00112148"/>
    <w:rsid w:val="001135F3"/>
    <w:rsid w:val="001136B4"/>
    <w:rsid w:val="001151AD"/>
    <w:rsid w:val="0011596A"/>
    <w:rsid w:val="00120AFA"/>
    <w:rsid w:val="001216CC"/>
    <w:rsid w:val="00121C68"/>
    <w:rsid w:val="00121EBE"/>
    <w:rsid w:val="001224AC"/>
    <w:rsid w:val="0012297A"/>
    <w:rsid w:val="00122ADA"/>
    <w:rsid w:val="00123AA9"/>
    <w:rsid w:val="00124496"/>
    <w:rsid w:val="0012583C"/>
    <w:rsid w:val="00125CE8"/>
    <w:rsid w:val="00127491"/>
    <w:rsid w:val="00130770"/>
    <w:rsid w:val="001314F2"/>
    <w:rsid w:val="001346DB"/>
    <w:rsid w:val="00134F37"/>
    <w:rsid w:val="00142297"/>
    <w:rsid w:val="00142CE8"/>
    <w:rsid w:val="00143713"/>
    <w:rsid w:val="001439FB"/>
    <w:rsid w:val="00144386"/>
    <w:rsid w:val="00145AB3"/>
    <w:rsid w:val="0014769F"/>
    <w:rsid w:val="00147EDE"/>
    <w:rsid w:val="00151493"/>
    <w:rsid w:val="001524CB"/>
    <w:rsid w:val="00152A46"/>
    <w:rsid w:val="00152C6F"/>
    <w:rsid w:val="0015335B"/>
    <w:rsid w:val="00154B48"/>
    <w:rsid w:val="00156026"/>
    <w:rsid w:val="0015627E"/>
    <w:rsid w:val="00156373"/>
    <w:rsid w:val="001568CD"/>
    <w:rsid w:val="001568DC"/>
    <w:rsid w:val="001616E8"/>
    <w:rsid w:val="00161C53"/>
    <w:rsid w:val="001639A6"/>
    <w:rsid w:val="00164E3A"/>
    <w:rsid w:val="00165E70"/>
    <w:rsid w:val="00167BB8"/>
    <w:rsid w:val="00170A8D"/>
    <w:rsid w:val="001712DC"/>
    <w:rsid w:val="00172A27"/>
    <w:rsid w:val="0017588B"/>
    <w:rsid w:val="001775F2"/>
    <w:rsid w:val="00177DF7"/>
    <w:rsid w:val="0018161E"/>
    <w:rsid w:val="00185119"/>
    <w:rsid w:val="00185BF6"/>
    <w:rsid w:val="001869FB"/>
    <w:rsid w:val="00186C23"/>
    <w:rsid w:val="00187DF6"/>
    <w:rsid w:val="00190F25"/>
    <w:rsid w:val="00190F68"/>
    <w:rsid w:val="00193BFD"/>
    <w:rsid w:val="00193F5F"/>
    <w:rsid w:val="001940EB"/>
    <w:rsid w:val="001952F5"/>
    <w:rsid w:val="00197483"/>
    <w:rsid w:val="001A3278"/>
    <w:rsid w:val="001A4E54"/>
    <w:rsid w:val="001A6A06"/>
    <w:rsid w:val="001B18F1"/>
    <w:rsid w:val="001B192A"/>
    <w:rsid w:val="001B296B"/>
    <w:rsid w:val="001B39F6"/>
    <w:rsid w:val="001B3B65"/>
    <w:rsid w:val="001B5DA5"/>
    <w:rsid w:val="001B6B91"/>
    <w:rsid w:val="001C0026"/>
    <w:rsid w:val="001C10DE"/>
    <w:rsid w:val="001C5E4A"/>
    <w:rsid w:val="001C6171"/>
    <w:rsid w:val="001C67AB"/>
    <w:rsid w:val="001C6F51"/>
    <w:rsid w:val="001C7A39"/>
    <w:rsid w:val="001D0884"/>
    <w:rsid w:val="001D37E9"/>
    <w:rsid w:val="001D6800"/>
    <w:rsid w:val="001D7558"/>
    <w:rsid w:val="001E11E9"/>
    <w:rsid w:val="001E14F2"/>
    <w:rsid w:val="001E23E4"/>
    <w:rsid w:val="001E40D2"/>
    <w:rsid w:val="001E4E96"/>
    <w:rsid w:val="001E7C8D"/>
    <w:rsid w:val="001F018E"/>
    <w:rsid w:val="001F0B2A"/>
    <w:rsid w:val="001F0F9E"/>
    <w:rsid w:val="001F55A9"/>
    <w:rsid w:val="00202E6B"/>
    <w:rsid w:val="002034B3"/>
    <w:rsid w:val="002038CA"/>
    <w:rsid w:val="00204046"/>
    <w:rsid w:val="0020462A"/>
    <w:rsid w:val="00204927"/>
    <w:rsid w:val="0020676D"/>
    <w:rsid w:val="00206977"/>
    <w:rsid w:val="0020759C"/>
    <w:rsid w:val="002103BB"/>
    <w:rsid w:val="00210FF0"/>
    <w:rsid w:val="00211223"/>
    <w:rsid w:val="00213E04"/>
    <w:rsid w:val="002151F1"/>
    <w:rsid w:val="002153FE"/>
    <w:rsid w:val="002175AF"/>
    <w:rsid w:val="00221D39"/>
    <w:rsid w:val="002226B4"/>
    <w:rsid w:val="002239E1"/>
    <w:rsid w:val="00223AC1"/>
    <w:rsid w:val="00225D50"/>
    <w:rsid w:val="0022694C"/>
    <w:rsid w:val="002301DB"/>
    <w:rsid w:val="0023133F"/>
    <w:rsid w:val="00232771"/>
    <w:rsid w:val="002330B9"/>
    <w:rsid w:val="00233BA4"/>
    <w:rsid w:val="0023624E"/>
    <w:rsid w:val="00240D39"/>
    <w:rsid w:val="00242205"/>
    <w:rsid w:val="002424DB"/>
    <w:rsid w:val="00243E87"/>
    <w:rsid w:val="00243F47"/>
    <w:rsid w:val="00246245"/>
    <w:rsid w:val="00246A3D"/>
    <w:rsid w:val="00251109"/>
    <w:rsid w:val="002520E1"/>
    <w:rsid w:val="0025318F"/>
    <w:rsid w:val="00253372"/>
    <w:rsid w:val="002533F1"/>
    <w:rsid w:val="002542AF"/>
    <w:rsid w:val="00255D4F"/>
    <w:rsid w:val="00255E3B"/>
    <w:rsid w:val="002566BC"/>
    <w:rsid w:val="00257165"/>
    <w:rsid w:val="002575C1"/>
    <w:rsid w:val="0026216C"/>
    <w:rsid w:val="002628B4"/>
    <w:rsid w:val="00262BBC"/>
    <w:rsid w:val="002635C0"/>
    <w:rsid w:val="00263DA7"/>
    <w:rsid w:val="00264B38"/>
    <w:rsid w:val="00265FF4"/>
    <w:rsid w:val="00266D6E"/>
    <w:rsid w:val="00267E05"/>
    <w:rsid w:val="00271557"/>
    <w:rsid w:val="00272928"/>
    <w:rsid w:val="00275B6A"/>
    <w:rsid w:val="00275DA3"/>
    <w:rsid w:val="002771FC"/>
    <w:rsid w:val="002818A0"/>
    <w:rsid w:val="00282971"/>
    <w:rsid w:val="00283CE3"/>
    <w:rsid w:val="002846E9"/>
    <w:rsid w:val="00284F0F"/>
    <w:rsid w:val="002865E8"/>
    <w:rsid w:val="0028714E"/>
    <w:rsid w:val="002907F8"/>
    <w:rsid w:val="00290BE1"/>
    <w:rsid w:val="00291E45"/>
    <w:rsid w:val="00291F4A"/>
    <w:rsid w:val="00292C4E"/>
    <w:rsid w:val="00292D9A"/>
    <w:rsid w:val="00294966"/>
    <w:rsid w:val="00294B9B"/>
    <w:rsid w:val="00295168"/>
    <w:rsid w:val="00296691"/>
    <w:rsid w:val="002A23DE"/>
    <w:rsid w:val="002A2F73"/>
    <w:rsid w:val="002A3D0A"/>
    <w:rsid w:val="002A4659"/>
    <w:rsid w:val="002A4B35"/>
    <w:rsid w:val="002A546D"/>
    <w:rsid w:val="002B125E"/>
    <w:rsid w:val="002B15BA"/>
    <w:rsid w:val="002B28BD"/>
    <w:rsid w:val="002B3E6F"/>
    <w:rsid w:val="002B6FC0"/>
    <w:rsid w:val="002B785F"/>
    <w:rsid w:val="002C08FF"/>
    <w:rsid w:val="002C180D"/>
    <w:rsid w:val="002C2227"/>
    <w:rsid w:val="002C2CBA"/>
    <w:rsid w:val="002C4407"/>
    <w:rsid w:val="002C6539"/>
    <w:rsid w:val="002C6AAE"/>
    <w:rsid w:val="002C7759"/>
    <w:rsid w:val="002D02B0"/>
    <w:rsid w:val="002D11BE"/>
    <w:rsid w:val="002D4412"/>
    <w:rsid w:val="002D47C5"/>
    <w:rsid w:val="002D560D"/>
    <w:rsid w:val="002D60A1"/>
    <w:rsid w:val="002D6995"/>
    <w:rsid w:val="002D69C6"/>
    <w:rsid w:val="002D6AD6"/>
    <w:rsid w:val="002D6B90"/>
    <w:rsid w:val="002E0AA1"/>
    <w:rsid w:val="002E111C"/>
    <w:rsid w:val="002E115B"/>
    <w:rsid w:val="002E138E"/>
    <w:rsid w:val="002E2667"/>
    <w:rsid w:val="002E2BDC"/>
    <w:rsid w:val="002E3F77"/>
    <w:rsid w:val="002F0175"/>
    <w:rsid w:val="002F226C"/>
    <w:rsid w:val="002F65A0"/>
    <w:rsid w:val="002F7DC7"/>
    <w:rsid w:val="00301864"/>
    <w:rsid w:val="00301973"/>
    <w:rsid w:val="00303F3C"/>
    <w:rsid w:val="00304EBD"/>
    <w:rsid w:val="00307CF2"/>
    <w:rsid w:val="00311D26"/>
    <w:rsid w:val="00311F90"/>
    <w:rsid w:val="003120AE"/>
    <w:rsid w:val="00317B09"/>
    <w:rsid w:val="00320407"/>
    <w:rsid w:val="0032150F"/>
    <w:rsid w:val="0032663C"/>
    <w:rsid w:val="0033003F"/>
    <w:rsid w:val="00330604"/>
    <w:rsid w:val="003306A9"/>
    <w:rsid w:val="00331E1F"/>
    <w:rsid w:val="0033307F"/>
    <w:rsid w:val="003339AA"/>
    <w:rsid w:val="00334856"/>
    <w:rsid w:val="00340544"/>
    <w:rsid w:val="00340F89"/>
    <w:rsid w:val="00346793"/>
    <w:rsid w:val="003556B5"/>
    <w:rsid w:val="003563C8"/>
    <w:rsid w:val="00357905"/>
    <w:rsid w:val="00360884"/>
    <w:rsid w:val="003612CC"/>
    <w:rsid w:val="00361601"/>
    <w:rsid w:val="0036245C"/>
    <w:rsid w:val="003631CC"/>
    <w:rsid w:val="003647D3"/>
    <w:rsid w:val="00365036"/>
    <w:rsid w:val="00366767"/>
    <w:rsid w:val="00370078"/>
    <w:rsid w:val="00370938"/>
    <w:rsid w:val="0037105F"/>
    <w:rsid w:val="00376F3E"/>
    <w:rsid w:val="003800CA"/>
    <w:rsid w:val="003809E9"/>
    <w:rsid w:val="0038592B"/>
    <w:rsid w:val="00391A35"/>
    <w:rsid w:val="003920EE"/>
    <w:rsid w:val="00392DEA"/>
    <w:rsid w:val="003962D4"/>
    <w:rsid w:val="003971D4"/>
    <w:rsid w:val="003A0399"/>
    <w:rsid w:val="003A32EB"/>
    <w:rsid w:val="003A4918"/>
    <w:rsid w:val="003A4DEE"/>
    <w:rsid w:val="003A5214"/>
    <w:rsid w:val="003A5677"/>
    <w:rsid w:val="003A6A90"/>
    <w:rsid w:val="003B1281"/>
    <w:rsid w:val="003B2C93"/>
    <w:rsid w:val="003B3411"/>
    <w:rsid w:val="003B3C1A"/>
    <w:rsid w:val="003B3C4D"/>
    <w:rsid w:val="003B4370"/>
    <w:rsid w:val="003B464B"/>
    <w:rsid w:val="003B605D"/>
    <w:rsid w:val="003C11D3"/>
    <w:rsid w:val="003C4786"/>
    <w:rsid w:val="003C4EB4"/>
    <w:rsid w:val="003C5DBF"/>
    <w:rsid w:val="003C75E2"/>
    <w:rsid w:val="003D2A88"/>
    <w:rsid w:val="003D43CE"/>
    <w:rsid w:val="003D4F6F"/>
    <w:rsid w:val="003E027A"/>
    <w:rsid w:val="003E0780"/>
    <w:rsid w:val="003E1079"/>
    <w:rsid w:val="003E24EC"/>
    <w:rsid w:val="003E30C8"/>
    <w:rsid w:val="003E32FB"/>
    <w:rsid w:val="003E3EA8"/>
    <w:rsid w:val="003E51AC"/>
    <w:rsid w:val="003E5F35"/>
    <w:rsid w:val="003E72F0"/>
    <w:rsid w:val="003F0895"/>
    <w:rsid w:val="003F4B33"/>
    <w:rsid w:val="003F4D82"/>
    <w:rsid w:val="003F57FC"/>
    <w:rsid w:val="004008E6"/>
    <w:rsid w:val="00402C74"/>
    <w:rsid w:val="004073CB"/>
    <w:rsid w:val="00407877"/>
    <w:rsid w:val="00407F11"/>
    <w:rsid w:val="00411F1D"/>
    <w:rsid w:val="0041336E"/>
    <w:rsid w:val="00415BB0"/>
    <w:rsid w:val="00420AA2"/>
    <w:rsid w:val="0042348A"/>
    <w:rsid w:val="00423E30"/>
    <w:rsid w:val="00425414"/>
    <w:rsid w:val="00427D16"/>
    <w:rsid w:val="00431729"/>
    <w:rsid w:val="00432866"/>
    <w:rsid w:val="004348EF"/>
    <w:rsid w:val="00435515"/>
    <w:rsid w:val="0043572B"/>
    <w:rsid w:val="00436C08"/>
    <w:rsid w:val="00437C9E"/>
    <w:rsid w:val="00440A31"/>
    <w:rsid w:val="00441FF1"/>
    <w:rsid w:val="0044311E"/>
    <w:rsid w:val="00446501"/>
    <w:rsid w:val="00447812"/>
    <w:rsid w:val="00450259"/>
    <w:rsid w:val="004548B4"/>
    <w:rsid w:val="004549DF"/>
    <w:rsid w:val="0045665E"/>
    <w:rsid w:val="00456BF7"/>
    <w:rsid w:val="00464ABF"/>
    <w:rsid w:val="004658E8"/>
    <w:rsid w:val="00465C82"/>
    <w:rsid w:val="00466DCA"/>
    <w:rsid w:val="00467987"/>
    <w:rsid w:val="004714EE"/>
    <w:rsid w:val="004727FE"/>
    <w:rsid w:val="00473A8B"/>
    <w:rsid w:val="0047629E"/>
    <w:rsid w:val="00476E2B"/>
    <w:rsid w:val="004771E6"/>
    <w:rsid w:val="00477D6A"/>
    <w:rsid w:val="00477E75"/>
    <w:rsid w:val="004805F3"/>
    <w:rsid w:val="0048368E"/>
    <w:rsid w:val="00484188"/>
    <w:rsid w:val="0048567D"/>
    <w:rsid w:val="004903C4"/>
    <w:rsid w:val="00491487"/>
    <w:rsid w:val="00492678"/>
    <w:rsid w:val="00492791"/>
    <w:rsid w:val="0049313A"/>
    <w:rsid w:val="0049403B"/>
    <w:rsid w:val="004948D7"/>
    <w:rsid w:val="00494F67"/>
    <w:rsid w:val="00495076"/>
    <w:rsid w:val="004958C1"/>
    <w:rsid w:val="00495D55"/>
    <w:rsid w:val="0049745C"/>
    <w:rsid w:val="004A0765"/>
    <w:rsid w:val="004A0B8C"/>
    <w:rsid w:val="004A0C83"/>
    <w:rsid w:val="004A1117"/>
    <w:rsid w:val="004A1B62"/>
    <w:rsid w:val="004A254D"/>
    <w:rsid w:val="004A2706"/>
    <w:rsid w:val="004A2A55"/>
    <w:rsid w:val="004A5C32"/>
    <w:rsid w:val="004A6F60"/>
    <w:rsid w:val="004B1C3A"/>
    <w:rsid w:val="004B2069"/>
    <w:rsid w:val="004B21F7"/>
    <w:rsid w:val="004B247D"/>
    <w:rsid w:val="004B2BA6"/>
    <w:rsid w:val="004B36C1"/>
    <w:rsid w:val="004B4916"/>
    <w:rsid w:val="004C1283"/>
    <w:rsid w:val="004C33D9"/>
    <w:rsid w:val="004C3DE6"/>
    <w:rsid w:val="004C4C11"/>
    <w:rsid w:val="004C5494"/>
    <w:rsid w:val="004C6D9E"/>
    <w:rsid w:val="004D47BF"/>
    <w:rsid w:val="004D51E2"/>
    <w:rsid w:val="004D76D4"/>
    <w:rsid w:val="004E0F28"/>
    <w:rsid w:val="004E198F"/>
    <w:rsid w:val="004E1F5C"/>
    <w:rsid w:val="004E5717"/>
    <w:rsid w:val="004E6AEC"/>
    <w:rsid w:val="004F1044"/>
    <w:rsid w:val="004F31D2"/>
    <w:rsid w:val="004F31ED"/>
    <w:rsid w:val="004F697F"/>
    <w:rsid w:val="00500589"/>
    <w:rsid w:val="00504F19"/>
    <w:rsid w:val="00505A06"/>
    <w:rsid w:val="0050636A"/>
    <w:rsid w:val="00506C19"/>
    <w:rsid w:val="0050785E"/>
    <w:rsid w:val="00516056"/>
    <w:rsid w:val="00517C6D"/>
    <w:rsid w:val="0052135F"/>
    <w:rsid w:val="0052223C"/>
    <w:rsid w:val="00523F1E"/>
    <w:rsid w:val="00525C94"/>
    <w:rsid w:val="0052735A"/>
    <w:rsid w:val="00530CF8"/>
    <w:rsid w:val="005316F3"/>
    <w:rsid w:val="00532037"/>
    <w:rsid w:val="00534648"/>
    <w:rsid w:val="005356E6"/>
    <w:rsid w:val="00535A92"/>
    <w:rsid w:val="00536660"/>
    <w:rsid w:val="005378FD"/>
    <w:rsid w:val="00537DAC"/>
    <w:rsid w:val="00540828"/>
    <w:rsid w:val="00542EF1"/>
    <w:rsid w:val="00543B7A"/>
    <w:rsid w:val="00545178"/>
    <w:rsid w:val="00545CC0"/>
    <w:rsid w:val="0054787E"/>
    <w:rsid w:val="0055388B"/>
    <w:rsid w:val="00553A56"/>
    <w:rsid w:val="00554ABB"/>
    <w:rsid w:val="0055766D"/>
    <w:rsid w:val="005654EC"/>
    <w:rsid w:val="005655E9"/>
    <w:rsid w:val="005706E9"/>
    <w:rsid w:val="00570821"/>
    <w:rsid w:val="00571F22"/>
    <w:rsid w:val="0057236C"/>
    <w:rsid w:val="00573186"/>
    <w:rsid w:val="0057527A"/>
    <w:rsid w:val="0057753E"/>
    <w:rsid w:val="00577A0C"/>
    <w:rsid w:val="00582A42"/>
    <w:rsid w:val="00585363"/>
    <w:rsid w:val="00585500"/>
    <w:rsid w:val="00585E1B"/>
    <w:rsid w:val="00590F62"/>
    <w:rsid w:val="00597FDF"/>
    <w:rsid w:val="005A224A"/>
    <w:rsid w:val="005A2BB7"/>
    <w:rsid w:val="005A2BD4"/>
    <w:rsid w:val="005A3172"/>
    <w:rsid w:val="005A57D6"/>
    <w:rsid w:val="005A73C2"/>
    <w:rsid w:val="005A7DEB"/>
    <w:rsid w:val="005B400F"/>
    <w:rsid w:val="005B4D1D"/>
    <w:rsid w:val="005B5B2C"/>
    <w:rsid w:val="005B7B7B"/>
    <w:rsid w:val="005B7DA8"/>
    <w:rsid w:val="005C16DB"/>
    <w:rsid w:val="005C19E0"/>
    <w:rsid w:val="005C25FD"/>
    <w:rsid w:val="005C27BA"/>
    <w:rsid w:val="005C2C43"/>
    <w:rsid w:val="005D1862"/>
    <w:rsid w:val="005D527C"/>
    <w:rsid w:val="005D5319"/>
    <w:rsid w:val="005D5477"/>
    <w:rsid w:val="005E00E5"/>
    <w:rsid w:val="005E266F"/>
    <w:rsid w:val="005E4F10"/>
    <w:rsid w:val="005E5114"/>
    <w:rsid w:val="005E61B0"/>
    <w:rsid w:val="005E6203"/>
    <w:rsid w:val="005E6F21"/>
    <w:rsid w:val="005E7992"/>
    <w:rsid w:val="005F0286"/>
    <w:rsid w:val="005F251E"/>
    <w:rsid w:val="005F4861"/>
    <w:rsid w:val="005F4C1B"/>
    <w:rsid w:val="005F587D"/>
    <w:rsid w:val="005F6EC6"/>
    <w:rsid w:val="00600A99"/>
    <w:rsid w:val="00601C18"/>
    <w:rsid w:val="00602B72"/>
    <w:rsid w:val="00603A7C"/>
    <w:rsid w:val="006070AA"/>
    <w:rsid w:val="006071CC"/>
    <w:rsid w:val="00611CF7"/>
    <w:rsid w:val="00611DAD"/>
    <w:rsid w:val="0061393D"/>
    <w:rsid w:val="00613D3B"/>
    <w:rsid w:val="00617005"/>
    <w:rsid w:val="00617BAB"/>
    <w:rsid w:val="00621092"/>
    <w:rsid w:val="0062461E"/>
    <w:rsid w:val="00625E2A"/>
    <w:rsid w:val="0062618C"/>
    <w:rsid w:val="00626767"/>
    <w:rsid w:val="00627A4F"/>
    <w:rsid w:val="0063027E"/>
    <w:rsid w:val="00630D9C"/>
    <w:rsid w:val="006325B6"/>
    <w:rsid w:val="00632737"/>
    <w:rsid w:val="00633031"/>
    <w:rsid w:val="006349FA"/>
    <w:rsid w:val="00635119"/>
    <w:rsid w:val="006361CA"/>
    <w:rsid w:val="0063791C"/>
    <w:rsid w:val="0064024C"/>
    <w:rsid w:val="0064463C"/>
    <w:rsid w:val="00644CA5"/>
    <w:rsid w:val="00645292"/>
    <w:rsid w:val="00645CC8"/>
    <w:rsid w:val="00650369"/>
    <w:rsid w:val="00651925"/>
    <w:rsid w:val="00653B23"/>
    <w:rsid w:val="00657747"/>
    <w:rsid w:val="00660BE1"/>
    <w:rsid w:val="0066203F"/>
    <w:rsid w:val="00663FC8"/>
    <w:rsid w:val="00664089"/>
    <w:rsid w:val="006644E3"/>
    <w:rsid w:val="00664629"/>
    <w:rsid w:val="00664E48"/>
    <w:rsid w:val="00665268"/>
    <w:rsid w:val="00666773"/>
    <w:rsid w:val="0067209F"/>
    <w:rsid w:val="0067462F"/>
    <w:rsid w:val="00676A41"/>
    <w:rsid w:val="00676FDD"/>
    <w:rsid w:val="006824B9"/>
    <w:rsid w:val="00682B03"/>
    <w:rsid w:val="0069094D"/>
    <w:rsid w:val="006937FD"/>
    <w:rsid w:val="00695156"/>
    <w:rsid w:val="00695987"/>
    <w:rsid w:val="006960A2"/>
    <w:rsid w:val="00696811"/>
    <w:rsid w:val="00696F97"/>
    <w:rsid w:val="00697153"/>
    <w:rsid w:val="006A052F"/>
    <w:rsid w:val="006A4DCF"/>
    <w:rsid w:val="006A7656"/>
    <w:rsid w:val="006B0204"/>
    <w:rsid w:val="006B0ED1"/>
    <w:rsid w:val="006B315A"/>
    <w:rsid w:val="006B317C"/>
    <w:rsid w:val="006B34BF"/>
    <w:rsid w:val="006B56BF"/>
    <w:rsid w:val="006B643F"/>
    <w:rsid w:val="006B6B08"/>
    <w:rsid w:val="006B6ECA"/>
    <w:rsid w:val="006B7344"/>
    <w:rsid w:val="006C106C"/>
    <w:rsid w:val="006C1146"/>
    <w:rsid w:val="006D112C"/>
    <w:rsid w:val="006D4703"/>
    <w:rsid w:val="006D4761"/>
    <w:rsid w:val="006D47DF"/>
    <w:rsid w:val="006D483D"/>
    <w:rsid w:val="006D66D3"/>
    <w:rsid w:val="006D6944"/>
    <w:rsid w:val="006D720D"/>
    <w:rsid w:val="006D77EB"/>
    <w:rsid w:val="006E0CEF"/>
    <w:rsid w:val="006E369E"/>
    <w:rsid w:val="006E393E"/>
    <w:rsid w:val="006E4FD4"/>
    <w:rsid w:val="006F1B4C"/>
    <w:rsid w:val="006F3386"/>
    <w:rsid w:val="006F376D"/>
    <w:rsid w:val="006F4F87"/>
    <w:rsid w:val="006F58C6"/>
    <w:rsid w:val="006F7B72"/>
    <w:rsid w:val="006F7F38"/>
    <w:rsid w:val="00702D13"/>
    <w:rsid w:val="00703A41"/>
    <w:rsid w:val="007051DE"/>
    <w:rsid w:val="007055F0"/>
    <w:rsid w:val="007078A0"/>
    <w:rsid w:val="007118CE"/>
    <w:rsid w:val="007125F5"/>
    <w:rsid w:val="007128BA"/>
    <w:rsid w:val="007134FD"/>
    <w:rsid w:val="00716688"/>
    <w:rsid w:val="00716A36"/>
    <w:rsid w:val="00720D89"/>
    <w:rsid w:val="007222BE"/>
    <w:rsid w:val="00723894"/>
    <w:rsid w:val="00724486"/>
    <w:rsid w:val="007255FD"/>
    <w:rsid w:val="007259D4"/>
    <w:rsid w:val="00730902"/>
    <w:rsid w:val="00731C9B"/>
    <w:rsid w:val="00735686"/>
    <w:rsid w:val="00736EC3"/>
    <w:rsid w:val="007371E8"/>
    <w:rsid w:val="007412EC"/>
    <w:rsid w:val="0074299E"/>
    <w:rsid w:val="00743284"/>
    <w:rsid w:val="00744BC7"/>
    <w:rsid w:val="00745BD5"/>
    <w:rsid w:val="00750434"/>
    <w:rsid w:val="00750AEC"/>
    <w:rsid w:val="00754D0F"/>
    <w:rsid w:val="00755198"/>
    <w:rsid w:val="00755EDA"/>
    <w:rsid w:val="007578EA"/>
    <w:rsid w:val="00757F34"/>
    <w:rsid w:val="0076264E"/>
    <w:rsid w:val="007637E3"/>
    <w:rsid w:val="00764F8B"/>
    <w:rsid w:val="00767EE1"/>
    <w:rsid w:val="007726B8"/>
    <w:rsid w:val="00773884"/>
    <w:rsid w:val="007757B9"/>
    <w:rsid w:val="007767D0"/>
    <w:rsid w:val="007778F9"/>
    <w:rsid w:val="0078741E"/>
    <w:rsid w:val="00790DDB"/>
    <w:rsid w:val="007919BD"/>
    <w:rsid w:val="007957D1"/>
    <w:rsid w:val="007975E3"/>
    <w:rsid w:val="00797DE1"/>
    <w:rsid w:val="007A1DA0"/>
    <w:rsid w:val="007A2AE8"/>
    <w:rsid w:val="007A39B7"/>
    <w:rsid w:val="007A45AE"/>
    <w:rsid w:val="007A5925"/>
    <w:rsid w:val="007A6FAF"/>
    <w:rsid w:val="007B00DB"/>
    <w:rsid w:val="007B0C4C"/>
    <w:rsid w:val="007B1A90"/>
    <w:rsid w:val="007B70EE"/>
    <w:rsid w:val="007C2BAC"/>
    <w:rsid w:val="007C3039"/>
    <w:rsid w:val="007C518B"/>
    <w:rsid w:val="007C56CC"/>
    <w:rsid w:val="007C59F1"/>
    <w:rsid w:val="007C71D0"/>
    <w:rsid w:val="007D02EB"/>
    <w:rsid w:val="007D1D2B"/>
    <w:rsid w:val="007D30CB"/>
    <w:rsid w:val="007E0A86"/>
    <w:rsid w:val="007E2396"/>
    <w:rsid w:val="007E36F2"/>
    <w:rsid w:val="007E378B"/>
    <w:rsid w:val="007E37E9"/>
    <w:rsid w:val="007E736F"/>
    <w:rsid w:val="007E7504"/>
    <w:rsid w:val="007F1EF1"/>
    <w:rsid w:val="007F25BC"/>
    <w:rsid w:val="007F2E73"/>
    <w:rsid w:val="007F3072"/>
    <w:rsid w:val="007F5196"/>
    <w:rsid w:val="007F5937"/>
    <w:rsid w:val="007F5ECE"/>
    <w:rsid w:val="007F6A72"/>
    <w:rsid w:val="007F6DFA"/>
    <w:rsid w:val="008002AE"/>
    <w:rsid w:val="00800AB7"/>
    <w:rsid w:val="0080127D"/>
    <w:rsid w:val="008017DF"/>
    <w:rsid w:val="00803C46"/>
    <w:rsid w:val="00804DED"/>
    <w:rsid w:val="00807090"/>
    <w:rsid w:val="00807455"/>
    <w:rsid w:val="00807C5C"/>
    <w:rsid w:val="0081025A"/>
    <w:rsid w:val="00811F61"/>
    <w:rsid w:val="008136B3"/>
    <w:rsid w:val="00820F47"/>
    <w:rsid w:val="008212BA"/>
    <w:rsid w:val="008236BE"/>
    <w:rsid w:val="00825D1D"/>
    <w:rsid w:val="008268DA"/>
    <w:rsid w:val="00826AB7"/>
    <w:rsid w:val="008270AD"/>
    <w:rsid w:val="008303D3"/>
    <w:rsid w:val="00832565"/>
    <w:rsid w:val="00832BAC"/>
    <w:rsid w:val="00833394"/>
    <w:rsid w:val="00834949"/>
    <w:rsid w:val="00835568"/>
    <w:rsid w:val="008355F9"/>
    <w:rsid w:val="00836AEB"/>
    <w:rsid w:val="0084079D"/>
    <w:rsid w:val="00840830"/>
    <w:rsid w:val="00841F58"/>
    <w:rsid w:val="00843294"/>
    <w:rsid w:val="0084337A"/>
    <w:rsid w:val="008460D4"/>
    <w:rsid w:val="00851AB0"/>
    <w:rsid w:val="00852B14"/>
    <w:rsid w:val="00854F78"/>
    <w:rsid w:val="0085527F"/>
    <w:rsid w:val="00855A78"/>
    <w:rsid w:val="00856BB9"/>
    <w:rsid w:val="00856FD4"/>
    <w:rsid w:val="00856FFC"/>
    <w:rsid w:val="008608D2"/>
    <w:rsid w:val="00861E60"/>
    <w:rsid w:val="008623EB"/>
    <w:rsid w:val="008642B7"/>
    <w:rsid w:val="00864813"/>
    <w:rsid w:val="008670FD"/>
    <w:rsid w:val="00867C71"/>
    <w:rsid w:val="00870215"/>
    <w:rsid w:val="00873563"/>
    <w:rsid w:val="00875868"/>
    <w:rsid w:val="00875B74"/>
    <w:rsid w:val="0087621B"/>
    <w:rsid w:val="00876CDF"/>
    <w:rsid w:val="008803E9"/>
    <w:rsid w:val="00881903"/>
    <w:rsid w:val="00883265"/>
    <w:rsid w:val="00883455"/>
    <w:rsid w:val="008844E0"/>
    <w:rsid w:val="00884612"/>
    <w:rsid w:val="008847DB"/>
    <w:rsid w:val="00887292"/>
    <w:rsid w:val="00890F2D"/>
    <w:rsid w:val="008913DE"/>
    <w:rsid w:val="00891F1C"/>
    <w:rsid w:val="0089250E"/>
    <w:rsid w:val="0089382E"/>
    <w:rsid w:val="00894212"/>
    <w:rsid w:val="00896E5D"/>
    <w:rsid w:val="008977EB"/>
    <w:rsid w:val="008A0069"/>
    <w:rsid w:val="008A2490"/>
    <w:rsid w:val="008A4AC8"/>
    <w:rsid w:val="008A529D"/>
    <w:rsid w:val="008A5BC7"/>
    <w:rsid w:val="008B05D6"/>
    <w:rsid w:val="008B2D1F"/>
    <w:rsid w:val="008B52DC"/>
    <w:rsid w:val="008B75AB"/>
    <w:rsid w:val="008C17F3"/>
    <w:rsid w:val="008C1E81"/>
    <w:rsid w:val="008C2A4C"/>
    <w:rsid w:val="008C5535"/>
    <w:rsid w:val="008C5BE2"/>
    <w:rsid w:val="008C61FC"/>
    <w:rsid w:val="008D0A5B"/>
    <w:rsid w:val="008D0DB1"/>
    <w:rsid w:val="008D22D2"/>
    <w:rsid w:val="008D2895"/>
    <w:rsid w:val="008D3875"/>
    <w:rsid w:val="008D4199"/>
    <w:rsid w:val="008D49FD"/>
    <w:rsid w:val="008D508D"/>
    <w:rsid w:val="008D5806"/>
    <w:rsid w:val="008D6DB8"/>
    <w:rsid w:val="008D782B"/>
    <w:rsid w:val="008E19D2"/>
    <w:rsid w:val="008E254A"/>
    <w:rsid w:val="008E387B"/>
    <w:rsid w:val="008E39F9"/>
    <w:rsid w:val="008E4480"/>
    <w:rsid w:val="008E4D67"/>
    <w:rsid w:val="008E5C7B"/>
    <w:rsid w:val="008F1CC5"/>
    <w:rsid w:val="008F1D1C"/>
    <w:rsid w:val="008F2DE1"/>
    <w:rsid w:val="008F3772"/>
    <w:rsid w:val="008F5C16"/>
    <w:rsid w:val="008F6063"/>
    <w:rsid w:val="008F6775"/>
    <w:rsid w:val="008F6B1D"/>
    <w:rsid w:val="008F6C0C"/>
    <w:rsid w:val="008F767A"/>
    <w:rsid w:val="0090069F"/>
    <w:rsid w:val="00901D0D"/>
    <w:rsid w:val="00902CF9"/>
    <w:rsid w:val="009033AF"/>
    <w:rsid w:val="00904579"/>
    <w:rsid w:val="00904641"/>
    <w:rsid w:val="0091248C"/>
    <w:rsid w:val="00914276"/>
    <w:rsid w:val="0091482A"/>
    <w:rsid w:val="009165EA"/>
    <w:rsid w:val="0091703D"/>
    <w:rsid w:val="00917413"/>
    <w:rsid w:val="00920F28"/>
    <w:rsid w:val="009212AD"/>
    <w:rsid w:val="009235B0"/>
    <w:rsid w:val="00926877"/>
    <w:rsid w:val="00927A56"/>
    <w:rsid w:val="00927FFE"/>
    <w:rsid w:val="00936121"/>
    <w:rsid w:val="00940142"/>
    <w:rsid w:val="00940EC5"/>
    <w:rsid w:val="00941B67"/>
    <w:rsid w:val="00943CD9"/>
    <w:rsid w:val="00945536"/>
    <w:rsid w:val="009460D4"/>
    <w:rsid w:val="00947B45"/>
    <w:rsid w:val="00950972"/>
    <w:rsid w:val="00950A38"/>
    <w:rsid w:val="00951D68"/>
    <w:rsid w:val="00951EDC"/>
    <w:rsid w:val="009534DC"/>
    <w:rsid w:val="009541E4"/>
    <w:rsid w:val="00956950"/>
    <w:rsid w:val="00956B10"/>
    <w:rsid w:val="00956BC3"/>
    <w:rsid w:val="00957788"/>
    <w:rsid w:val="009578DA"/>
    <w:rsid w:val="00960428"/>
    <w:rsid w:val="0096043E"/>
    <w:rsid w:val="00961388"/>
    <w:rsid w:val="009637F1"/>
    <w:rsid w:val="00963F76"/>
    <w:rsid w:val="009647BF"/>
    <w:rsid w:val="009668B9"/>
    <w:rsid w:val="00966986"/>
    <w:rsid w:val="00966A92"/>
    <w:rsid w:val="00967FDF"/>
    <w:rsid w:val="00970AFC"/>
    <w:rsid w:val="00970BDA"/>
    <w:rsid w:val="00970C9E"/>
    <w:rsid w:val="00971C89"/>
    <w:rsid w:val="009728B2"/>
    <w:rsid w:val="009756B2"/>
    <w:rsid w:val="00976638"/>
    <w:rsid w:val="00976A2B"/>
    <w:rsid w:val="00976F9F"/>
    <w:rsid w:val="00980173"/>
    <w:rsid w:val="0098205B"/>
    <w:rsid w:val="009825D1"/>
    <w:rsid w:val="00984F19"/>
    <w:rsid w:val="00985600"/>
    <w:rsid w:val="009872A1"/>
    <w:rsid w:val="00987643"/>
    <w:rsid w:val="00987C2B"/>
    <w:rsid w:val="0099041C"/>
    <w:rsid w:val="00991959"/>
    <w:rsid w:val="009919C9"/>
    <w:rsid w:val="00992232"/>
    <w:rsid w:val="00994A2B"/>
    <w:rsid w:val="009A065D"/>
    <w:rsid w:val="009A07DA"/>
    <w:rsid w:val="009A1889"/>
    <w:rsid w:val="009A212E"/>
    <w:rsid w:val="009A27ED"/>
    <w:rsid w:val="009A2923"/>
    <w:rsid w:val="009A373F"/>
    <w:rsid w:val="009A6038"/>
    <w:rsid w:val="009B0032"/>
    <w:rsid w:val="009B008A"/>
    <w:rsid w:val="009B05BF"/>
    <w:rsid w:val="009B170B"/>
    <w:rsid w:val="009B1994"/>
    <w:rsid w:val="009B1DAD"/>
    <w:rsid w:val="009B342E"/>
    <w:rsid w:val="009B560D"/>
    <w:rsid w:val="009B6965"/>
    <w:rsid w:val="009B69D9"/>
    <w:rsid w:val="009B740B"/>
    <w:rsid w:val="009B79D0"/>
    <w:rsid w:val="009C30A0"/>
    <w:rsid w:val="009C4964"/>
    <w:rsid w:val="009C5638"/>
    <w:rsid w:val="009C603A"/>
    <w:rsid w:val="009C658C"/>
    <w:rsid w:val="009C7295"/>
    <w:rsid w:val="009C7469"/>
    <w:rsid w:val="009C7B74"/>
    <w:rsid w:val="009D01A7"/>
    <w:rsid w:val="009D036C"/>
    <w:rsid w:val="009D1AC4"/>
    <w:rsid w:val="009D1CC4"/>
    <w:rsid w:val="009D207E"/>
    <w:rsid w:val="009D4781"/>
    <w:rsid w:val="009D513E"/>
    <w:rsid w:val="009D64A7"/>
    <w:rsid w:val="009E0F6B"/>
    <w:rsid w:val="009E1030"/>
    <w:rsid w:val="009E2971"/>
    <w:rsid w:val="009E372A"/>
    <w:rsid w:val="009F044D"/>
    <w:rsid w:val="009F13B8"/>
    <w:rsid w:val="009F3A65"/>
    <w:rsid w:val="009F5A94"/>
    <w:rsid w:val="009F6C9A"/>
    <w:rsid w:val="009F7363"/>
    <w:rsid w:val="00A00EA7"/>
    <w:rsid w:val="00A02428"/>
    <w:rsid w:val="00A029BE"/>
    <w:rsid w:val="00A0434B"/>
    <w:rsid w:val="00A0474E"/>
    <w:rsid w:val="00A05223"/>
    <w:rsid w:val="00A05C30"/>
    <w:rsid w:val="00A10979"/>
    <w:rsid w:val="00A11019"/>
    <w:rsid w:val="00A111A4"/>
    <w:rsid w:val="00A112B0"/>
    <w:rsid w:val="00A12193"/>
    <w:rsid w:val="00A154B3"/>
    <w:rsid w:val="00A1648F"/>
    <w:rsid w:val="00A17270"/>
    <w:rsid w:val="00A219E3"/>
    <w:rsid w:val="00A22B2C"/>
    <w:rsid w:val="00A22D9F"/>
    <w:rsid w:val="00A22EB2"/>
    <w:rsid w:val="00A24481"/>
    <w:rsid w:val="00A245AE"/>
    <w:rsid w:val="00A271A4"/>
    <w:rsid w:val="00A27ED6"/>
    <w:rsid w:val="00A30D44"/>
    <w:rsid w:val="00A31070"/>
    <w:rsid w:val="00A32DDC"/>
    <w:rsid w:val="00A33436"/>
    <w:rsid w:val="00A34470"/>
    <w:rsid w:val="00A34B97"/>
    <w:rsid w:val="00A35482"/>
    <w:rsid w:val="00A35EBC"/>
    <w:rsid w:val="00A36C64"/>
    <w:rsid w:val="00A37C74"/>
    <w:rsid w:val="00A40364"/>
    <w:rsid w:val="00A40585"/>
    <w:rsid w:val="00A44846"/>
    <w:rsid w:val="00A463D3"/>
    <w:rsid w:val="00A470D3"/>
    <w:rsid w:val="00A5092D"/>
    <w:rsid w:val="00A52071"/>
    <w:rsid w:val="00A524CB"/>
    <w:rsid w:val="00A52DED"/>
    <w:rsid w:val="00A5422B"/>
    <w:rsid w:val="00A626A7"/>
    <w:rsid w:val="00A626FD"/>
    <w:rsid w:val="00A6462B"/>
    <w:rsid w:val="00A66166"/>
    <w:rsid w:val="00A67778"/>
    <w:rsid w:val="00A70E8A"/>
    <w:rsid w:val="00A71AA3"/>
    <w:rsid w:val="00A74430"/>
    <w:rsid w:val="00A74873"/>
    <w:rsid w:val="00A770F3"/>
    <w:rsid w:val="00A7747A"/>
    <w:rsid w:val="00A7768E"/>
    <w:rsid w:val="00A77C4D"/>
    <w:rsid w:val="00A80FE7"/>
    <w:rsid w:val="00A818B5"/>
    <w:rsid w:val="00A81B7C"/>
    <w:rsid w:val="00A82FD1"/>
    <w:rsid w:val="00A84635"/>
    <w:rsid w:val="00A84AD3"/>
    <w:rsid w:val="00A850DE"/>
    <w:rsid w:val="00A8635D"/>
    <w:rsid w:val="00A869D4"/>
    <w:rsid w:val="00A873FA"/>
    <w:rsid w:val="00A915A8"/>
    <w:rsid w:val="00A97175"/>
    <w:rsid w:val="00AA456C"/>
    <w:rsid w:val="00AA51BF"/>
    <w:rsid w:val="00AA70EC"/>
    <w:rsid w:val="00AA7C05"/>
    <w:rsid w:val="00AB57D8"/>
    <w:rsid w:val="00AB6782"/>
    <w:rsid w:val="00AB6E31"/>
    <w:rsid w:val="00AB781A"/>
    <w:rsid w:val="00AC111E"/>
    <w:rsid w:val="00AC1B36"/>
    <w:rsid w:val="00AC22EF"/>
    <w:rsid w:val="00AC2E55"/>
    <w:rsid w:val="00AC5E32"/>
    <w:rsid w:val="00AD1E4A"/>
    <w:rsid w:val="00AD4015"/>
    <w:rsid w:val="00AD454D"/>
    <w:rsid w:val="00AD5317"/>
    <w:rsid w:val="00AE25A3"/>
    <w:rsid w:val="00AE44CA"/>
    <w:rsid w:val="00AE4EF7"/>
    <w:rsid w:val="00AF1362"/>
    <w:rsid w:val="00AF2219"/>
    <w:rsid w:val="00AF55F5"/>
    <w:rsid w:val="00AF613B"/>
    <w:rsid w:val="00B000CC"/>
    <w:rsid w:val="00B00915"/>
    <w:rsid w:val="00B00BB3"/>
    <w:rsid w:val="00B02A0F"/>
    <w:rsid w:val="00B05369"/>
    <w:rsid w:val="00B07362"/>
    <w:rsid w:val="00B104ED"/>
    <w:rsid w:val="00B1082F"/>
    <w:rsid w:val="00B118FE"/>
    <w:rsid w:val="00B1263B"/>
    <w:rsid w:val="00B14394"/>
    <w:rsid w:val="00B15715"/>
    <w:rsid w:val="00B20CE3"/>
    <w:rsid w:val="00B2318C"/>
    <w:rsid w:val="00B26023"/>
    <w:rsid w:val="00B323B7"/>
    <w:rsid w:val="00B40C48"/>
    <w:rsid w:val="00B418BD"/>
    <w:rsid w:val="00B50294"/>
    <w:rsid w:val="00B50C37"/>
    <w:rsid w:val="00B52435"/>
    <w:rsid w:val="00B532F8"/>
    <w:rsid w:val="00B535E2"/>
    <w:rsid w:val="00B5424B"/>
    <w:rsid w:val="00B56AF4"/>
    <w:rsid w:val="00B57974"/>
    <w:rsid w:val="00B60A92"/>
    <w:rsid w:val="00B60EE4"/>
    <w:rsid w:val="00B6468C"/>
    <w:rsid w:val="00B666E3"/>
    <w:rsid w:val="00B670B4"/>
    <w:rsid w:val="00B67F62"/>
    <w:rsid w:val="00B71B37"/>
    <w:rsid w:val="00B72CD1"/>
    <w:rsid w:val="00B7318A"/>
    <w:rsid w:val="00B75B4E"/>
    <w:rsid w:val="00B7751C"/>
    <w:rsid w:val="00B805CC"/>
    <w:rsid w:val="00B8136C"/>
    <w:rsid w:val="00B817E1"/>
    <w:rsid w:val="00B8378A"/>
    <w:rsid w:val="00B85BB4"/>
    <w:rsid w:val="00B921D7"/>
    <w:rsid w:val="00B92304"/>
    <w:rsid w:val="00B93844"/>
    <w:rsid w:val="00B95327"/>
    <w:rsid w:val="00B95C9D"/>
    <w:rsid w:val="00BA0705"/>
    <w:rsid w:val="00BA2D28"/>
    <w:rsid w:val="00BA684F"/>
    <w:rsid w:val="00BA6B16"/>
    <w:rsid w:val="00BB0AA9"/>
    <w:rsid w:val="00BB1EA4"/>
    <w:rsid w:val="00BB3B7A"/>
    <w:rsid w:val="00BB4D0E"/>
    <w:rsid w:val="00BB4F2C"/>
    <w:rsid w:val="00BB70D3"/>
    <w:rsid w:val="00BB719A"/>
    <w:rsid w:val="00BB7427"/>
    <w:rsid w:val="00BB7E01"/>
    <w:rsid w:val="00BC2BF6"/>
    <w:rsid w:val="00BC3A8A"/>
    <w:rsid w:val="00BC5148"/>
    <w:rsid w:val="00BC5FBC"/>
    <w:rsid w:val="00BD0991"/>
    <w:rsid w:val="00BD382B"/>
    <w:rsid w:val="00BE0E86"/>
    <w:rsid w:val="00BE17D6"/>
    <w:rsid w:val="00BE21C9"/>
    <w:rsid w:val="00BE2D59"/>
    <w:rsid w:val="00BE37F1"/>
    <w:rsid w:val="00BE5841"/>
    <w:rsid w:val="00BE61BA"/>
    <w:rsid w:val="00BE7C20"/>
    <w:rsid w:val="00BE7F5F"/>
    <w:rsid w:val="00BF1D87"/>
    <w:rsid w:val="00BF230E"/>
    <w:rsid w:val="00BF5615"/>
    <w:rsid w:val="00BF5686"/>
    <w:rsid w:val="00BF6924"/>
    <w:rsid w:val="00BF79B8"/>
    <w:rsid w:val="00BF7E23"/>
    <w:rsid w:val="00C002B4"/>
    <w:rsid w:val="00C00777"/>
    <w:rsid w:val="00C0121C"/>
    <w:rsid w:val="00C01F0F"/>
    <w:rsid w:val="00C03B34"/>
    <w:rsid w:val="00C04FD1"/>
    <w:rsid w:val="00C060E3"/>
    <w:rsid w:val="00C0785C"/>
    <w:rsid w:val="00C07FF1"/>
    <w:rsid w:val="00C1004F"/>
    <w:rsid w:val="00C1049E"/>
    <w:rsid w:val="00C11BE0"/>
    <w:rsid w:val="00C1311A"/>
    <w:rsid w:val="00C14C94"/>
    <w:rsid w:val="00C16A4A"/>
    <w:rsid w:val="00C16E98"/>
    <w:rsid w:val="00C17457"/>
    <w:rsid w:val="00C20622"/>
    <w:rsid w:val="00C2316D"/>
    <w:rsid w:val="00C2321F"/>
    <w:rsid w:val="00C25E5D"/>
    <w:rsid w:val="00C26AE6"/>
    <w:rsid w:val="00C33916"/>
    <w:rsid w:val="00C3652A"/>
    <w:rsid w:val="00C367C4"/>
    <w:rsid w:val="00C40C1C"/>
    <w:rsid w:val="00C40D83"/>
    <w:rsid w:val="00C40F07"/>
    <w:rsid w:val="00C41148"/>
    <w:rsid w:val="00C4340E"/>
    <w:rsid w:val="00C456BF"/>
    <w:rsid w:val="00C462C6"/>
    <w:rsid w:val="00C46E34"/>
    <w:rsid w:val="00C51530"/>
    <w:rsid w:val="00C51CDE"/>
    <w:rsid w:val="00C51DC7"/>
    <w:rsid w:val="00C5225C"/>
    <w:rsid w:val="00C53C29"/>
    <w:rsid w:val="00C53F0B"/>
    <w:rsid w:val="00C55DD7"/>
    <w:rsid w:val="00C56F85"/>
    <w:rsid w:val="00C610E0"/>
    <w:rsid w:val="00C61A28"/>
    <w:rsid w:val="00C61B2F"/>
    <w:rsid w:val="00C65470"/>
    <w:rsid w:val="00C65A72"/>
    <w:rsid w:val="00C660EF"/>
    <w:rsid w:val="00C66385"/>
    <w:rsid w:val="00C66D91"/>
    <w:rsid w:val="00C71A9E"/>
    <w:rsid w:val="00C71ADC"/>
    <w:rsid w:val="00C736BD"/>
    <w:rsid w:val="00C7634A"/>
    <w:rsid w:val="00C80C9B"/>
    <w:rsid w:val="00C8338E"/>
    <w:rsid w:val="00C84034"/>
    <w:rsid w:val="00C84A3F"/>
    <w:rsid w:val="00C87F20"/>
    <w:rsid w:val="00C90487"/>
    <w:rsid w:val="00C90DBE"/>
    <w:rsid w:val="00C91167"/>
    <w:rsid w:val="00C948B0"/>
    <w:rsid w:val="00C95EF6"/>
    <w:rsid w:val="00C963FD"/>
    <w:rsid w:val="00C964C2"/>
    <w:rsid w:val="00CA148F"/>
    <w:rsid w:val="00CA3446"/>
    <w:rsid w:val="00CA3C21"/>
    <w:rsid w:val="00CA40F6"/>
    <w:rsid w:val="00CA42DA"/>
    <w:rsid w:val="00CA674E"/>
    <w:rsid w:val="00CA7150"/>
    <w:rsid w:val="00CA7BD9"/>
    <w:rsid w:val="00CB1780"/>
    <w:rsid w:val="00CB28B2"/>
    <w:rsid w:val="00CB28F6"/>
    <w:rsid w:val="00CB318F"/>
    <w:rsid w:val="00CB3D58"/>
    <w:rsid w:val="00CB5396"/>
    <w:rsid w:val="00CB775E"/>
    <w:rsid w:val="00CC0292"/>
    <w:rsid w:val="00CC1528"/>
    <w:rsid w:val="00CC2B44"/>
    <w:rsid w:val="00CC5AEA"/>
    <w:rsid w:val="00CD21DF"/>
    <w:rsid w:val="00CD2C51"/>
    <w:rsid w:val="00CD70CC"/>
    <w:rsid w:val="00CD75B1"/>
    <w:rsid w:val="00CE0A1A"/>
    <w:rsid w:val="00CE1B0C"/>
    <w:rsid w:val="00CE330C"/>
    <w:rsid w:val="00CE3AB7"/>
    <w:rsid w:val="00CE3F27"/>
    <w:rsid w:val="00CE57D0"/>
    <w:rsid w:val="00CE5E32"/>
    <w:rsid w:val="00CE71D9"/>
    <w:rsid w:val="00CF0554"/>
    <w:rsid w:val="00CF08BB"/>
    <w:rsid w:val="00CF1197"/>
    <w:rsid w:val="00CF24D7"/>
    <w:rsid w:val="00CF60AE"/>
    <w:rsid w:val="00CF6F82"/>
    <w:rsid w:val="00CF74C6"/>
    <w:rsid w:val="00CF7705"/>
    <w:rsid w:val="00D007F4"/>
    <w:rsid w:val="00D00B7E"/>
    <w:rsid w:val="00D017B1"/>
    <w:rsid w:val="00D01909"/>
    <w:rsid w:val="00D04231"/>
    <w:rsid w:val="00D05B1F"/>
    <w:rsid w:val="00D05CA0"/>
    <w:rsid w:val="00D1057A"/>
    <w:rsid w:val="00D10AFA"/>
    <w:rsid w:val="00D10EE1"/>
    <w:rsid w:val="00D12A0D"/>
    <w:rsid w:val="00D1537A"/>
    <w:rsid w:val="00D16520"/>
    <w:rsid w:val="00D178FA"/>
    <w:rsid w:val="00D246E3"/>
    <w:rsid w:val="00D24807"/>
    <w:rsid w:val="00D25242"/>
    <w:rsid w:val="00D27376"/>
    <w:rsid w:val="00D27707"/>
    <w:rsid w:val="00D27F16"/>
    <w:rsid w:val="00D321F1"/>
    <w:rsid w:val="00D33A7E"/>
    <w:rsid w:val="00D33FFD"/>
    <w:rsid w:val="00D34404"/>
    <w:rsid w:val="00D350D7"/>
    <w:rsid w:val="00D40DA7"/>
    <w:rsid w:val="00D41039"/>
    <w:rsid w:val="00D423A1"/>
    <w:rsid w:val="00D433F1"/>
    <w:rsid w:val="00D5018D"/>
    <w:rsid w:val="00D504EC"/>
    <w:rsid w:val="00D5446D"/>
    <w:rsid w:val="00D55724"/>
    <w:rsid w:val="00D56075"/>
    <w:rsid w:val="00D57111"/>
    <w:rsid w:val="00D5722C"/>
    <w:rsid w:val="00D60E0E"/>
    <w:rsid w:val="00D6533E"/>
    <w:rsid w:val="00D70CE8"/>
    <w:rsid w:val="00D711D9"/>
    <w:rsid w:val="00D71577"/>
    <w:rsid w:val="00D73406"/>
    <w:rsid w:val="00D737DB"/>
    <w:rsid w:val="00D74A8B"/>
    <w:rsid w:val="00D76485"/>
    <w:rsid w:val="00D77ABE"/>
    <w:rsid w:val="00D77FB9"/>
    <w:rsid w:val="00D80609"/>
    <w:rsid w:val="00D80A3F"/>
    <w:rsid w:val="00D8272B"/>
    <w:rsid w:val="00D83427"/>
    <w:rsid w:val="00D834DB"/>
    <w:rsid w:val="00D85359"/>
    <w:rsid w:val="00D859AB"/>
    <w:rsid w:val="00D86EBB"/>
    <w:rsid w:val="00D92E4E"/>
    <w:rsid w:val="00D95C7C"/>
    <w:rsid w:val="00DA085A"/>
    <w:rsid w:val="00DA149D"/>
    <w:rsid w:val="00DA1866"/>
    <w:rsid w:val="00DA2D86"/>
    <w:rsid w:val="00DA48A1"/>
    <w:rsid w:val="00DA4BF8"/>
    <w:rsid w:val="00DA548E"/>
    <w:rsid w:val="00DA5D9B"/>
    <w:rsid w:val="00DA747C"/>
    <w:rsid w:val="00DA74B2"/>
    <w:rsid w:val="00DB3202"/>
    <w:rsid w:val="00DB39CD"/>
    <w:rsid w:val="00DB498B"/>
    <w:rsid w:val="00DB5AF2"/>
    <w:rsid w:val="00DC1208"/>
    <w:rsid w:val="00DC252F"/>
    <w:rsid w:val="00DC2636"/>
    <w:rsid w:val="00DC2D95"/>
    <w:rsid w:val="00DC30A9"/>
    <w:rsid w:val="00DC5312"/>
    <w:rsid w:val="00DC698A"/>
    <w:rsid w:val="00DC7844"/>
    <w:rsid w:val="00DD2F3D"/>
    <w:rsid w:val="00DD35E8"/>
    <w:rsid w:val="00DD704E"/>
    <w:rsid w:val="00DE0B2A"/>
    <w:rsid w:val="00DE135D"/>
    <w:rsid w:val="00DE1CA7"/>
    <w:rsid w:val="00DE2913"/>
    <w:rsid w:val="00DE502B"/>
    <w:rsid w:val="00DE7AA3"/>
    <w:rsid w:val="00DF1165"/>
    <w:rsid w:val="00DF37DE"/>
    <w:rsid w:val="00DF386B"/>
    <w:rsid w:val="00DF3EDA"/>
    <w:rsid w:val="00DF72B7"/>
    <w:rsid w:val="00E01D69"/>
    <w:rsid w:val="00E030D4"/>
    <w:rsid w:val="00E04DE0"/>
    <w:rsid w:val="00E04F61"/>
    <w:rsid w:val="00E0546B"/>
    <w:rsid w:val="00E05789"/>
    <w:rsid w:val="00E06049"/>
    <w:rsid w:val="00E118DD"/>
    <w:rsid w:val="00E12998"/>
    <w:rsid w:val="00E14B89"/>
    <w:rsid w:val="00E154E1"/>
    <w:rsid w:val="00E15DC0"/>
    <w:rsid w:val="00E17471"/>
    <w:rsid w:val="00E2016D"/>
    <w:rsid w:val="00E20B6E"/>
    <w:rsid w:val="00E23573"/>
    <w:rsid w:val="00E23C19"/>
    <w:rsid w:val="00E262BC"/>
    <w:rsid w:val="00E26AAB"/>
    <w:rsid w:val="00E2710E"/>
    <w:rsid w:val="00E274D6"/>
    <w:rsid w:val="00E30FF3"/>
    <w:rsid w:val="00E31117"/>
    <w:rsid w:val="00E323D1"/>
    <w:rsid w:val="00E3290D"/>
    <w:rsid w:val="00E35D19"/>
    <w:rsid w:val="00E362ED"/>
    <w:rsid w:val="00E3657B"/>
    <w:rsid w:val="00E410F8"/>
    <w:rsid w:val="00E42A12"/>
    <w:rsid w:val="00E431A3"/>
    <w:rsid w:val="00E43E90"/>
    <w:rsid w:val="00E44D5A"/>
    <w:rsid w:val="00E44D8E"/>
    <w:rsid w:val="00E44E17"/>
    <w:rsid w:val="00E47BA3"/>
    <w:rsid w:val="00E52641"/>
    <w:rsid w:val="00E53C73"/>
    <w:rsid w:val="00E53ED8"/>
    <w:rsid w:val="00E54066"/>
    <w:rsid w:val="00E54B59"/>
    <w:rsid w:val="00E550BE"/>
    <w:rsid w:val="00E5601C"/>
    <w:rsid w:val="00E56E90"/>
    <w:rsid w:val="00E57B97"/>
    <w:rsid w:val="00E57C69"/>
    <w:rsid w:val="00E600D3"/>
    <w:rsid w:val="00E621C4"/>
    <w:rsid w:val="00E621DD"/>
    <w:rsid w:val="00E65E93"/>
    <w:rsid w:val="00E66512"/>
    <w:rsid w:val="00E67E8A"/>
    <w:rsid w:val="00E705AF"/>
    <w:rsid w:val="00E7180A"/>
    <w:rsid w:val="00E72E89"/>
    <w:rsid w:val="00E73322"/>
    <w:rsid w:val="00E741BA"/>
    <w:rsid w:val="00E76371"/>
    <w:rsid w:val="00E76774"/>
    <w:rsid w:val="00E80BAB"/>
    <w:rsid w:val="00E82456"/>
    <w:rsid w:val="00E8402A"/>
    <w:rsid w:val="00E936CC"/>
    <w:rsid w:val="00EA0257"/>
    <w:rsid w:val="00EA040E"/>
    <w:rsid w:val="00EA1DAA"/>
    <w:rsid w:val="00EA4364"/>
    <w:rsid w:val="00EA49A0"/>
    <w:rsid w:val="00EB1CCB"/>
    <w:rsid w:val="00EB4489"/>
    <w:rsid w:val="00EB4DA7"/>
    <w:rsid w:val="00EB5609"/>
    <w:rsid w:val="00EB5A7E"/>
    <w:rsid w:val="00EC0928"/>
    <w:rsid w:val="00EC3913"/>
    <w:rsid w:val="00EC6B33"/>
    <w:rsid w:val="00EC7AE8"/>
    <w:rsid w:val="00EC7EF7"/>
    <w:rsid w:val="00ED0A36"/>
    <w:rsid w:val="00ED26C2"/>
    <w:rsid w:val="00ED356C"/>
    <w:rsid w:val="00EE33EE"/>
    <w:rsid w:val="00EE4621"/>
    <w:rsid w:val="00EE637C"/>
    <w:rsid w:val="00EE7CF9"/>
    <w:rsid w:val="00EF0A2C"/>
    <w:rsid w:val="00EF3940"/>
    <w:rsid w:val="00EF5DA1"/>
    <w:rsid w:val="00EF6F2B"/>
    <w:rsid w:val="00EF7CA3"/>
    <w:rsid w:val="00F00853"/>
    <w:rsid w:val="00F021F1"/>
    <w:rsid w:val="00F02797"/>
    <w:rsid w:val="00F03489"/>
    <w:rsid w:val="00F04227"/>
    <w:rsid w:val="00F058BC"/>
    <w:rsid w:val="00F11256"/>
    <w:rsid w:val="00F12849"/>
    <w:rsid w:val="00F1770E"/>
    <w:rsid w:val="00F22597"/>
    <w:rsid w:val="00F229DC"/>
    <w:rsid w:val="00F23701"/>
    <w:rsid w:val="00F253CC"/>
    <w:rsid w:val="00F2611D"/>
    <w:rsid w:val="00F3135B"/>
    <w:rsid w:val="00F31614"/>
    <w:rsid w:val="00F3250B"/>
    <w:rsid w:val="00F34298"/>
    <w:rsid w:val="00F34FD5"/>
    <w:rsid w:val="00F356F2"/>
    <w:rsid w:val="00F361DF"/>
    <w:rsid w:val="00F36249"/>
    <w:rsid w:val="00F37267"/>
    <w:rsid w:val="00F37541"/>
    <w:rsid w:val="00F40B23"/>
    <w:rsid w:val="00F41664"/>
    <w:rsid w:val="00F42EDC"/>
    <w:rsid w:val="00F45133"/>
    <w:rsid w:val="00F454BF"/>
    <w:rsid w:val="00F45DA5"/>
    <w:rsid w:val="00F45DE3"/>
    <w:rsid w:val="00F4793D"/>
    <w:rsid w:val="00F47FD6"/>
    <w:rsid w:val="00F51BC7"/>
    <w:rsid w:val="00F52352"/>
    <w:rsid w:val="00F53457"/>
    <w:rsid w:val="00F54AE4"/>
    <w:rsid w:val="00F55A57"/>
    <w:rsid w:val="00F55C57"/>
    <w:rsid w:val="00F567AE"/>
    <w:rsid w:val="00F57724"/>
    <w:rsid w:val="00F606A0"/>
    <w:rsid w:val="00F60F06"/>
    <w:rsid w:val="00F6127C"/>
    <w:rsid w:val="00F65660"/>
    <w:rsid w:val="00F658F6"/>
    <w:rsid w:val="00F70893"/>
    <w:rsid w:val="00F714B6"/>
    <w:rsid w:val="00F723C8"/>
    <w:rsid w:val="00F726E5"/>
    <w:rsid w:val="00F7277D"/>
    <w:rsid w:val="00F772F5"/>
    <w:rsid w:val="00F81991"/>
    <w:rsid w:val="00F81C25"/>
    <w:rsid w:val="00F82301"/>
    <w:rsid w:val="00F83371"/>
    <w:rsid w:val="00F862C3"/>
    <w:rsid w:val="00F863B4"/>
    <w:rsid w:val="00F86589"/>
    <w:rsid w:val="00F91419"/>
    <w:rsid w:val="00F91F27"/>
    <w:rsid w:val="00F934A0"/>
    <w:rsid w:val="00F93CC6"/>
    <w:rsid w:val="00FA08D7"/>
    <w:rsid w:val="00FA29EC"/>
    <w:rsid w:val="00FA4E55"/>
    <w:rsid w:val="00FA4E93"/>
    <w:rsid w:val="00FB2407"/>
    <w:rsid w:val="00FB289B"/>
    <w:rsid w:val="00FB2DD9"/>
    <w:rsid w:val="00FB2E34"/>
    <w:rsid w:val="00FB3417"/>
    <w:rsid w:val="00FB5B1B"/>
    <w:rsid w:val="00FB6BB6"/>
    <w:rsid w:val="00FB6D35"/>
    <w:rsid w:val="00FB7029"/>
    <w:rsid w:val="00FB7729"/>
    <w:rsid w:val="00FC0F77"/>
    <w:rsid w:val="00FC4BFF"/>
    <w:rsid w:val="00FC5BB5"/>
    <w:rsid w:val="00FD114A"/>
    <w:rsid w:val="00FD2C87"/>
    <w:rsid w:val="00FD472B"/>
    <w:rsid w:val="00FD54E9"/>
    <w:rsid w:val="00FE07EC"/>
    <w:rsid w:val="00FE2678"/>
    <w:rsid w:val="00FE3F15"/>
    <w:rsid w:val="00FE41CF"/>
    <w:rsid w:val="00FE438C"/>
    <w:rsid w:val="00FE4A76"/>
    <w:rsid w:val="00FE66D4"/>
    <w:rsid w:val="00FF364E"/>
    <w:rsid w:val="00FF4A09"/>
    <w:rsid w:val="00FF55C9"/>
    <w:rsid w:val="00FF5AE2"/>
    <w:rsid w:val="00FF77F6"/>
    <w:rsid w:val="00FF7CE0"/>
    <w:rsid w:val="01EA197F"/>
    <w:rsid w:val="02825E36"/>
    <w:rsid w:val="02A51B41"/>
    <w:rsid w:val="032B689B"/>
    <w:rsid w:val="0334517D"/>
    <w:rsid w:val="037D0061"/>
    <w:rsid w:val="03F8553D"/>
    <w:rsid w:val="050657D6"/>
    <w:rsid w:val="0597252B"/>
    <w:rsid w:val="05D2729D"/>
    <w:rsid w:val="05F95D65"/>
    <w:rsid w:val="064B14A2"/>
    <w:rsid w:val="099F2B47"/>
    <w:rsid w:val="09B329F7"/>
    <w:rsid w:val="0A0850E1"/>
    <w:rsid w:val="0A3347DF"/>
    <w:rsid w:val="0B995985"/>
    <w:rsid w:val="0CB5019D"/>
    <w:rsid w:val="0DD8556B"/>
    <w:rsid w:val="0F1B09A4"/>
    <w:rsid w:val="0F216EBE"/>
    <w:rsid w:val="0F31019B"/>
    <w:rsid w:val="0F5E754B"/>
    <w:rsid w:val="10C76DE3"/>
    <w:rsid w:val="11843E6A"/>
    <w:rsid w:val="11AB0724"/>
    <w:rsid w:val="130E30B8"/>
    <w:rsid w:val="164125A5"/>
    <w:rsid w:val="16E35DA6"/>
    <w:rsid w:val="17DD6BEA"/>
    <w:rsid w:val="18053208"/>
    <w:rsid w:val="18A570BA"/>
    <w:rsid w:val="18D46B5C"/>
    <w:rsid w:val="1A366626"/>
    <w:rsid w:val="1AFD2B54"/>
    <w:rsid w:val="1C36088B"/>
    <w:rsid w:val="1C5C047D"/>
    <w:rsid w:val="1CB177F0"/>
    <w:rsid w:val="1DA807FB"/>
    <w:rsid w:val="1DAF4EB4"/>
    <w:rsid w:val="1E0068A1"/>
    <w:rsid w:val="1E146B74"/>
    <w:rsid w:val="1E31503C"/>
    <w:rsid w:val="1E6F1C79"/>
    <w:rsid w:val="1E755E9C"/>
    <w:rsid w:val="1E9F430C"/>
    <w:rsid w:val="1F6B0EED"/>
    <w:rsid w:val="204B170C"/>
    <w:rsid w:val="20E33BBD"/>
    <w:rsid w:val="21156B08"/>
    <w:rsid w:val="21360665"/>
    <w:rsid w:val="21850A8E"/>
    <w:rsid w:val="2262269D"/>
    <w:rsid w:val="22660F37"/>
    <w:rsid w:val="22E26EBD"/>
    <w:rsid w:val="22F4099F"/>
    <w:rsid w:val="232B2612"/>
    <w:rsid w:val="23BE1BF8"/>
    <w:rsid w:val="23D27D2D"/>
    <w:rsid w:val="248C1DE3"/>
    <w:rsid w:val="24EC0600"/>
    <w:rsid w:val="252B7ACB"/>
    <w:rsid w:val="259C66DA"/>
    <w:rsid w:val="25E55530"/>
    <w:rsid w:val="275C1403"/>
    <w:rsid w:val="27A97191"/>
    <w:rsid w:val="27CF25DB"/>
    <w:rsid w:val="283E0935"/>
    <w:rsid w:val="2A2972D2"/>
    <w:rsid w:val="2A420B6A"/>
    <w:rsid w:val="2A750358"/>
    <w:rsid w:val="2B8329AE"/>
    <w:rsid w:val="2B866240"/>
    <w:rsid w:val="2BD2282F"/>
    <w:rsid w:val="2CB406DE"/>
    <w:rsid w:val="2D0A6C9A"/>
    <w:rsid w:val="2DD338D1"/>
    <w:rsid w:val="2E895417"/>
    <w:rsid w:val="301E1421"/>
    <w:rsid w:val="309B6BB3"/>
    <w:rsid w:val="30CA54C5"/>
    <w:rsid w:val="315A2315"/>
    <w:rsid w:val="32B03123"/>
    <w:rsid w:val="32CE2FBA"/>
    <w:rsid w:val="333E611B"/>
    <w:rsid w:val="336B0809"/>
    <w:rsid w:val="33E66E8B"/>
    <w:rsid w:val="3400060E"/>
    <w:rsid w:val="34266991"/>
    <w:rsid w:val="34762692"/>
    <w:rsid w:val="34A02734"/>
    <w:rsid w:val="34A771E2"/>
    <w:rsid w:val="350D38CD"/>
    <w:rsid w:val="37BB3E3C"/>
    <w:rsid w:val="38974555"/>
    <w:rsid w:val="38AD028D"/>
    <w:rsid w:val="39CA6374"/>
    <w:rsid w:val="39D628EB"/>
    <w:rsid w:val="3A8B708E"/>
    <w:rsid w:val="3B000CCE"/>
    <w:rsid w:val="3B3F7D87"/>
    <w:rsid w:val="3B487D31"/>
    <w:rsid w:val="3B8407C4"/>
    <w:rsid w:val="3C1728DE"/>
    <w:rsid w:val="3C250031"/>
    <w:rsid w:val="3C4C7B4E"/>
    <w:rsid w:val="3DDD7137"/>
    <w:rsid w:val="3DE245F9"/>
    <w:rsid w:val="3EC767AD"/>
    <w:rsid w:val="4098347F"/>
    <w:rsid w:val="416A3132"/>
    <w:rsid w:val="41FE7BD5"/>
    <w:rsid w:val="42671AEE"/>
    <w:rsid w:val="427937EE"/>
    <w:rsid w:val="4305076E"/>
    <w:rsid w:val="432B2EF5"/>
    <w:rsid w:val="438A560C"/>
    <w:rsid w:val="444D351E"/>
    <w:rsid w:val="460C5E7C"/>
    <w:rsid w:val="46AE608C"/>
    <w:rsid w:val="47557002"/>
    <w:rsid w:val="4C674113"/>
    <w:rsid w:val="4D783DF7"/>
    <w:rsid w:val="4DD336BC"/>
    <w:rsid w:val="4E6A60BA"/>
    <w:rsid w:val="4ED50D55"/>
    <w:rsid w:val="4F18383A"/>
    <w:rsid w:val="4F811CEE"/>
    <w:rsid w:val="4FBD5F91"/>
    <w:rsid w:val="51315FE9"/>
    <w:rsid w:val="51324FAA"/>
    <w:rsid w:val="51DC1A3B"/>
    <w:rsid w:val="51FF28E8"/>
    <w:rsid w:val="528D6762"/>
    <w:rsid w:val="52A55FBB"/>
    <w:rsid w:val="52AC6AC7"/>
    <w:rsid w:val="52FE08FA"/>
    <w:rsid w:val="540839FD"/>
    <w:rsid w:val="54384C33"/>
    <w:rsid w:val="54B9598E"/>
    <w:rsid w:val="57D1469D"/>
    <w:rsid w:val="581E33A7"/>
    <w:rsid w:val="585127E9"/>
    <w:rsid w:val="58E86577"/>
    <w:rsid w:val="59173B75"/>
    <w:rsid w:val="59802D7B"/>
    <w:rsid w:val="59C618A0"/>
    <w:rsid w:val="59F42DBA"/>
    <w:rsid w:val="5A1A0ED0"/>
    <w:rsid w:val="5A707ABE"/>
    <w:rsid w:val="5C855BE8"/>
    <w:rsid w:val="5D3C06E4"/>
    <w:rsid w:val="5DC015CE"/>
    <w:rsid w:val="5DC04EDB"/>
    <w:rsid w:val="5E435E76"/>
    <w:rsid w:val="5FF6682D"/>
    <w:rsid w:val="604026DB"/>
    <w:rsid w:val="61495546"/>
    <w:rsid w:val="61807CFB"/>
    <w:rsid w:val="61953825"/>
    <w:rsid w:val="619E54B4"/>
    <w:rsid w:val="62673574"/>
    <w:rsid w:val="62D653F0"/>
    <w:rsid w:val="6411133E"/>
    <w:rsid w:val="648E59A4"/>
    <w:rsid w:val="65B50009"/>
    <w:rsid w:val="65E83E60"/>
    <w:rsid w:val="662A5F7E"/>
    <w:rsid w:val="663A388F"/>
    <w:rsid w:val="66EE553C"/>
    <w:rsid w:val="672343EA"/>
    <w:rsid w:val="68EE6C84"/>
    <w:rsid w:val="68F77CCB"/>
    <w:rsid w:val="69123732"/>
    <w:rsid w:val="69B36CB2"/>
    <w:rsid w:val="69C8540D"/>
    <w:rsid w:val="69D739F8"/>
    <w:rsid w:val="6AD51977"/>
    <w:rsid w:val="6BC54253"/>
    <w:rsid w:val="6DC63CDB"/>
    <w:rsid w:val="6E816C1E"/>
    <w:rsid w:val="6FC963E3"/>
    <w:rsid w:val="71CD5AAF"/>
    <w:rsid w:val="72815907"/>
    <w:rsid w:val="729375CE"/>
    <w:rsid w:val="72A81CF9"/>
    <w:rsid w:val="7375252B"/>
    <w:rsid w:val="737862F1"/>
    <w:rsid w:val="7434641F"/>
    <w:rsid w:val="752F5CE9"/>
    <w:rsid w:val="757D795C"/>
    <w:rsid w:val="7618342E"/>
    <w:rsid w:val="77632FEC"/>
    <w:rsid w:val="77BE1790"/>
    <w:rsid w:val="78FA19E0"/>
    <w:rsid w:val="7950626B"/>
    <w:rsid w:val="79DC6AB4"/>
    <w:rsid w:val="79F1473B"/>
    <w:rsid w:val="79FF7E54"/>
    <w:rsid w:val="7A062B72"/>
    <w:rsid w:val="7AF12815"/>
    <w:rsid w:val="7BBA6AF1"/>
    <w:rsid w:val="7C6472D7"/>
    <w:rsid w:val="7CDA157D"/>
    <w:rsid w:val="7D8A04AC"/>
    <w:rsid w:val="7E5971A9"/>
    <w:rsid w:val="7EAC0153"/>
    <w:rsid w:val="7F651C78"/>
    <w:rsid w:val="7FE6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iPriority="99" w:semiHidden="0" w:name="heading 3"/>
    <w:lsdException w:qFormat="1"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uiPriority="0" w:name="footnote text"/>
    <w:lsdException w:qFormat="1" w:uiPriority="99" w:semiHidden="0" w:name="annotation text"/>
    <w:lsdException w:qFormat="1" w:uiPriority="99"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qFormat="1" w:uiPriority="1" w:name="Default Paragraph Font"/>
    <w:lsdException w:qFormat="1" w:uiPriority="0" w:semiHidden="0" w:name="Body Text"/>
    <w:lsdException w:qFormat="1"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uiPriority="0" w:name="Body Text 2"/>
    <w:lsdException w:qFormat="1" w:uiPriority="99" w:semiHidden="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qFormat="1" w:unhideWhenUsed="0" w:uiPriority="99"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95"/>
    <w:qFormat/>
    <w:uiPriority w:val="99"/>
    <w:pPr>
      <w:keepNext/>
      <w:keepLines/>
      <w:spacing w:line="600" w:lineRule="exact"/>
      <w:jc w:val="left"/>
      <w:outlineLvl w:val="0"/>
    </w:pPr>
    <w:rPr>
      <w:b/>
      <w:bCs/>
      <w:kern w:val="44"/>
      <w:sz w:val="32"/>
      <w:szCs w:val="44"/>
    </w:rPr>
  </w:style>
  <w:style w:type="paragraph" w:styleId="4">
    <w:name w:val="heading 2"/>
    <w:basedOn w:val="1"/>
    <w:next w:val="1"/>
    <w:link w:val="96"/>
    <w:unhideWhenUsed/>
    <w:qFormat/>
    <w:uiPriority w:val="99"/>
    <w:pPr>
      <w:keepNext/>
      <w:keepLines/>
      <w:spacing w:line="600" w:lineRule="exact"/>
      <w:jc w:val="left"/>
      <w:outlineLvl w:val="1"/>
    </w:pPr>
    <w:rPr>
      <w:rFonts w:asciiTheme="majorHAnsi" w:hAnsiTheme="majorHAnsi" w:cstheme="majorBidi"/>
      <w:b/>
      <w:bCs/>
      <w:sz w:val="30"/>
      <w:szCs w:val="32"/>
    </w:rPr>
  </w:style>
  <w:style w:type="paragraph" w:styleId="5">
    <w:name w:val="heading 3"/>
    <w:basedOn w:val="1"/>
    <w:next w:val="1"/>
    <w:link w:val="97"/>
    <w:unhideWhenUsed/>
    <w:qFormat/>
    <w:uiPriority w:val="99"/>
    <w:pPr>
      <w:keepNext/>
      <w:keepLines/>
      <w:spacing w:line="600" w:lineRule="exact"/>
      <w:jc w:val="left"/>
      <w:outlineLvl w:val="2"/>
    </w:pPr>
    <w:rPr>
      <w:b/>
      <w:bCs/>
      <w:szCs w:val="32"/>
    </w:rPr>
  </w:style>
  <w:style w:type="paragraph" w:styleId="6">
    <w:name w:val="heading 4"/>
    <w:basedOn w:val="1"/>
    <w:next w:val="1"/>
    <w:link w:val="38"/>
    <w:unhideWhenUsed/>
    <w:qFormat/>
    <w:uiPriority w:val="9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customStyle="1" w:styleId="2">
    <w:name w:val="【正文】"/>
    <w:basedOn w:val="1"/>
    <w:qFormat/>
    <w:uiPriority w:val="0"/>
    <w:pPr>
      <w:adjustRightInd w:val="0"/>
      <w:snapToGrid w:val="0"/>
      <w:jc w:val="left"/>
    </w:pPr>
    <w:rPr>
      <w:color w:val="000000"/>
      <w:sz w:val="24"/>
    </w:rPr>
  </w:style>
  <w:style w:type="paragraph" w:styleId="7">
    <w:name w:val="toc 7"/>
    <w:basedOn w:val="1"/>
    <w:next w:val="1"/>
    <w:unhideWhenUsed/>
    <w:qFormat/>
    <w:uiPriority w:val="39"/>
    <w:pPr>
      <w:ind w:left="2520" w:leftChars="1200"/>
    </w:pPr>
    <w:rPr>
      <w:rFonts w:asciiTheme="minorHAnsi" w:hAnsiTheme="minorHAnsi" w:eastAsiaTheme="minorEastAsia" w:cstheme="minorBidi"/>
      <w:szCs w:val="22"/>
      <w14:ligatures w14:val="standardContextual"/>
    </w:rPr>
  </w:style>
  <w:style w:type="paragraph" w:styleId="8">
    <w:name w:val="Normal Indent"/>
    <w:basedOn w:val="1"/>
    <w:unhideWhenUsed/>
    <w:qFormat/>
    <w:uiPriority w:val="99"/>
    <w:pPr>
      <w:ind w:firstLine="420" w:firstLineChars="200"/>
    </w:pPr>
  </w:style>
  <w:style w:type="paragraph" w:styleId="9">
    <w:name w:val="annotation text"/>
    <w:basedOn w:val="1"/>
    <w:link w:val="39"/>
    <w:unhideWhenUsed/>
    <w:qFormat/>
    <w:uiPriority w:val="99"/>
    <w:pPr>
      <w:jc w:val="left"/>
    </w:pPr>
  </w:style>
  <w:style w:type="paragraph" w:styleId="10">
    <w:name w:val="Body Text 3"/>
    <w:basedOn w:val="1"/>
    <w:link w:val="94"/>
    <w:unhideWhenUsed/>
    <w:qFormat/>
    <w:uiPriority w:val="99"/>
    <w:pPr>
      <w:spacing w:after="120"/>
    </w:pPr>
    <w:rPr>
      <w:sz w:val="16"/>
      <w:szCs w:val="16"/>
    </w:rPr>
  </w:style>
  <w:style w:type="paragraph" w:styleId="11">
    <w:name w:val="Body Text"/>
    <w:basedOn w:val="1"/>
    <w:link w:val="40"/>
    <w:unhideWhenUsed/>
    <w:qFormat/>
    <w:uiPriority w:val="0"/>
    <w:pPr>
      <w:spacing w:after="120"/>
    </w:pPr>
  </w:style>
  <w:style w:type="paragraph" w:styleId="12">
    <w:name w:val="Body Text Indent"/>
    <w:basedOn w:val="1"/>
    <w:link w:val="41"/>
    <w:unhideWhenUsed/>
    <w:qFormat/>
    <w:uiPriority w:val="99"/>
    <w:pPr>
      <w:spacing w:after="120"/>
      <w:ind w:left="420" w:leftChars="200"/>
    </w:pPr>
  </w:style>
  <w:style w:type="paragraph" w:styleId="13">
    <w:name w:val="toc 5"/>
    <w:basedOn w:val="1"/>
    <w:next w:val="1"/>
    <w:unhideWhenUsed/>
    <w:qFormat/>
    <w:uiPriority w:val="39"/>
    <w:pPr>
      <w:ind w:left="1680" w:leftChars="800"/>
    </w:pPr>
    <w:rPr>
      <w:rFonts w:asciiTheme="minorHAnsi" w:hAnsiTheme="minorHAnsi" w:eastAsiaTheme="minorEastAsia" w:cstheme="minorBidi"/>
      <w:szCs w:val="22"/>
      <w14:ligatures w14:val="standardContextual"/>
    </w:rPr>
  </w:style>
  <w:style w:type="paragraph" w:styleId="14">
    <w:name w:val="toc 3"/>
    <w:basedOn w:val="1"/>
    <w:next w:val="1"/>
    <w:unhideWhenUsed/>
    <w:qFormat/>
    <w:uiPriority w:val="39"/>
    <w:pPr>
      <w:ind w:left="840" w:leftChars="400"/>
    </w:pPr>
  </w:style>
  <w:style w:type="paragraph" w:styleId="15">
    <w:name w:val="Plain Text"/>
    <w:basedOn w:val="1"/>
    <w:link w:val="42"/>
    <w:qFormat/>
    <w:uiPriority w:val="99"/>
    <w:rPr>
      <w:rFonts w:ascii="宋体" w:hAnsi="Courier New"/>
      <w:szCs w:val="20"/>
    </w:rPr>
  </w:style>
  <w:style w:type="paragraph" w:styleId="16">
    <w:name w:val="toc 8"/>
    <w:basedOn w:val="1"/>
    <w:next w:val="1"/>
    <w:unhideWhenUsed/>
    <w:qFormat/>
    <w:uiPriority w:val="39"/>
    <w:pPr>
      <w:ind w:left="2940" w:leftChars="1400"/>
    </w:pPr>
    <w:rPr>
      <w:rFonts w:asciiTheme="minorHAnsi" w:hAnsiTheme="minorHAnsi" w:eastAsiaTheme="minorEastAsia" w:cstheme="minorBidi"/>
      <w:szCs w:val="22"/>
      <w14:ligatures w14:val="standardContextual"/>
    </w:rPr>
  </w:style>
  <w:style w:type="paragraph" w:styleId="17">
    <w:name w:val="Date"/>
    <w:basedOn w:val="1"/>
    <w:next w:val="1"/>
    <w:link w:val="43"/>
    <w:qFormat/>
    <w:uiPriority w:val="0"/>
    <w:pPr>
      <w:ind w:left="100" w:leftChars="2500"/>
    </w:pPr>
  </w:style>
  <w:style w:type="paragraph" w:styleId="18">
    <w:name w:val="Body Text Indent 2"/>
    <w:basedOn w:val="1"/>
    <w:link w:val="44"/>
    <w:semiHidden/>
    <w:unhideWhenUsed/>
    <w:qFormat/>
    <w:uiPriority w:val="0"/>
    <w:pPr>
      <w:spacing w:after="120" w:line="480" w:lineRule="auto"/>
      <w:ind w:left="420" w:leftChars="200"/>
    </w:pPr>
  </w:style>
  <w:style w:type="paragraph" w:styleId="19">
    <w:name w:val="Balloon Text"/>
    <w:basedOn w:val="1"/>
    <w:link w:val="45"/>
    <w:qFormat/>
    <w:uiPriority w:val="0"/>
    <w:rPr>
      <w:sz w:val="18"/>
      <w:szCs w:val="18"/>
    </w:rPr>
  </w:style>
  <w:style w:type="paragraph" w:styleId="20">
    <w:name w:val="footer"/>
    <w:basedOn w:val="1"/>
    <w:link w:val="46"/>
    <w:unhideWhenUsed/>
    <w:qFormat/>
    <w:uiPriority w:val="99"/>
    <w:pPr>
      <w:snapToGrid w:val="0"/>
      <w:jc w:val="left"/>
    </w:pPr>
    <w:rPr>
      <w:sz w:val="18"/>
      <w:szCs w:val="18"/>
    </w:rPr>
  </w:style>
  <w:style w:type="paragraph" w:styleId="21">
    <w:name w:val="header"/>
    <w:basedOn w:val="1"/>
    <w:link w:val="47"/>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style>
  <w:style w:type="paragraph" w:styleId="23">
    <w:name w:val="toc 4"/>
    <w:basedOn w:val="1"/>
    <w:next w:val="1"/>
    <w:unhideWhenUsed/>
    <w:qFormat/>
    <w:uiPriority w:val="39"/>
    <w:pPr>
      <w:ind w:left="1260" w:leftChars="600"/>
    </w:pPr>
    <w:rPr>
      <w:rFonts w:asciiTheme="minorHAnsi" w:hAnsiTheme="minorHAnsi" w:eastAsiaTheme="minorEastAsia" w:cstheme="minorBidi"/>
      <w:szCs w:val="22"/>
      <w14:ligatures w14:val="standardContextual"/>
    </w:rPr>
  </w:style>
  <w:style w:type="paragraph" w:styleId="24">
    <w:name w:val="toc 6"/>
    <w:basedOn w:val="1"/>
    <w:next w:val="1"/>
    <w:unhideWhenUsed/>
    <w:qFormat/>
    <w:uiPriority w:val="39"/>
    <w:pPr>
      <w:ind w:left="2100" w:leftChars="1000"/>
    </w:pPr>
    <w:rPr>
      <w:rFonts w:asciiTheme="minorHAnsi" w:hAnsiTheme="minorHAnsi" w:eastAsiaTheme="minorEastAsia" w:cstheme="minorBidi"/>
      <w:szCs w:val="22"/>
      <w14:ligatures w14:val="standardContextual"/>
    </w:rPr>
  </w:style>
  <w:style w:type="paragraph" w:styleId="25">
    <w:name w:val="toc 2"/>
    <w:basedOn w:val="1"/>
    <w:next w:val="1"/>
    <w:unhideWhenUsed/>
    <w:qFormat/>
    <w:uiPriority w:val="39"/>
    <w:pPr>
      <w:ind w:left="420" w:leftChars="200"/>
    </w:pPr>
  </w:style>
  <w:style w:type="paragraph" w:styleId="26">
    <w:name w:val="toc 9"/>
    <w:basedOn w:val="1"/>
    <w:next w:val="1"/>
    <w:unhideWhenUsed/>
    <w:qFormat/>
    <w:uiPriority w:val="39"/>
    <w:pPr>
      <w:ind w:left="3360" w:leftChars="1600"/>
    </w:pPr>
    <w:rPr>
      <w:rFonts w:asciiTheme="minorHAnsi" w:hAnsiTheme="minorHAnsi" w:eastAsiaTheme="minorEastAsia" w:cstheme="minorBidi"/>
      <w:szCs w:val="22"/>
      <w14:ligatures w14:val="standardContextual"/>
    </w:rPr>
  </w:style>
  <w:style w:type="paragraph" w:styleId="27">
    <w:name w:val="Normal (Web)"/>
    <w:basedOn w:val="1"/>
    <w:qFormat/>
    <w:uiPriority w:val="99"/>
    <w:pPr>
      <w:widowControl/>
      <w:spacing w:before="100" w:beforeAutospacing="1" w:after="100" w:afterAutospacing="1"/>
      <w:jc w:val="left"/>
    </w:pPr>
    <w:rPr>
      <w:rFonts w:ascii="宋体" w:hAnsi="宋体"/>
      <w:kern w:val="0"/>
      <w:sz w:val="24"/>
    </w:rPr>
  </w:style>
  <w:style w:type="paragraph" w:styleId="28">
    <w:name w:val="Title"/>
    <w:basedOn w:val="1"/>
    <w:next w:val="1"/>
    <w:link w:val="98"/>
    <w:qFormat/>
    <w:uiPriority w:val="99"/>
    <w:pPr>
      <w:spacing w:beforeLines="150" w:after="100" w:afterAutospacing="1" w:line="480" w:lineRule="auto"/>
      <w:jc w:val="center"/>
      <w:outlineLvl w:val="0"/>
    </w:pPr>
    <w:rPr>
      <w:rFonts w:eastAsia="黑体"/>
      <w:b/>
      <w:kern w:val="0"/>
      <w:sz w:val="32"/>
      <w:szCs w:val="32"/>
    </w:rPr>
  </w:style>
  <w:style w:type="paragraph" w:styleId="29">
    <w:name w:val="annotation subject"/>
    <w:basedOn w:val="9"/>
    <w:next w:val="9"/>
    <w:link w:val="77"/>
    <w:semiHidden/>
    <w:unhideWhenUsed/>
    <w:qFormat/>
    <w:uiPriority w:val="0"/>
    <w:rPr>
      <w:b/>
      <w:bCs/>
    </w:rPr>
  </w:style>
  <w:style w:type="paragraph" w:styleId="30">
    <w:name w:val="Body Text First Indent"/>
    <w:basedOn w:val="11"/>
    <w:link w:val="48"/>
    <w:qFormat/>
    <w:uiPriority w:val="0"/>
    <w:pPr>
      <w:ind w:firstLine="420" w:firstLineChars="100"/>
    </w:p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uiPriority w:val="22"/>
    <w:rPr>
      <w:b/>
      <w:bCs/>
    </w:rPr>
  </w:style>
  <w:style w:type="character" w:styleId="35">
    <w:name w:val="Emphasis"/>
    <w:basedOn w:val="33"/>
    <w:qFormat/>
    <w:uiPriority w:val="20"/>
    <w:rPr>
      <w:i/>
      <w:iCs/>
    </w:rPr>
  </w:style>
  <w:style w:type="character" w:styleId="36">
    <w:name w:val="Hyperlink"/>
    <w:basedOn w:val="33"/>
    <w:unhideWhenUsed/>
    <w:qFormat/>
    <w:uiPriority w:val="99"/>
    <w:rPr>
      <w:color w:val="0000FF"/>
      <w:u w:val="single"/>
    </w:rPr>
  </w:style>
  <w:style w:type="character" w:styleId="37">
    <w:name w:val="annotation reference"/>
    <w:basedOn w:val="33"/>
    <w:semiHidden/>
    <w:unhideWhenUsed/>
    <w:qFormat/>
    <w:uiPriority w:val="0"/>
    <w:rPr>
      <w:sz w:val="21"/>
      <w:szCs w:val="21"/>
    </w:rPr>
  </w:style>
  <w:style w:type="character" w:customStyle="1" w:styleId="38">
    <w:name w:val="标题 4 字符"/>
    <w:basedOn w:val="33"/>
    <w:link w:val="6"/>
    <w:qFormat/>
    <w:uiPriority w:val="99"/>
    <w:rPr>
      <w:rFonts w:asciiTheme="majorHAnsi" w:hAnsiTheme="majorHAnsi" w:eastAsiaTheme="majorEastAsia" w:cstheme="majorBidi"/>
      <w:b/>
      <w:bCs/>
      <w:kern w:val="2"/>
      <w:sz w:val="28"/>
      <w:szCs w:val="28"/>
    </w:rPr>
  </w:style>
  <w:style w:type="character" w:customStyle="1" w:styleId="39">
    <w:name w:val="批注文字 字符"/>
    <w:basedOn w:val="33"/>
    <w:link w:val="9"/>
    <w:qFormat/>
    <w:uiPriority w:val="99"/>
    <w:rPr>
      <w:kern w:val="2"/>
      <w:sz w:val="21"/>
      <w:szCs w:val="24"/>
    </w:rPr>
  </w:style>
  <w:style w:type="character" w:customStyle="1" w:styleId="40">
    <w:name w:val="正文文本 字符"/>
    <w:basedOn w:val="33"/>
    <w:link w:val="11"/>
    <w:qFormat/>
    <w:uiPriority w:val="0"/>
    <w:rPr>
      <w:rFonts w:ascii="Times New Roman" w:hAnsi="Times New Roman" w:eastAsia="宋体" w:cs="Times New Roman"/>
      <w:kern w:val="2"/>
      <w:sz w:val="21"/>
      <w:szCs w:val="24"/>
    </w:rPr>
  </w:style>
  <w:style w:type="character" w:customStyle="1" w:styleId="41">
    <w:name w:val="正文文本缩进 字符"/>
    <w:basedOn w:val="33"/>
    <w:link w:val="12"/>
    <w:qFormat/>
    <w:uiPriority w:val="99"/>
    <w:rPr>
      <w:kern w:val="2"/>
      <w:sz w:val="21"/>
      <w:szCs w:val="24"/>
    </w:rPr>
  </w:style>
  <w:style w:type="character" w:customStyle="1" w:styleId="42">
    <w:name w:val="纯文本 字符"/>
    <w:link w:val="15"/>
    <w:qFormat/>
    <w:uiPriority w:val="99"/>
    <w:rPr>
      <w:rFonts w:ascii="宋体" w:hAnsi="Courier New"/>
      <w:kern w:val="2"/>
      <w:sz w:val="21"/>
    </w:rPr>
  </w:style>
  <w:style w:type="character" w:customStyle="1" w:styleId="43">
    <w:name w:val="日期 字符"/>
    <w:basedOn w:val="33"/>
    <w:link w:val="17"/>
    <w:qFormat/>
    <w:uiPriority w:val="0"/>
    <w:rPr>
      <w:kern w:val="2"/>
      <w:sz w:val="21"/>
      <w:szCs w:val="24"/>
    </w:rPr>
  </w:style>
  <w:style w:type="character" w:customStyle="1" w:styleId="44">
    <w:name w:val="正文文本缩进 2 字符"/>
    <w:basedOn w:val="33"/>
    <w:link w:val="18"/>
    <w:semiHidden/>
    <w:qFormat/>
    <w:uiPriority w:val="0"/>
    <w:rPr>
      <w:kern w:val="2"/>
      <w:sz w:val="21"/>
      <w:szCs w:val="24"/>
    </w:rPr>
  </w:style>
  <w:style w:type="character" w:customStyle="1" w:styleId="45">
    <w:name w:val="批注框文本 字符"/>
    <w:basedOn w:val="33"/>
    <w:link w:val="19"/>
    <w:qFormat/>
    <w:uiPriority w:val="0"/>
    <w:rPr>
      <w:kern w:val="2"/>
      <w:sz w:val="18"/>
      <w:szCs w:val="18"/>
    </w:rPr>
  </w:style>
  <w:style w:type="character" w:customStyle="1" w:styleId="46">
    <w:name w:val="页脚 字符"/>
    <w:basedOn w:val="33"/>
    <w:link w:val="20"/>
    <w:qFormat/>
    <w:uiPriority w:val="99"/>
    <w:rPr>
      <w:kern w:val="2"/>
      <w:sz w:val="18"/>
      <w:szCs w:val="18"/>
    </w:rPr>
  </w:style>
  <w:style w:type="character" w:customStyle="1" w:styleId="47">
    <w:name w:val="页眉 字符"/>
    <w:basedOn w:val="33"/>
    <w:link w:val="21"/>
    <w:qFormat/>
    <w:uiPriority w:val="99"/>
    <w:rPr>
      <w:kern w:val="2"/>
      <w:sz w:val="18"/>
      <w:szCs w:val="18"/>
    </w:rPr>
  </w:style>
  <w:style w:type="character" w:customStyle="1" w:styleId="48">
    <w:name w:val="正文文本首行缩进 字符"/>
    <w:basedOn w:val="40"/>
    <w:link w:val="30"/>
    <w:qFormat/>
    <w:uiPriority w:val="0"/>
    <w:rPr>
      <w:rFonts w:ascii="Times New Roman" w:hAnsi="Times New Roman" w:eastAsia="宋体" w:cs="Times New Roman"/>
      <w:kern w:val="2"/>
      <w:sz w:val="21"/>
      <w:szCs w:val="24"/>
    </w:rPr>
  </w:style>
  <w:style w:type="paragraph" w:customStyle="1" w:styleId="49">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0">
    <w:name w:val="样式 10 磅1"/>
    <w:qFormat/>
    <w:uiPriority w:val="0"/>
    <w:pPr>
      <w:widowControl w:val="0"/>
      <w:jc w:val="both"/>
    </w:pPr>
    <w:rPr>
      <w:rFonts w:ascii="Calibri" w:hAnsi="Calibri" w:eastAsiaTheme="minorHAnsi" w:cstheme="minorBidi"/>
      <w:kern w:val="2"/>
      <w:sz w:val="21"/>
      <w:szCs w:val="24"/>
      <w:lang w:val="en-US" w:eastAsia="zh-CN" w:bidi="ar-SA"/>
    </w:rPr>
  </w:style>
  <w:style w:type="table" w:customStyle="1" w:styleId="51">
    <w:name w:val="网格型1"/>
    <w:basedOn w:val="31"/>
    <w:unhideWhenUsed/>
    <w:qFormat/>
    <w:uiPriority w:val="0"/>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2">
    <w:name w:val="纯文本 字符1"/>
    <w:basedOn w:val="33"/>
    <w:qFormat/>
    <w:uiPriority w:val="0"/>
    <w:rPr>
      <w:rFonts w:hAnsi="Courier New" w:cs="Courier New" w:asciiTheme="minorEastAsia" w:eastAsiaTheme="minorEastAsia"/>
      <w:kern w:val="2"/>
      <w:sz w:val="21"/>
      <w:szCs w:val="24"/>
    </w:rPr>
  </w:style>
  <w:style w:type="table" w:customStyle="1" w:styleId="53">
    <w:name w:val="网格型2"/>
    <w:basedOn w:val="31"/>
    <w:unhideWhenUsed/>
    <w:qFormat/>
    <w:uiPriority w:val="99"/>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4">
    <w:name w:val="框图"/>
    <w:basedOn w:val="1"/>
    <w:qFormat/>
    <w:uiPriority w:val="0"/>
    <w:pPr>
      <w:adjustRightInd w:val="0"/>
      <w:snapToGrid w:val="0"/>
      <w:spacing w:line="360" w:lineRule="auto"/>
      <w:jc w:val="center"/>
    </w:pPr>
  </w:style>
  <w:style w:type="table" w:customStyle="1" w:styleId="55">
    <w:name w:val="网格型3"/>
    <w:basedOn w:val="31"/>
    <w:unhideWhenUsed/>
    <w:qFormat/>
    <w:uiPriority w:val="99"/>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6">
    <w:name w:val="Table Paragraph"/>
    <w:basedOn w:val="1"/>
    <w:qFormat/>
    <w:uiPriority w:val="0"/>
    <w:pPr>
      <w:autoSpaceDE w:val="0"/>
      <w:autoSpaceDN w:val="0"/>
      <w:ind w:left="107"/>
      <w:jc w:val="left"/>
    </w:pPr>
    <w:rPr>
      <w:rFonts w:ascii="宋体" w:hAnsi="宋体" w:cs="宋体"/>
      <w:kern w:val="0"/>
      <w:sz w:val="22"/>
      <w:szCs w:val="22"/>
    </w:rPr>
  </w:style>
  <w:style w:type="paragraph" w:styleId="57">
    <w:name w:val="List Paragraph"/>
    <w:basedOn w:val="1"/>
    <w:qFormat/>
    <w:uiPriority w:val="99"/>
    <w:pPr>
      <w:ind w:firstLine="420" w:firstLineChars="200"/>
    </w:pPr>
  </w:style>
  <w:style w:type="paragraph" w:styleId="58">
    <w:name w:val="No Spacing"/>
    <w:link w:val="59"/>
    <w:qFormat/>
    <w:uiPriority w:val="1"/>
    <w:rPr>
      <w:rFonts w:asciiTheme="minorHAnsi" w:hAnsiTheme="minorHAnsi" w:eastAsiaTheme="minorEastAsia" w:cstheme="minorBidi"/>
      <w:sz w:val="22"/>
      <w:szCs w:val="22"/>
      <w:lang w:val="en-US" w:eastAsia="zh-CN" w:bidi="ar-SA"/>
    </w:rPr>
  </w:style>
  <w:style w:type="character" w:customStyle="1" w:styleId="59">
    <w:name w:val="无间隔 字符"/>
    <w:basedOn w:val="33"/>
    <w:link w:val="58"/>
    <w:qFormat/>
    <w:uiPriority w:val="1"/>
    <w:rPr>
      <w:rFonts w:asciiTheme="minorHAnsi" w:hAnsiTheme="minorHAnsi" w:eastAsiaTheme="minorEastAsia" w:cstheme="minorBidi"/>
      <w:sz w:val="22"/>
      <w:szCs w:val="22"/>
    </w:rPr>
  </w:style>
  <w:style w:type="paragraph" w:customStyle="1" w:styleId="60">
    <w:name w:val="00表格内容"/>
    <w:qFormat/>
    <w:uiPriority w:val="0"/>
    <w:pPr>
      <w:widowControl w:val="0"/>
      <w:adjustRightInd w:val="0"/>
      <w:snapToGrid w:val="0"/>
      <w:jc w:val="center"/>
    </w:pPr>
    <w:rPr>
      <w:rFonts w:ascii="Times New Roman" w:hAnsi="Times New Roman" w:eastAsia="宋体" w:cs="Times New Roman"/>
      <w:bCs/>
      <w:color w:val="FF0000"/>
      <w:sz w:val="21"/>
      <w:szCs w:val="21"/>
      <w:lang w:val="en-US" w:eastAsia="zh-CN" w:bidi="ar-SA"/>
    </w:rPr>
  </w:style>
  <w:style w:type="table" w:customStyle="1" w:styleId="61">
    <w:name w:val="环评用表1"/>
    <w:basedOn w:val="31"/>
    <w:qFormat/>
    <w:uiPriority w:val="0"/>
    <w:pPr>
      <w:widowControl w:val="0"/>
      <w:jc w:val="center"/>
    </w:p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62">
    <w:name w:val="0正文"/>
    <w:qFormat/>
    <w:uiPriority w:val="0"/>
    <w:pPr>
      <w:widowControl w:val="0"/>
      <w:spacing w:line="360" w:lineRule="auto"/>
      <w:ind w:firstLine="200" w:firstLineChars="200"/>
      <w:jc w:val="both"/>
    </w:pPr>
    <w:rPr>
      <w:rFonts w:ascii="Times New Roman" w:hAnsi="Times New Roman" w:eastAsia="宋体" w:cs="Times New Roman"/>
      <w:sz w:val="24"/>
      <w:szCs w:val="24"/>
      <w:lang w:val="en-US" w:eastAsia="zh-CN" w:bidi="ar-SA"/>
    </w:rPr>
  </w:style>
  <w:style w:type="character" w:customStyle="1" w:styleId="63">
    <w:name w:val="15"/>
    <w:basedOn w:val="33"/>
    <w:qFormat/>
    <w:uiPriority w:val="0"/>
    <w:rPr>
      <w:rFonts w:hint="default" w:ascii="Times New Roman" w:hAnsi="Times New Roman" w:cs="Times New Roman"/>
    </w:rPr>
  </w:style>
  <w:style w:type="character" w:customStyle="1" w:styleId="64">
    <w:name w:val="16"/>
    <w:basedOn w:val="33"/>
    <w:qFormat/>
    <w:uiPriority w:val="0"/>
    <w:rPr>
      <w:rFonts w:hint="default" w:ascii="Times New Roman" w:hAnsi="Times New Roman" w:cs="Times New Roman"/>
    </w:rPr>
  </w:style>
  <w:style w:type="paragraph" w:customStyle="1" w:styleId="65">
    <w:name w:val="文档正文"/>
    <w:basedOn w:val="1"/>
    <w:qFormat/>
    <w:uiPriority w:val="0"/>
    <w:pPr>
      <w:suppressAutoHyphens/>
      <w:adjustRightInd w:val="0"/>
      <w:snapToGrid w:val="0"/>
      <w:spacing w:line="360" w:lineRule="auto"/>
      <w:ind w:firstLine="200" w:firstLineChars="200"/>
      <w:textAlignment w:val="baseline"/>
    </w:pPr>
    <w:rPr>
      <w:rFonts w:ascii="宋体" w:hAnsi="宋体" w:cs="宋体"/>
      <w:kern w:val="3"/>
      <w:sz w:val="28"/>
      <w:szCs w:val="28"/>
    </w:rPr>
  </w:style>
  <w:style w:type="paragraph" w:customStyle="1" w:styleId="66">
    <w:name w:val="正文（首行式样2）"/>
    <w:basedOn w:val="8"/>
    <w:qFormat/>
    <w:uiPriority w:val="0"/>
    <w:pPr>
      <w:adjustRightInd w:val="0"/>
      <w:snapToGrid w:val="0"/>
      <w:jc w:val="center"/>
    </w:pPr>
    <w:rPr>
      <w:rFonts w:ascii="宋体" w:hAnsi="宋体" w:cs="宋体"/>
      <w:bCs/>
      <w:kern w:val="0"/>
    </w:rPr>
  </w:style>
  <w:style w:type="paragraph" w:customStyle="1" w:styleId="67">
    <w:name w:val="表头"/>
    <w:basedOn w:val="1"/>
    <w:qFormat/>
    <w:uiPriority w:val="0"/>
    <w:pPr>
      <w:spacing w:line="360" w:lineRule="auto"/>
      <w:jc w:val="center"/>
    </w:pPr>
    <w:rPr>
      <w:rFonts w:ascii="黑体" w:hAnsi="黑体" w:eastAsia="黑体" w:cs="宋体"/>
      <w:b/>
    </w:rPr>
  </w:style>
  <w:style w:type="paragraph" w:customStyle="1" w:styleId="68">
    <w:name w:val="正文表标题"/>
    <w:basedOn w:val="1"/>
    <w:next w:val="1"/>
    <w:qFormat/>
    <w:uiPriority w:val="0"/>
    <w:pPr>
      <w:widowControl/>
      <w:jc w:val="center"/>
    </w:pPr>
    <w:rPr>
      <w:rFonts w:ascii="黑体" w:hAnsi="黑体" w:eastAsia="黑体" w:cs="宋体"/>
      <w:kern w:val="0"/>
    </w:rPr>
  </w:style>
  <w:style w:type="character" w:customStyle="1" w:styleId="69">
    <w:name w:val="fw2"/>
    <w:basedOn w:val="33"/>
    <w:qFormat/>
    <w:uiPriority w:val="0"/>
  </w:style>
  <w:style w:type="paragraph" w:customStyle="1" w:styleId="70">
    <w:name w:val="表格文字"/>
    <w:basedOn w:val="1"/>
    <w:next w:val="1"/>
    <w:qFormat/>
    <w:uiPriority w:val="0"/>
    <w:rPr>
      <w:rFonts w:ascii="宋体" w:hAnsi="宋体" w:cs="宋体"/>
      <w:sz w:val="24"/>
      <w:szCs w:val="24"/>
    </w:rPr>
  </w:style>
  <w:style w:type="paragraph" w:customStyle="1" w:styleId="71">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72">
    <w:name w:val="样式10"/>
    <w:basedOn w:val="1"/>
    <w:qFormat/>
    <w:uiPriority w:val="0"/>
    <w:pPr>
      <w:ind w:firstLine="200" w:firstLineChars="200"/>
    </w:pPr>
    <w:rPr>
      <w:rFonts w:ascii="宋体" w:hAnsi="宋体" w:cs="宋体"/>
      <w:color w:val="000000"/>
      <w:kern w:val="0"/>
      <w:sz w:val="28"/>
      <w:szCs w:val="28"/>
    </w:rPr>
  </w:style>
  <w:style w:type="paragraph" w:customStyle="1" w:styleId="73">
    <w:name w:val="表格文字2"/>
    <w:basedOn w:val="1"/>
    <w:qFormat/>
    <w:uiPriority w:val="0"/>
    <w:pPr>
      <w:adjustRightInd w:val="0"/>
      <w:spacing w:before="60" w:after="100" w:afterAutospacing="1"/>
      <w:jc w:val="center"/>
    </w:pPr>
    <w:rPr>
      <w:kern w:val="0"/>
      <w:sz w:val="28"/>
      <w:szCs w:val="28"/>
    </w:rPr>
  </w:style>
  <w:style w:type="paragraph" w:customStyle="1" w:styleId="74">
    <w:name w:val="表"/>
    <w:basedOn w:val="1"/>
    <w:qFormat/>
    <w:uiPriority w:val="0"/>
    <w:pPr>
      <w:spacing w:line="360" w:lineRule="auto"/>
      <w:jc w:val="center"/>
    </w:pPr>
    <w:rPr>
      <w:sz w:val="24"/>
      <w:szCs w:val="24"/>
    </w:rPr>
  </w:style>
  <w:style w:type="paragraph" w:customStyle="1" w:styleId="75">
    <w:name w:val="zw"/>
    <w:basedOn w:val="1"/>
    <w:qFormat/>
    <w:uiPriority w:val="0"/>
    <w:pPr>
      <w:widowControl/>
      <w:spacing w:before="100" w:beforeAutospacing="1" w:after="100" w:afterAutospacing="1" w:line="440" w:lineRule="atLeast"/>
      <w:jc w:val="left"/>
    </w:pPr>
    <w:rPr>
      <w:rFonts w:ascii="宋体" w:hAnsi="宋体" w:cs="宋体"/>
      <w:kern w:val="0"/>
      <w:sz w:val="22"/>
      <w:szCs w:val="22"/>
    </w:rPr>
  </w:style>
  <w:style w:type="character" w:customStyle="1" w:styleId="76">
    <w:name w:val="h4"/>
    <w:basedOn w:val="33"/>
    <w:qFormat/>
    <w:uiPriority w:val="0"/>
  </w:style>
  <w:style w:type="character" w:customStyle="1" w:styleId="77">
    <w:name w:val="批注主题 字符"/>
    <w:basedOn w:val="39"/>
    <w:link w:val="29"/>
    <w:semiHidden/>
    <w:qFormat/>
    <w:uiPriority w:val="0"/>
    <w:rPr>
      <w:b/>
      <w:bCs/>
      <w:kern w:val="2"/>
      <w:sz w:val="21"/>
      <w:szCs w:val="21"/>
    </w:rPr>
  </w:style>
  <w:style w:type="paragraph" w:customStyle="1" w:styleId="78">
    <w:name w:val="正文小四"/>
    <w:basedOn w:val="1"/>
    <w:qFormat/>
    <w:uiPriority w:val="0"/>
    <w:pPr>
      <w:widowControl/>
      <w:spacing w:line="360" w:lineRule="auto"/>
      <w:ind w:firstLine="360" w:firstLineChars="150"/>
      <w:jc w:val="left"/>
    </w:pPr>
    <w:rPr>
      <w:sz w:val="24"/>
      <w:szCs w:val="24"/>
    </w:rPr>
  </w:style>
  <w:style w:type="paragraph" w:customStyle="1" w:styleId="79">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80">
    <w:name w:val="msonormal"/>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81">
    <w:name w:val="10"/>
    <w:basedOn w:val="33"/>
    <w:qFormat/>
    <w:uiPriority w:val="0"/>
    <w:rPr>
      <w:rFonts w:hint="default" w:ascii="Times New Roman" w:hAnsi="Times New Roman" w:cs="Times New Roman"/>
    </w:rPr>
  </w:style>
  <w:style w:type="character" w:customStyle="1" w:styleId="82">
    <w:name w:val="font01"/>
    <w:basedOn w:val="33"/>
    <w:qFormat/>
    <w:uiPriority w:val="0"/>
    <w:rPr>
      <w:rFonts w:hint="eastAsia" w:ascii="宋体" w:hAnsi="宋体" w:eastAsia="宋体"/>
      <w:color w:val="000000"/>
      <w:sz w:val="22"/>
      <w:szCs w:val="22"/>
      <w:u w:val="none"/>
    </w:rPr>
  </w:style>
  <w:style w:type="character" w:customStyle="1" w:styleId="83">
    <w:name w:val="font11"/>
    <w:basedOn w:val="33"/>
    <w:qFormat/>
    <w:uiPriority w:val="0"/>
    <w:rPr>
      <w:rFonts w:hint="eastAsia" w:ascii="宋体" w:hAnsi="宋体" w:eastAsia="宋体"/>
      <w:color w:val="000000"/>
      <w:sz w:val="22"/>
      <w:szCs w:val="22"/>
      <w:u w:val="none"/>
      <w:vertAlign w:val="superscript"/>
    </w:rPr>
  </w:style>
  <w:style w:type="paragraph" w:customStyle="1" w:styleId="84">
    <w:name w:val="列表段落1"/>
    <w:basedOn w:val="1"/>
    <w:qFormat/>
    <w:uiPriority w:val="0"/>
    <w:pPr>
      <w:widowControl/>
      <w:spacing w:before="100" w:beforeAutospacing="1" w:after="200" w:line="273" w:lineRule="auto"/>
      <w:ind w:left="720"/>
      <w:jc w:val="left"/>
    </w:pPr>
    <w:rPr>
      <w:rFonts w:ascii="Calibri" w:hAnsi="Calibri" w:cs="Calibri"/>
      <w:kern w:val="0"/>
      <w:sz w:val="22"/>
      <w:szCs w:val="22"/>
    </w:rPr>
  </w:style>
  <w:style w:type="character" w:customStyle="1" w:styleId="85">
    <w:name w:val="show-img-bd"/>
    <w:basedOn w:val="33"/>
    <w:qFormat/>
    <w:uiPriority w:val="0"/>
  </w:style>
  <w:style w:type="paragraph" w:customStyle="1" w:styleId="86">
    <w:name w:val="Default"/>
    <w:basedOn w:val="1"/>
    <w:qFormat/>
    <w:uiPriority w:val="0"/>
    <w:pPr>
      <w:autoSpaceDE w:val="0"/>
      <w:autoSpaceDN w:val="0"/>
      <w:jc w:val="left"/>
    </w:pPr>
    <w:rPr>
      <w:rFonts w:ascii="宋体" w:cs="宋体"/>
      <w:color w:val="000000"/>
      <w:kern w:val="0"/>
      <w:sz w:val="24"/>
      <w:szCs w:val="24"/>
    </w:rPr>
  </w:style>
  <w:style w:type="paragraph" w:customStyle="1" w:styleId="87">
    <w:name w:val="p0"/>
    <w:basedOn w:val="1"/>
    <w:qFormat/>
    <w:uiPriority w:val="0"/>
    <w:pPr>
      <w:widowControl/>
      <w:ind w:firstLine="420"/>
      <w:jc w:val="left"/>
    </w:pPr>
    <w:rPr>
      <w:kern w:val="0"/>
      <w:sz w:val="20"/>
      <w:szCs w:val="20"/>
    </w:rPr>
  </w:style>
  <w:style w:type="character" w:customStyle="1" w:styleId="88">
    <w:name w:val="font51"/>
    <w:basedOn w:val="33"/>
    <w:qFormat/>
    <w:uiPriority w:val="0"/>
    <w:rPr>
      <w:rFonts w:hint="default" w:ascii="Arial" w:hAnsi="Arial" w:cs="Arial"/>
      <w:color w:val="000000"/>
      <w:sz w:val="22"/>
      <w:szCs w:val="22"/>
      <w:u w:val="none"/>
    </w:rPr>
  </w:style>
  <w:style w:type="paragraph" w:customStyle="1" w:styleId="89">
    <w:name w:val="列出段落"/>
    <w:basedOn w:val="1"/>
    <w:qFormat/>
    <w:uiPriority w:val="0"/>
    <w:pPr>
      <w:ind w:firstLine="420" w:firstLineChars="200"/>
    </w:pPr>
    <w:rPr>
      <w:rFonts w:ascii="Calibri" w:hAnsi="Calibri" w:cs="Calibri"/>
    </w:rPr>
  </w:style>
  <w:style w:type="paragraph" w:customStyle="1" w:styleId="90">
    <w:name w:val="常用表头样式"/>
    <w:basedOn w:val="1"/>
    <w:next w:val="1"/>
    <w:qFormat/>
    <w:uiPriority w:val="0"/>
    <w:pPr>
      <w:overflowPunct w:val="0"/>
      <w:autoSpaceDE w:val="0"/>
      <w:autoSpaceDN w:val="0"/>
      <w:adjustRightInd w:val="0"/>
      <w:spacing w:before="100" w:beforeAutospacing="1" w:after="100" w:afterAutospacing="1" w:line="360" w:lineRule="auto"/>
      <w:jc w:val="center"/>
      <w:textAlignment w:val="baseline"/>
    </w:pPr>
    <w:rPr>
      <w:rFonts w:ascii="黑体" w:eastAsia="仿宋_GB2312" w:cs="宋体"/>
      <w:b/>
    </w:rPr>
  </w:style>
  <w:style w:type="paragraph" w:customStyle="1" w:styleId="91">
    <w:name w:val="正文(首行缩进)"/>
    <w:basedOn w:val="1"/>
    <w:qFormat/>
    <w:uiPriority w:val="0"/>
    <w:pPr>
      <w:spacing w:line="360" w:lineRule="auto"/>
      <w:ind w:firstLine="510"/>
    </w:pPr>
    <w:rPr>
      <w:rFonts w:ascii="宋体" w:hAnsi="宋体" w:cs="宋体"/>
      <w:kern w:val="0"/>
      <w:sz w:val="24"/>
      <w:szCs w:val="24"/>
    </w:rPr>
  </w:style>
  <w:style w:type="paragraph" w:customStyle="1" w:styleId="92">
    <w:name w:val="样式1"/>
    <w:basedOn w:val="1"/>
    <w:qFormat/>
    <w:uiPriority w:val="0"/>
    <w:pPr>
      <w:jc w:val="center"/>
    </w:pPr>
    <w:rPr>
      <w:color w:val="000000"/>
    </w:rPr>
  </w:style>
  <w:style w:type="paragraph" w:customStyle="1" w:styleId="93">
    <w:name w:val="列表段落2"/>
    <w:basedOn w:val="1"/>
    <w:qFormat/>
    <w:uiPriority w:val="0"/>
    <w:pPr>
      <w:ind w:firstLine="420" w:firstLineChars="200"/>
    </w:pPr>
    <w:rPr>
      <w:sz w:val="28"/>
      <w:szCs w:val="28"/>
    </w:rPr>
  </w:style>
  <w:style w:type="character" w:customStyle="1" w:styleId="94">
    <w:name w:val="正文文本 3 字符"/>
    <w:basedOn w:val="33"/>
    <w:link w:val="10"/>
    <w:qFormat/>
    <w:uiPriority w:val="99"/>
    <w:rPr>
      <w:kern w:val="2"/>
      <w:sz w:val="16"/>
      <w:szCs w:val="16"/>
    </w:rPr>
  </w:style>
  <w:style w:type="character" w:customStyle="1" w:styleId="95">
    <w:name w:val="标题 1 字符"/>
    <w:basedOn w:val="33"/>
    <w:link w:val="3"/>
    <w:qFormat/>
    <w:uiPriority w:val="99"/>
    <w:rPr>
      <w:b/>
      <w:bCs/>
      <w:kern w:val="44"/>
      <w:sz w:val="32"/>
      <w:szCs w:val="44"/>
    </w:rPr>
  </w:style>
  <w:style w:type="character" w:customStyle="1" w:styleId="96">
    <w:name w:val="标题 2 字符"/>
    <w:basedOn w:val="33"/>
    <w:link w:val="4"/>
    <w:qFormat/>
    <w:uiPriority w:val="99"/>
    <w:rPr>
      <w:rFonts w:asciiTheme="majorHAnsi" w:hAnsiTheme="majorHAnsi" w:cstheme="majorBidi"/>
      <w:b/>
      <w:bCs/>
      <w:kern w:val="2"/>
      <w:sz w:val="30"/>
      <w:szCs w:val="32"/>
    </w:rPr>
  </w:style>
  <w:style w:type="character" w:customStyle="1" w:styleId="97">
    <w:name w:val="标题 3 字符"/>
    <w:basedOn w:val="33"/>
    <w:link w:val="5"/>
    <w:qFormat/>
    <w:uiPriority w:val="99"/>
    <w:rPr>
      <w:b/>
      <w:bCs/>
      <w:kern w:val="2"/>
      <w:sz w:val="21"/>
      <w:szCs w:val="32"/>
    </w:rPr>
  </w:style>
  <w:style w:type="character" w:customStyle="1" w:styleId="98">
    <w:name w:val="标题 字符"/>
    <w:basedOn w:val="33"/>
    <w:link w:val="28"/>
    <w:qFormat/>
    <w:uiPriority w:val="99"/>
    <w:rPr>
      <w:rFonts w:eastAsia="黑体"/>
      <w:b/>
      <w:sz w:val="32"/>
      <w:szCs w:val="32"/>
    </w:rPr>
  </w:style>
  <w:style w:type="paragraph" w:customStyle="1" w:styleId="99">
    <w:name w:val="列表段落3"/>
    <w:basedOn w:val="1"/>
    <w:qFormat/>
    <w:uiPriority w:val="0"/>
    <w:pPr>
      <w:ind w:firstLine="420" w:firstLineChars="200"/>
    </w:pPr>
    <w:rPr>
      <w:sz w:val="28"/>
      <w:szCs w:val="28"/>
    </w:rPr>
  </w:style>
  <w:style w:type="paragraph" w:customStyle="1" w:styleId="100">
    <w:name w:val="九江正文"/>
    <w:basedOn w:val="1"/>
    <w:qFormat/>
    <w:uiPriority w:val="0"/>
    <w:pPr>
      <w:spacing w:line="520" w:lineRule="exact"/>
      <w:ind w:firstLine="560" w:firstLineChars="200"/>
      <w:jc w:val="left"/>
    </w:pPr>
    <w:rPr>
      <w:rFonts w:ascii="宋体" w:hAnsi="宋体" w:cs="宋体"/>
      <w:kern w:val="0"/>
      <w:sz w:val="28"/>
      <w:szCs w:val="28"/>
    </w:rPr>
  </w:style>
  <w:style w:type="paragraph" w:customStyle="1" w:styleId="101">
    <w:name w:val="样式 0 + 四号 行距: 固定值 22 磅"/>
    <w:basedOn w:val="1"/>
    <w:qFormat/>
    <w:uiPriority w:val="0"/>
    <w:pPr>
      <w:widowControl/>
      <w:snapToGrid w:val="0"/>
      <w:spacing w:line="480" w:lineRule="exact"/>
      <w:ind w:firstLine="200" w:firstLineChars="200"/>
    </w:pPr>
    <w:rPr>
      <w:spacing w:val="8"/>
      <w:kern w:val="0"/>
      <w:sz w:val="28"/>
      <w:szCs w:val="28"/>
    </w:rPr>
  </w:style>
  <w:style w:type="paragraph" w:customStyle="1" w:styleId="102">
    <w:name w:val="样式24"/>
    <w:basedOn w:val="1"/>
    <w:next w:val="1"/>
    <w:qFormat/>
    <w:uiPriority w:val="0"/>
    <w:pPr>
      <w:spacing w:line="360" w:lineRule="auto"/>
      <w:ind w:firstLine="480" w:firstLineChars="200"/>
    </w:pPr>
    <w:rPr>
      <w:color w:val="000000"/>
      <w:sz w:val="24"/>
      <w:szCs w:val="24"/>
    </w:rPr>
  </w:style>
  <w:style w:type="paragraph" w:customStyle="1" w:styleId="103">
    <w:name w:val="正文3"/>
    <w:qFormat/>
    <w:uiPriority w:val="0"/>
    <w:pPr>
      <w:jc w:val="both"/>
    </w:pPr>
    <w:rPr>
      <w:rFonts w:ascii="Times New Roman" w:hAnsi="Times New Roman" w:eastAsia="宋体" w:cs="Times New Roman"/>
      <w:kern w:val="2"/>
      <w:sz w:val="21"/>
      <w:szCs w:val="21"/>
      <w:lang w:val="en-US" w:eastAsia="zh-CN" w:bidi="ar-SA"/>
    </w:rPr>
  </w:style>
  <w:style w:type="character" w:customStyle="1" w:styleId="104">
    <w:name w:val="font21"/>
    <w:basedOn w:val="33"/>
    <w:qFormat/>
    <w:uiPriority w:val="0"/>
    <w:rPr>
      <w:rFonts w:hint="default" w:ascii="Times New Roman" w:hAnsi="Times New Roman" w:cs="Times New Roman"/>
      <w:color w:val="000000"/>
      <w:sz w:val="21"/>
      <w:szCs w:val="21"/>
      <w:u w:val="none"/>
    </w:rPr>
  </w:style>
  <w:style w:type="paragraph" w:customStyle="1" w:styleId="105">
    <w:name w:val="font0"/>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06">
    <w:name w:val="font1"/>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07">
    <w:name w:val="et5"/>
    <w:basedOn w:val="1"/>
    <w:qFormat/>
    <w:uiPriority w:val="0"/>
    <w:pPr>
      <w:widowControl/>
      <w:spacing w:before="100" w:beforeAutospacing="1" w:after="100" w:afterAutospacing="1"/>
      <w:jc w:val="center"/>
    </w:pPr>
    <w:rPr>
      <w:rFonts w:ascii="宋体" w:hAnsi="宋体" w:cs="宋体"/>
      <w:color w:val="000000"/>
      <w:kern w:val="0"/>
      <w:sz w:val="24"/>
      <w:szCs w:val="24"/>
    </w:rPr>
  </w:style>
  <w:style w:type="paragraph" w:customStyle="1" w:styleId="108">
    <w:name w:val="et6"/>
    <w:basedOn w:val="1"/>
    <w:qFormat/>
    <w:uiPriority w:val="0"/>
    <w:pPr>
      <w:widowControl/>
      <w:spacing w:before="100" w:beforeAutospacing="1" w:after="100" w:afterAutospacing="1"/>
      <w:jc w:val="center"/>
    </w:pPr>
    <w:rPr>
      <w:rFonts w:ascii="宋体" w:hAnsi="宋体" w:cs="宋体"/>
      <w:kern w:val="0"/>
      <w:sz w:val="24"/>
      <w:szCs w:val="24"/>
    </w:rPr>
  </w:style>
  <w:style w:type="paragraph" w:customStyle="1" w:styleId="109">
    <w:name w:val="et7"/>
    <w:basedOn w:val="1"/>
    <w:qFormat/>
    <w:uiPriority w:val="0"/>
    <w:pPr>
      <w:widowControl/>
      <w:spacing w:before="100" w:beforeAutospacing="1" w:after="100" w:afterAutospacing="1"/>
      <w:jc w:val="center"/>
    </w:pPr>
    <w:rPr>
      <w:rFonts w:ascii="宋体" w:hAnsi="宋体" w:cs="宋体"/>
      <w:kern w:val="0"/>
      <w:sz w:val="24"/>
      <w:szCs w:val="24"/>
    </w:rPr>
  </w:style>
  <w:style w:type="paragraph" w:customStyle="1" w:styleId="110">
    <w:name w:val="et8"/>
    <w:basedOn w:val="1"/>
    <w:qFormat/>
    <w:uiPriority w:val="0"/>
    <w:pPr>
      <w:widowControl/>
      <w:spacing w:before="100" w:beforeAutospacing="1" w:after="100" w:afterAutospacing="1"/>
      <w:jc w:val="left"/>
      <w:textAlignment w:val="bottom"/>
    </w:pPr>
    <w:rPr>
      <w:rFonts w:ascii="宋体" w:hAnsi="宋体" w:cs="宋体"/>
      <w:color w:val="000000"/>
      <w:kern w:val="0"/>
      <w:sz w:val="24"/>
      <w:szCs w:val="24"/>
    </w:rPr>
  </w:style>
  <w:style w:type="character" w:customStyle="1" w:styleId="111">
    <w:name w:val="未处理的提及1"/>
    <w:basedOn w:val="33"/>
    <w:semiHidden/>
    <w:unhideWhenUsed/>
    <w:qFormat/>
    <w:uiPriority w:val="99"/>
    <w:rPr>
      <w:color w:val="605E5C"/>
      <w:shd w:val="clear" w:color="auto" w:fill="E1DFDD"/>
    </w:rPr>
  </w:style>
  <w:style w:type="paragraph" w:customStyle="1" w:styleId="112">
    <w:name w:val="msolistparagraph"/>
    <w:basedOn w:val="1"/>
    <w:qFormat/>
    <w:uiPriority w:val="0"/>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4.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header" Target="header3.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jpe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2.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1.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footer" Target="footer5.xml"/><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B3DC61-F346-4E62-992C-D442BC426606}">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504</Pages>
  <Words>270824</Words>
  <Characters>302184</Characters>
  <Lines>2453</Lines>
  <Paragraphs>690</Paragraphs>
  <TotalTime>0</TotalTime>
  <ScaleCrop>false</ScaleCrop>
  <LinksUpToDate>false</LinksUpToDate>
  <CharactersWithSpaces>307030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2023-09-19T07:04:00Z</dcterms:created>
  <dc:creator>adoj book</dc:creator>
  <cp:lastModifiedBy>长青藤</cp:lastModifiedBy>
  <cp:lastPrinted>2023-09-26T01:20:00Z</cp:lastPrinted>
  <dcterms:modified xsi:type="dcterms:W3CDTF">2023-10-30T06:25:49Z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AD7F092BB6494159AA7865C0E84BFD91_13</vt:lpwstr>
  </property>
</Properties>
</file>