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right"/>
        <w:rPr>
          <w:rFonts w:ascii="宋体" w:hAnsi="宋体"/>
          <w:b/>
          <w:color w:val="auto"/>
          <w:sz w:val="28"/>
          <w:szCs w:val="28"/>
        </w:rPr>
      </w:pPr>
      <w:bookmarkStart w:id="0" w:name="_Toc85267433"/>
      <w:bookmarkStart w:id="1" w:name="_Toc86571205"/>
      <w:bookmarkStart w:id="2" w:name="_Toc97627326"/>
      <w:bookmarkStart w:id="3" w:name="_Toc85597582"/>
      <w:bookmarkStart w:id="4" w:name="_Toc84995638"/>
      <w:bookmarkStart w:id="5" w:name="_Toc85251584"/>
      <w:bookmarkStart w:id="6" w:name="_Toc86571527"/>
      <w:bookmarkStart w:id="7" w:name="_Toc86222949"/>
      <w:bookmarkStart w:id="8" w:name="_Toc85251493"/>
    </w:p>
    <w:p>
      <w:pPr>
        <w:widowControl/>
        <w:spacing w:line="500" w:lineRule="exact"/>
        <w:jc w:val="center"/>
        <w:rPr>
          <w:rFonts w:ascii="宋体" w:hAnsi="宋体"/>
          <w:b/>
          <w:color w:val="auto"/>
          <w:sz w:val="28"/>
          <w:szCs w:val="28"/>
        </w:rPr>
      </w:pPr>
    </w:p>
    <w:p>
      <w:pPr>
        <w:widowControl/>
        <w:spacing w:line="500" w:lineRule="exact"/>
        <w:jc w:val="center"/>
        <w:rPr>
          <w:rFonts w:ascii="宋体" w:hAnsi="宋体"/>
          <w:b/>
          <w:color w:val="auto"/>
          <w:sz w:val="28"/>
          <w:szCs w:val="28"/>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b/>
          <w:bCs/>
          <w:color w:val="auto"/>
          <w:sz w:val="44"/>
          <w:szCs w:val="44"/>
        </w:rPr>
      </w:pPr>
      <w:r>
        <w:rPr>
          <w:rFonts w:hint="eastAsia" w:ascii="宋体" w:hAnsi="宋体"/>
          <w:b/>
          <w:bCs/>
          <w:color w:val="auto"/>
          <w:sz w:val="44"/>
          <w:szCs w:val="44"/>
        </w:rPr>
        <w:t>兴宁市守元矿业有限公司</w:t>
      </w:r>
      <w:bookmarkStart w:id="9" w:name="_Hlk144115118"/>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b/>
          <w:bCs/>
          <w:color w:val="auto"/>
          <w:sz w:val="44"/>
          <w:szCs w:val="44"/>
        </w:rPr>
      </w:pPr>
      <w:r>
        <w:rPr>
          <w:rFonts w:hint="eastAsia" w:ascii="宋体" w:hAnsi="宋体"/>
          <w:b/>
          <w:bCs/>
          <w:color w:val="auto"/>
          <w:sz w:val="44"/>
          <w:szCs w:val="44"/>
        </w:rPr>
        <w:t>军营高岭土矿分公司</w:t>
      </w:r>
      <w:bookmarkEnd w:id="9"/>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b/>
          <w:color w:val="auto"/>
          <w:w w:val="90"/>
          <w:sz w:val="44"/>
          <w:szCs w:val="44"/>
        </w:rPr>
      </w:pPr>
      <w:r>
        <w:rPr>
          <w:rFonts w:hint="eastAsia" w:ascii="宋体" w:hAnsi="宋体"/>
          <w:b/>
          <w:color w:val="auto"/>
          <w:w w:val="90"/>
          <w:sz w:val="44"/>
          <w:szCs w:val="44"/>
        </w:rPr>
        <w:t>扩建年产5万吨高岭土露天开采项目</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b/>
          <w:color w:val="auto"/>
          <w:kern w:val="10"/>
          <w:sz w:val="52"/>
          <w:szCs w:val="84"/>
        </w:rPr>
      </w:pPr>
      <w:r>
        <w:rPr>
          <w:rFonts w:hint="eastAsia" w:ascii="黑体" w:hAnsi="宋体" w:eastAsia="黑体"/>
          <w:b/>
          <w:color w:val="auto"/>
          <w:kern w:val="10"/>
          <w:sz w:val="52"/>
          <w:szCs w:val="84"/>
        </w:rPr>
        <w:t>安</w:t>
      </w:r>
      <w:r>
        <w:rPr>
          <w:rFonts w:ascii="黑体" w:hAnsi="宋体" w:eastAsia="黑体"/>
          <w:b/>
          <w:color w:val="auto"/>
          <w:kern w:val="10"/>
          <w:sz w:val="52"/>
          <w:szCs w:val="84"/>
        </w:rPr>
        <w:t>全预评价报</w:t>
      </w:r>
      <w:r>
        <w:rPr>
          <w:rFonts w:hint="eastAsia" w:ascii="黑体" w:hAnsi="宋体" w:eastAsia="黑体"/>
          <w:b/>
          <w:color w:val="auto"/>
          <w:kern w:val="10"/>
          <w:sz w:val="52"/>
          <w:szCs w:val="84"/>
        </w:rPr>
        <w:t>告</w:t>
      </w:r>
    </w:p>
    <w:p>
      <w:pPr>
        <w:widowControl/>
        <w:jc w:val="center"/>
        <w:rPr>
          <w:b/>
          <w:color w:val="auto"/>
          <w:sz w:val="32"/>
          <w:szCs w:val="32"/>
        </w:rPr>
      </w:pPr>
    </w:p>
    <w:p>
      <w:pPr>
        <w:widowControl/>
        <w:spacing w:line="900" w:lineRule="exact"/>
        <w:jc w:val="center"/>
        <w:rPr>
          <w:rFonts w:ascii="宋体" w:hAnsi="宋体"/>
          <w:color w:val="auto"/>
          <w:sz w:val="28"/>
        </w:rPr>
      </w:pPr>
    </w:p>
    <w:p>
      <w:pPr>
        <w:widowControl/>
        <w:jc w:val="center"/>
        <w:rPr>
          <w:rFonts w:ascii="宋体" w:hAnsi="宋体"/>
          <w:color w:val="auto"/>
          <w:sz w:val="28"/>
        </w:rPr>
      </w:pPr>
    </w:p>
    <w:p>
      <w:pPr>
        <w:widowControl/>
        <w:jc w:val="center"/>
        <w:rPr>
          <w:rFonts w:ascii="宋体" w:hAnsi="宋体"/>
          <w:color w:val="auto"/>
          <w:sz w:val="28"/>
        </w:rPr>
      </w:pPr>
    </w:p>
    <w:p>
      <w:pPr>
        <w:widowControl/>
        <w:jc w:val="center"/>
        <w:rPr>
          <w:rFonts w:ascii="宋体" w:hAnsi="宋体"/>
          <w:color w:val="auto"/>
          <w:sz w:val="28"/>
        </w:rPr>
      </w:pPr>
    </w:p>
    <w:p>
      <w:pPr>
        <w:pStyle w:val="24"/>
        <w:widowControl/>
        <w:ind w:left="0" w:leftChars="0"/>
        <w:jc w:val="center"/>
        <w:rPr>
          <w:rFonts w:ascii="宋体" w:hAnsi="宋体"/>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jc w:val="center"/>
        <w:rPr>
          <w:color w:val="auto"/>
        </w:rPr>
      </w:pPr>
    </w:p>
    <w:p>
      <w:pPr>
        <w:widowControl/>
        <w:spacing w:line="700" w:lineRule="exact"/>
        <w:jc w:val="center"/>
        <w:rPr>
          <w:b/>
          <w:bCs/>
          <w:color w:val="auto"/>
          <w:sz w:val="44"/>
          <w:szCs w:val="44"/>
        </w:rPr>
      </w:pPr>
    </w:p>
    <w:p>
      <w:pPr>
        <w:widowControl/>
        <w:spacing w:line="700" w:lineRule="exact"/>
        <w:jc w:val="center"/>
        <w:rPr>
          <w:b/>
          <w:bCs/>
          <w:color w:val="auto"/>
          <w:sz w:val="44"/>
          <w:szCs w:val="44"/>
        </w:rPr>
      </w:pPr>
    </w:p>
    <w:p>
      <w:pPr>
        <w:widowControl/>
        <w:spacing w:line="700" w:lineRule="exact"/>
        <w:jc w:val="center"/>
        <w:rPr>
          <w:b/>
          <w:bCs/>
          <w:color w:val="auto"/>
          <w:sz w:val="44"/>
          <w:szCs w:val="44"/>
        </w:rPr>
      </w:pPr>
      <w:bookmarkStart w:id="10" w:name="_Hlk144115146"/>
      <w:r>
        <w:rPr>
          <w:rFonts w:hint="eastAsia"/>
          <w:b/>
          <w:bCs/>
          <w:color w:val="auto"/>
          <w:sz w:val="44"/>
          <w:szCs w:val="44"/>
        </w:rPr>
        <w:t>江西赣安安全生产科学技术咨询服务中心</w:t>
      </w:r>
    </w:p>
    <w:bookmarkEnd w:id="10"/>
    <w:p>
      <w:pPr>
        <w:widowControl/>
        <w:spacing w:line="700" w:lineRule="exact"/>
        <w:jc w:val="center"/>
        <w:rPr>
          <w:rFonts w:ascii="宋体" w:hAnsi="宋体"/>
          <w:b/>
          <w:bCs/>
          <w:color w:val="auto"/>
          <w:sz w:val="32"/>
          <w:szCs w:val="32"/>
        </w:rPr>
      </w:pPr>
      <w:r>
        <w:rPr>
          <w:rFonts w:hint="eastAsia" w:ascii="宋体" w:hAnsi="宋体"/>
          <w:b/>
          <w:bCs/>
          <w:color w:val="auto"/>
          <w:sz w:val="32"/>
          <w:szCs w:val="32"/>
        </w:rPr>
        <w:t>APJ-（赣）-002</w:t>
      </w:r>
    </w:p>
    <w:p>
      <w:pPr>
        <w:widowControl/>
        <w:spacing w:line="700" w:lineRule="exact"/>
        <w:jc w:val="center"/>
        <w:rPr>
          <w:color w:val="auto"/>
        </w:rPr>
      </w:pPr>
      <w:r>
        <w:rPr>
          <w:rFonts w:hint="eastAsia" w:ascii="宋体" w:hAnsi="宋体"/>
          <w:b/>
          <w:bCs/>
          <w:color w:val="auto"/>
          <w:sz w:val="32"/>
          <w:szCs w:val="32"/>
        </w:rPr>
        <w:t>2023年11月25日</w:t>
      </w:r>
    </w:p>
    <w:p>
      <w:pPr>
        <w:widowControl/>
        <w:rPr>
          <w:color w:val="auto"/>
        </w:rPr>
        <w:sectPr>
          <w:footerReference r:id="rId7" w:type="first"/>
          <w:headerReference r:id="rId3" w:type="default"/>
          <w:footerReference r:id="rId5" w:type="default"/>
          <w:headerReference r:id="rId4" w:type="even"/>
          <w:footerReference r:id="rId6" w:type="even"/>
          <w:pgSz w:w="11906" w:h="16838"/>
          <w:pgMar w:top="1134" w:right="1134" w:bottom="1418" w:left="1588" w:header="851" w:footer="992" w:gutter="0"/>
          <w:pgBorders>
            <w:top w:val="none" w:sz="0" w:space="0"/>
            <w:left w:val="none" w:sz="0" w:space="0"/>
            <w:bottom w:val="none" w:sz="0" w:space="0"/>
            <w:right w:val="none" w:sz="0" w:space="0"/>
          </w:pgBorders>
          <w:pgNumType w:fmt="upperRoman" w:start="1"/>
          <w:cols w:space="720" w:num="1"/>
          <w:titlePg/>
          <w:docGrid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r>
        <w:rPr>
          <w:rFonts w:hint="eastAsia" w:ascii="宋体" w:hAnsi="宋体"/>
          <w:b/>
          <w:color w:val="auto"/>
          <w:sz w:val="32"/>
          <w:szCs w:val="32"/>
        </w:rPr>
        <w:t>兴宁市守元矿业有限公司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r>
        <w:rPr>
          <w:rFonts w:hint="eastAsia" w:ascii="宋体" w:hAnsi="宋体"/>
          <w:b/>
          <w:color w:val="auto"/>
          <w:sz w:val="32"/>
          <w:szCs w:val="32"/>
        </w:rPr>
        <w:t>军营高岭土矿分公司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r>
        <w:rPr>
          <w:rFonts w:hint="eastAsia" w:ascii="宋体" w:hAnsi="宋体"/>
          <w:b/>
          <w:color w:val="auto"/>
          <w:sz w:val="32"/>
          <w:szCs w:val="32"/>
        </w:rPr>
        <w:t>扩建年产5万吨高岭土露天开采项目</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b/>
          <w:color w:val="auto"/>
          <w:kern w:val="10"/>
          <w:sz w:val="44"/>
          <w:szCs w:val="72"/>
        </w:rPr>
      </w:pPr>
      <w:r>
        <w:rPr>
          <w:rFonts w:hint="eastAsia" w:ascii="宋体" w:hAnsi="宋体"/>
          <w:b/>
          <w:color w:val="auto"/>
          <w:kern w:val="10"/>
          <w:sz w:val="44"/>
          <w:szCs w:val="72"/>
        </w:rPr>
        <w:t>安全预评价报告</w:t>
      </w:r>
    </w:p>
    <w:p>
      <w:pPr>
        <w:widowControl/>
        <w:spacing w:line="720" w:lineRule="auto"/>
        <w:jc w:val="center"/>
        <w:rPr>
          <w:rFonts w:ascii="宋体" w:hAnsi="宋体"/>
          <w:b/>
          <w:bCs/>
          <w:color w:val="auto"/>
          <w:sz w:val="30"/>
          <w:szCs w:val="30"/>
        </w:rPr>
      </w:pPr>
    </w:p>
    <w:p>
      <w:pPr>
        <w:widowControl/>
        <w:spacing w:line="720" w:lineRule="auto"/>
        <w:jc w:val="center"/>
        <w:rPr>
          <w:rFonts w:ascii="宋体" w:hAnsi="宋体"/>
          <w:b/>
          <w:bCs/>
          <w:color w:val="auto"/>
          <w:sz w:val="44"/>
          <w:szCs w:val="44"/>
        </w:rPr>
      </w:pPr>
    </w:p>
    <w:p>
      <w:pPr>
        <w:widowControl/>
        <w:spacing w:line="240" w:lineRule="exact"/>
        <w:jc w:val="center"/>
        <w:rPr>
          <w:rFonts w:ascii="宋体" w:hAnsi="宋体"/>
          <w:b/>
          <w:bCs/>
          <w:color w:val="auto"/>
          <w:sz w:val="84"/>
        </w:rPr>
      </w:pPr>
    </w:p>
    <w:p>
      <w:pPr>
        <w:widowControl/>
        <w:spacing w:line="580" w:lineRule="exact"/>
        <w:jc w:val="center"/>
        <w:rPr>
          <w:rFonts w:hint="default" w:eastAsia="宋体"/>
          <w:color w:val="auto"/>
          <w:sz w:val="28"/>
          <w:szCs w:val="28"/>
          <w:lang w:val="en-US" w:eastAsia="zh-CN"/>
        </w:rPr>
      </w:pPr>
      <w:r>
        <w:rPr>
          <w:rFonts w:hint="eastAsia"/>
          <w:color w:val="auto"/>
          <w:sz w:val="28"/>
          <w:szCs w:val="28"/>
        </w:rPr>
        <w:t>法定代表人：</w:t>
      </w:r>
      <w:r>
        <w:rPr>
          <w:rFonts w:hint="eastAsia"/>
          <w:color w:val="auto"/>
          <w:sz w:val="28"/>
          <w:szCs w:val="28"/>
          <w:lang w:val="en-US" w:eastAsia="zh-CN"/>
        </w:rPr>
        <w:t>应  宏</w:t>
      </w:r>
    </w:p>
    <w:p>
      <w:pPr>
        <w:widowControl/>
        <w:spacing w:line="580" w:lineRule="exact"/>
        <w:jc w:val="center"/>
        <w:rPr>
          <w:rFonts w:hint="default" w:eastAsia="宋体"/>
          <w:color w:val="auto"/>
          <w:sz w:val="28"/>
          <w:szCs w:val="28"/>
          <w:lang w:val="en-US" w:eastAsia="zh-CN"/>
        </w:rPr>
      </w:pPr>
      <w:r>
        <w:rPr>
          <w:rFonts w:hint="eastAsia"/>
          <w:color w:val="auto"/>
          <w:sz w:val="28"/>
          <w:szCs w:val="28"/>
        </w:rPr>
        <w:t>技术负责人：</w:t>
      </w:r>
      <w:r>
        <w:rPr>
          <w:rFonts w:hint="eastAsia"/>
          <w:color w:val="auto"/>
          <w:sz w:val="28"/>
          <w:szCs w:val="28"/>
          <w:lang w:val="en-US" w:eastAsia="zh-CN"/>
        </w:rPr>
        <w:t>管自强</w:t>
      </w:r>
    </w:p>
    <w:p>
      <w:pPr>
        <w:widowControl/>
        <w:spacing w:line="580" w:lineRule="exact"/>
        <w:jc w:val="center"/>
        <w:rPr>
          <w:rFonts w:hint="default" w:eastAsia="宋体"/>
          <w:color w:val="auto"/>
          <w:sz w:val="28"/>
          <w:szCs w:val="28"/>
          <w:lang w:val="en-US" w:eastAsia="zh-CN"/>
        </w:rPr>
      </w:pPr>
      <w:r>
        <w:rPr>
          <w:rFonts w:hint="eastAsia"/>
          <w:color w:val="auto"/>
          <w:sz w:val="28"/>
          <w:szCs w:val="28"/>
        </w:rPr>
        <w:t>项目负责人：</w:t>
      </w:r>
      <w:r>
        <w:rPr>
          <w:rFonts w:hint="eastAsia"/>
          <w:color w:val="auto"/>
          <w:sz w:val="28"/>
          <w:szCs w:val="28"/>
          <w:lang w:val="en-US" w:eastAsia="zh-CN"/>
        </w:rPr>
        <w:t>管自强</w:t>
      </w:r>
    </w:p>
    <w:p>
      <w:pPr>
        <w:widowControl/>
        <w:spacing w:line="240" w:lineRule="exact"/>
        <w:jc w:val="center"/>
        <w:rPr>
          <w:rFonts w:ascii="宋体" w:hAnsi="宋体"/>
          <w:b/>
          <w:bCs/>
          <w:color w:val="auto"/>
          <w:sz w:val="24"/>
        </w:rPr>
      </w:pPr>
    </w:p>
    <w:p>
      <w:pPr>
        <w:widowControl/>
        <w:spacing w:line="240" w:lineRule="exact"/>
        <w:jc w:val="center"/>
        <w:rPr>
          <w:rFonts w:ascii="宋体" w:hAnsi="宋体"/>
          <w:b/>
          <w:bCs/>
          <w:color w:val="auto"/>
          <w:sz w:val="24"/>
        </w:rPr>
      </w:pPr>
    </w:p>
    <w:p>
      <w:pPr>
        <w:widowControl/>
        <w:spacing w:line="400" w:lineRule="exact"/>
        <w:jc w:val="center"/>
        <w:rPr>
          <w:rFonts w:ascii="宋体" w:hAnsi="宋体"/>
          <w:b/>
          <w:bCs/>
          <w:color w:val="auto"/>
          <w:sz w:val="24"/>
        </w:rPr>
      </w:pPr>
      <w:r>
        <w:rPr>
          <w:rFonts w:hint="eastAsia" w:ascii="宋体" w:hAnsi="宋体"/>
          <w:b/>
          <w:bCs/>
          <w:color w:val="auto"/>
          <w:sz w:val="24"/>
          <w:lang w:val="en-US" w:eastAsia="zh-CN"/>
        </w:rPr>
        <w:t>报告完成日期;</w:t>
      </w:r>
      <w:r>
        <w:rPr>
          <w:rFonts w:hint="eastAsia" w:ascii="宋体" w:hAnsi="宋体"/>
          <w:b/>
          <w:bCs/>
          <w:color w:val="auto"/>
          <w:sz w:val="24"/>
        </w:rPr>
        <w:t>2023年11月25日</w:t>
      </w:r>
    </w:p>
    <w:p>
      <w:pPr>
        <w:widowControl/>
        <w:spacing w:before="100" w:after="100" w:line="240" w:lineRule="exact"/>
        <w:rPr>
          <w:rFonts w:ascii="仿宋_GB2312" w:hAnsi="宋体" w:eastAsia="仿宋_GB2312"/>
          <w:b/>
          <w:color w:val="auto"/>
          <w:sz w:val="48"/>
        </w:rPr>
        <w:sectPr>
          <w:pgSz w:w="11906" w:h="16838"/>
          <w:pgMar w:top="1417" w:right="1417" w:bottom="1418" w:left="1417" w:header="851" w:footer="992" w:gutter="0"/>
          <w:pgBorders>
            <w:top w:val="none" w:sz="0" w:space="0"/>
            <w:left w:val="none" w:sz="0" w:space="0"/>
            <w:bottom w:val="none" w:sz="0" w:space="0"/>
            <w:right w:val="none" w:sz="0" w:space="0"/>
          </w:pgBorders>
          <w:pgNumType w:fmt="upperRoman" w:start="1"/>
          <w:cols w:space="720" w:num="1"/>
          <w:docGrid w:linePitch="312" w:charSpace="0"/>
        </w:sect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r>
        <w:rPr>
          <w:rFonts w:hint="eastAsia" w:ascii="宋体" w:hAnsi="宋体"/>
          <w:b/>
          <w:color w:val="auto"/>
          <w:sz w:val="32"/>
          <w:szCs w:val="32"/>
        </w:rPr>
        <w:t>兴宁市守元矿业有限公司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r>
        <w:rPr>
          <w:rFonts w:hint="eastAsia" w:ascii="宋体" w:hAnsi="宋体"/>
          <w:b/>
          <w:color w:val="auto"/>
          <w:sz w:val="32"/>
          <w:szCs w:val="32"/>
        </w:rPr>
        <w:t>军营高岭土矿分公司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b/>
          <w:color w:val="auto"/>
          <w:sz w:val="32"/>
          <w:szCs w:val="32"/>
        </w:rPr>
      </w:pPr>
      <w:r>
        <w:rPr>
          <w:rFonts w:hint="eastAsia" w:ascii="宋体" w:hAnsi="宋体"/>
          <w:b/>
          <w:color w:val="auto"/>
          <w:sz w:val="32"/>
          <w:szCs w:val="32"/>
        </w:rPr>
        <w:t>扩建年产5万吨高岭土露天开采项目</w:t>
      </w:r>
    </w:p>
    <w:p>
      <w:pPr>
        <w:widowControl/>
        <w:spacing w:line="600" w:lineRule="exact"/>
        <w:jc w:val="center"/>
        <w:rPr>
          <w:rFonts w:ascii="宋体" w:hAnsi="宋体"/>
          <w:b/>
          <w:bCs/>
          <w:color w:val="auto"/>
          <w:kern w:val="0"/>
          <w:sz w:val="36"/>
          <w:szCs w:val="36"/>
        </w:rPr>
      </w:pPr>
      <w:r>
        <w:rPr>
          <w:rFonts w:hint="eastAsia" w:ascii="宋体" w:hAnsi="宋体"/>
          <w:b/>
          <w:color w:val="auto"/>
          <w:kern w:val="10"/>
          <w:sz w:val="44"/>
          <w:szCs w:val="72"/>
        </w:rPr>
        <w:t>安全预评价报告</w:t>
      </w:r>
    </w:p>
    <w:p>
      <w:pPr>
        <w:widowControl/>
        <w:spacing w:line="600" w:lineRule="exact"/>
        <w:jc w:val="center"/>
        <w:rPr>
          <w:b/>
          <w:bCs/>
          <w:color w:val="auto"/>
          <w:kern w:val="0"/>
          <w:sz w:val="36"/>
          <w:szCs w:val="36"/>
        </w:rPr>
      </w:pPr>
      <w:r>
        <w:rPr>
          <w:rFonts w:ascii="宋体" w:hAnsi="宋体"/>
          <w:b/>
          <w:bCs/>
          <w:color w:val="auto"/>
          <w:kern w:val="0"/>
          <w:sz w:val="36"/>
          <w:szCs w:val="36"/>
        </w:rPr>
        <w:t>安全评价技术服务承诺书</w:t>
      </w:r>
    </w:p>
    <w:p>
      <w:pPr>
        <w:widowControl/>
        <w:spacing w:line="600" w:lineRule="exact"/>
        <w:jc w:val="left"/>
        <w:rPr>
          <w:color w:val="auto"/>
          <w:kern w:val="0"/>
          <w:sz w:val="32"/>
          <w:szCs w:val="32"/>
        </w:rPr>
      </w:pPr>
    </w:p>
    <w:p>
      <w:pPr>
        <w:widowControl/>
        <w:spacing w:line="600" w:lineRule="exact"/>
        <w:ind w:firstLine="640" w:firstLineChars="200"/>
        <w:jc w:val="left"/>
        <w:rPr>
          <w:color w:val="auto"/>
          <w:kern w:val="0"/>
          <w:sz w:val="32"/>
          <w:szCs w:val="32"/>
        </w:rPr>
      </w:pPr>
      <w:r>
        <w:rPr>
          <w:rFonts w:ascii="宋体" w:hAnsi="宋体"/>
          <w:color w:val="auto"/>
          <w:kern w:val="0"/>
          <w:sz w:val="32"/>
          <w:szCs w:val="32"/>
        </w:rPr>
        <w:t>一、在该公司安全评价活动过程中，我单位严格遵守《安全生产法》及相关法律、法规和标准的要求。</w:t>
      </w:r>
      <w:r>
        <w:rPr>
          <w:color w:val="auto"/>
          <w:kern w:val="0"/>
          <w:sz w:val="32"/>
          <w:szCs w:val="32"/>
        </w:rPr>
        <w:t xml:space="preserve">  </w:t>
      </w:r>
    </w:p>
    <w:p>
      <w:pPr>
        <w:widowControl/>
        <w:spacing w:line="600" w:lineRule="exact"/>
        <w:ind w:firstLine="640" w:firstLineChars="200"/>
        <w:jc w:val="left"/>
        <w:rPr>
          <w:color w:val="auto"/>
          <w:kern w:val="0"/>
          <w:sz w:val="32"/>
          <w:szCs w:val="32"/>
        </w:rPr>
      </w:pPr>
      <w:r>
        <w:rPr>
          <w:rFonts w:ascii="宋体" w:hAnsi="宋体"/>
          <w:color w:val="auto"/>
          <w:kern w:val="0"/>
          <w:sz w:val="32"/>
          <w:szCs w:val="32"/>
        </w:rPr>
        <w:t>二、在该公司安全评价活动过程中，我单位作为第三方，未受到任何组织和个人的干预和影响，依法独立开展工作，保证了技术服务活动的客观公正性。</w:t>
      </w:r>
    </w:p>
    <w:p>
      <w:pPr>
        <w:widowControl/>
        <w:spacing w:line="600" w:lineRule="exact"/>
        <w:ind w:firstLine="640" w:firstLineChars="200"/>
        <w:jc w:val="left"/>
        <w:rPr>
          <w:color w:val="auto"/>
          <w:kern w:val="0"/>
          <w:sz w:val="32"/>
          <w:szCs w:val="32"/>
        </w:rPr>
      </w:pPr>
      <w:r>
        <w:rPr>
          <w:rFonts w:ascii="宋体" w:hAnsi="宋体"/>
          <w:color w:val="auto"/>
          <w:kern w:val="0"/>
          <w:sz w:val="32"/>
          <w:szCs w:val="32"/>
        </w:rPr>
        <w:t>三、我单位按照实事求是的原则，对该公司进行安全评价，确保出具的报告均真实有效，报告所提出的措施具有针对性、有效性和可行性。</w:t>
      </w:r>
    </w:p>
    <w:p>
      <w:pPr>
        <w:widowControl/>
        <w:spacing w:line="600" w:lineRule="exact"/>
        <w:ind w:firstLine="640" w:firstLineChars="200"/>
        <w:jc w:val="left"/>
        <w:rPr>
          <w:color w:val="auto"/>
          <w:kern w:val="0"/>
          <w:sz w:val="32"/>
          <w:szCs w:val="32"/>
        </w:rPr>
      </w:pPr>
      <w:r>
        <w:rPr>
          <w:rFonts w:ascii="宋体" w:hAnsi="宋体"/>
          <w:color w:val="auto"/>
          <w:kern w:val="0"/>
          <w:sz w:val="32"/>
          <w:szCs w:val="32"/>
        </w:rPr>
        <w:t>四、我单位对该公司安全评价报告中结论性内容承担法律责任。</w:t>
      </w:r>
      <w:r>
        <w:rPr>
          <w:color w:val="auto"/>
          <w:kern w:val="0"/>
          <w:sz w:val="32"/>
          <w:szCs w:val="32"/>
        </w:rPr>
        <w:t xml:space="preserve"> </w:t>
      </w:r>
    </w:p>
    <w:p>
      <w:pPr>
        <w:widowControl/>
        <w:spacing w:line="600" w:lineRule="exact"/>
        <w:ind w:firstLine="480"/>
        <w:jc w:val="left"/>
        <w:rPr>
          <w:color w:val="auto"/>
          <w:kern w:val="0"/>
          <w:sz w:val="32"/>
          <w:szCs w:val="32"/>
        </w:rPr>
      </w:pPr>
      <w:r>
        <w:rPr>
          <w:color w:val="auto"/>
          <w:kern w:val="0"/>
          <w:sz w:val="32"/>
          <w:szCs w:val="32"/>
        </w:rPr>
        <w:t xml:space="preserve">                      </w:t>
      </w:r>
    </w:p>
    <w:p>
      <w:pPr>
        <w:widowControl/>
        <w:autoSpaceDE w:val="0"/>
        <w:spacing w:line="800" w:lineRule="exact"/>
        <w:ind w:left="5759" w:leftChars="228" w:hanging="5280" w:hangingChars="1650"/>
        <w:jc w:val="left"/>
        <w:rPr>
          <w:color w:val="auto"/>
          <w:kern w:val="0"/>
          <w:sz w:val="32"/>
          <w:szCs w:val="32"/>
        </w:rPr>
      </w:pPr>
      <w:r>
        <w:rPr>
          <w:color w:val="auto"/>
          <w:kern w:val="0"/>
          <w:sz w:val="32"/>
          <w:szCs w:val="32"/>
        </w:rPr>
        <w:t xml:space="preserve">                 </w:t>
      </w:r>
      <w:r>
        <w:rPr>
          <w:rFonts w:ascii="宋体" w:hAnsi="宋体"/>
          <w:color w:val="auto"/>
          <w:sz w:val="32"/>
          <w:szCs w:val="32"/>
        </w:rPr>
        <w:t>江西赣安安全生产科学技术咨询服务中心</w:t>
      </w:r>
    </w:p>
    <w:p>
      <w:pPr>
        <w:spacing w:line="440" w:lineRule="exact"/>
        <w:jc w:val="center"/>
        <w:rPr>
          <w:rFonts w:ascii="宋体" w:hAnsi="宋体"/>
          <w:color w:val="auto"/>
          <w:kern w:val="0"/>
          <w:sz w:val="32"/>
          <w:szCs w:val="32"/>
        </w:rPr>
      </w:pPr>
      <w:r>
        <w:rPr>
          <w:color w:val="auto"/>
          <w:kern w:val="0"/>
          <w:sz w:val="32"/>
          <w:szCs w:val="32"/>
        </w:rPr>
        <w:t xml:space="preserve">                          2023</w:t>
      </w:r>
      <w:r>
        <w:rPr>
          <w:rFonts w:ascii="宋体" w:hAnsi="宋体"/>
          <w:color w:val="auto"/>
          <w:kern w:val="0"/>
          <w:sz w:val="32"/>
          <w:szCs w:val="32"/>
        </w:rPr>
        <w:t>年</w:t>
      </w:r>
      <w:r>
        <w:rPr>
          <w:rFonts w:hint="eastAsia"/>
          <w:color w:val="auto"/>
          <w:kern w:val="0"/>
          <w:sz w:val="32"/>
          <w:szCs w:val="32"/>
          <w:lang w:val="en-US" w:eastAsia="zh-CN"/>
        </w:rPr>
        <w:t>11</w:t>
      </w:r>
      <w:r>
        <w:rPr>
          <w:rFonts w:ascii="宋体" w:hAnsi="宋体"/>
          <w:color w:val="auto"/>
          <w:kern w:val="0"/>
          <w:sz w:val="32"/>
          <w:szCs w:val="32"/>
        </w:rPr>
        <w:t>月</w:t>
      </w:r>
      <w:r>
        <w:rPr>
          <w:rFonts w:hint="eastAsia"/>
          <w:color w:val="auto"/>
          <w:kern w:val="0"/>
          <w:sz w:val="32"/>
          <w:szCs w:val="32"/>
          <w:lang w:val="en-US" w:eastAsia="zh-CN"/>
        </w:rPr>
        <w:t>25</w:t>
      </w:r>
      <w:r>
        <w:rPr>
          <w:rFonts w:ascii="宋体" w:hAnsi="宋体"/>
          <w:color w:val="auto"/>
          <w:kern w:val="0"/>
          <w:sz w:val="32"/>
          <w:szCs w:val="32"/>
        </w:rPr>
        <w:t>日</w:t>
      </w:r>
    </w:p>
    <w:p>
      <w:pPr>
        <w:widowControl/>
        <w:spacing w:line="600" w:lineRule="exact"/>
        <w:ind w:firstLine="480"/>
        <w:jc w:val="center"/>
        <w:rPr>
          <w:rFonts w:ascii="宋体" w:hAnsi="宋体"/>
          <w:color w:val="auto"/>
          <w:kern w:val="0"/>
          <w:sz w:val="32"/>
          <w:szCs w:val="32"/>
        </w:rPr>
      </w:pPr>
      <w:r>
        <w:rPr>
          <w:rFonts w:ascii="宋体" w:hAnsi="宋体"/>
          <w:color w:val="auto"/>
          <w:kern w:val="0"/>
          <w:sz w:val="32"/>
          <w:szCs w:val="32"/>
        </w:rPr>
        <w:br w:type="page"/>
      </w:r>
    </w:p>
    <w:p>
      <w:pPr>
        <w:widowControl/>
        <w:spacing w:line="600" w:lineRule="exact"/>
        <w:ind w:firstLine="480"/>
        <w:jc w:val="center"/>
        <w:rPr>
          <w:rFonts w:ascii="宋体" w:hAnsi="宋体"/>
          <w:b/>
          <w:bCs/>
          <w:color w:val="auto"/>
          <w:sz w:val="44"/>
          <w:szCs w:val="44"/>
        </w:rPr>
      </w:pPr>
    </w:p>
    <w:p>
      <w:pPr>
        <w:widowControl/>
        <w:spacing w:line="600" w:lineRule="exact"/>
        <w:ind w:firstLine="480"/>
        <w:jc w:val="center"/>
        <w:rPr>
          <w:b/>
          <w:bCs/>
          <w:color w:val="auto"/>
          <w:sz w:val="18"/>
          <w:szCs w:val="18"/>
        </w:rPr>
      </w:pPr>
      <w:r>
        <w:rPr>
          <w:rFonts w:ascii="宋体" w:hAnsi="宋体"/>
          <w:b/>
          <w:bCs/>
          <w:color w:val="auto"/>
          <w:sz w:val="44"/>
          <w:szCs w:val="44"/>
        </w:rPr>
        <w:t>规范安全生产中介行为的九条禁令</w:t>
      </w:r>
    </w:p>
    <w:p>
      <w:pPr>
        <w:widowControl/>
        <w:spacing w:line="600" w:lineRule="exact"/>
        <w:ind w:firstLine="632"/>
        <w:jc w:val="left"/>
        <w:rPr>
          <w:rFonts w:hAnsi="宋体"/>
          <w:color w:val="auto"/>
          <w:kern w:val="0"/>
          <w:sz w:val="32"/>
          <w:szCs w:val="32"/>
        </w:rPr>
      </w:pPr>
    </w:p>
    <w:p>
      <w:pPr>
        <w:widowControl/>
        <w:spacing w:line="600" w:lineRule="exact"/>
        <w:ind w:firstLine="640" w:firstLineChars="200"/>
        <w:jc w:val="left"/>
        <w:rPr>
          <w:color w:val="auto"/>
          <w:kern w:val="0"/>
          <w:sz w:val="18"/>
          <w:szCs w:val="18"/>
        </w:rPr>
      </w:pPr>
      <w:r>
        <w:rPr>
          <w:rFonts w:ascii="宋体" w:hAnsi="宋体"/>
          <w:color w:val="auto"/>
          <w:kern w:val="0"/>
          <w:sz w:val="32"/>
          <w:szCs w:val="32"/>
        </w:rPr>
        <w:t>一、禁止从事安全生产和职业卫生服务的中介服务机构（以下统称中介机构）租借资质证书、非法挂靠、转包服务项目的行为；</w:t>
      </w:r>
      <w:r>
        <w:rPr>
          <w:color w:val="auto"/>
          <w:kern w:val="0"/>
          <w:sz w:val="32"/>
          <w:szCs w:val="32"/>
        </w:rPr>
        <w:t xml:space="preserve"> </w:t>
      </w:r>
    </w:p>
    <w:p>
      <w:pPr>
        <w:widowControl/>
        <w:spacing w:line="600" w:lineRule="exact"/>
        <w:ind w:firstLine="640" w:firstLineChars="200"/>
        <w:jc w:val="left"/>
        <w:rPr>
          <w:color w:val="auto"/>
          <w:kern w:val="0"/>
          <w:sz w:val="18"/>
          <w:szCs w:val="18"/>
        </w:rPr>
      </w:pPr>
      <w:r>
        <w:rPr>
          <w:rFonts w:ascii="宋体" w:hAnsi="宋体"/>
          <w:color w:val="auto"/>
          <w:kern w:val="0"/>
          <w:sz w:val="32"/>
          <w:szCs w:val="32"/>
        </w:rPr>
        <w:t>二、禁止中介机构假借、冒用他人名义要求服务对象接受有偿服务，或者恶意低价竞争以及采取串标、围标等不正当竞争手段，扰乱技术服务市场秩序的行为；</w:t>
      </w:r>
      <w:r>
        <w:rPr>
          <w:color w:val="auto"/>
          <w:kern w:val="0"/>
          <w:sz w:val="18"/>
          <w:szCs w:val="18"/>
        </w:rPr>
        <w:t xml:space="preserve"> </w:t>
      </w:r>
    </w:p>
    <w:p>
      <w:pPr>
        <w:widowControl/>
        <w:spacing w:line="600" w:lineRule="exact"/>
        <w:ind w:firstLine="640" w:firstLineChars="200"/>
        <w:jc w:val="left"/>
        <w:rPr>
          <w:color w:val="auto"/>
          <w:kern w:val="0"/>
          <w:sz w:val="18"/>
          <w:szCs w:val="18"/>
        </w:rPr>
      </w:pPr>
      <w:r>
        <w:rPr>
          <w:rFonts w:ascii="宋体" w:hAnsi="宋体"/>
          <w:color w:val="auto"/>
          <w:kern w:val="0"/>
          <w:sz w:val="32"/>
          <w:szCs w:val="32"/>
        </w:rPr>
        <w:t>三、禁止中介机构出具虚假或漏项、缺项技术报告的行为；</w:t>
      </w:r>
      <w:r>
        <w:rPr>
          <w:color w:val="auto"/>
          <w:kern w:val="0"/>
          <w:sz w:val="18"/>
          <w:szCs w:val="18"/>
        </w:rPr>
        <w:t xml:space="preserve"> </w:t>
      </w:r>
    </w:p>
    <w:p>
      <w:pPr>
        <w:widowControl/>
        <w:spacing w:line="600" w:lineRule="exact"/>
        <w:ind w:firstLine="640" w:firstLineChars="200"/>
        <w:jc w:val="left"/>
        <w:rPr>
          <w:color w:val="auto"/>
          <w:kern w:val="0"/>
          <w:sz w:val="18"/>
          <w:szCs w:val="18"/>
        </w:rPr>
      </w:pPr>
      <w:r>
        <w:rPr>
          <w:rFonts w:ascii="宋体" w:hAnsi="宋体"/>
          <w:color w:val="auto"/>
          <w:kern w:val="0"/>
          <w:sz w:val="32"/>
          <w:szCs w:val="32"/>
        </w:rPr>
        <w:t>四、禁止中介机构出租、出借资格证书、在报告上冒用他人签名的行为；</w:t>
      </w:r>
      <w:r>
        <w:rPr>
          <w:color w:val="auto"/>
          <w:kern w:val="0"/>
          <w:sz w:val="32"/>
          <w:szCs w:val="32"/>
        </w:rPr>
        <w:t xml:space="preserve"> </w:t>
      </w:r>
    </w:p>
    <w:p>
      <w:pPr>
        <w:widowControl/>
        <w:spacing w:line="600" w:lineRule="exact"/>
        <w:ind w:firstLine="640" w:firstLineChars="200"/>
        <w:jc w:val="left"/>
        <w:rPr>
          <w:color w:val="auto"/>
          <w:kern w:val="0"/>
          <w:sz w:val="18"/>
          <w:szCs w:val="18"/>
        </w:rPr>
      </w:pPr>
      <w:r>
        <w:rPr>
          <w:rFonts w:ascii="宋体" w:hAnsi="宋体"/>
          <w:color w:val="auto"/>
          <w:kern w:val="0"/>
          <w:sz w:val="32"/>
          <w:szCs w:val="32"/>
        </w:rPr>
        <w:t>五、禁止中介机构有应到而不到现场开展技术服务的行为；</w:t>
      </w:r>
      <w:r>
        <w:rPr>
          <w:color w:val="auto"/>
          <w:kern w:val="0"/>
          <w:sz w:val="18"/>
          <w:szCs w:val="18"/>
        </w:rPr>
        <w:t xml:space="preserve"> </w:t>
      </w:r>
    </w:p>
    <w:p>
      <w:pPr>
        <w:widowControl/>
        <w:spacing w:line="600" w:lineRule="exact"/>
        <w:ind w:firstLine="640" w:firstLineChars="200"/>
        <w:jc w:val="left"/>
        <w:rPr>
          <w:color w:val="auto"/>
          <w:kern w:val="0"/>
          <w:sz w:val="18"/>
          <w:szCs w:val="18"/>
        </w:rPr>
      </w:pPr>
      <w:r>
        <w:rPr>
          <w:rFonts w:ascii="宋体" w:hAnsi="宋体"/>
          <w:color w:val="auto"/>
          <w:kern w:val="0"/>
          <w:sz w:val="32"/>
          <w:szCs w:val="32"/>
        </w:rPr>
        <w:t>六、禁止安全生产监管部门及其工作人员要求生产经营单位接受指定的中介机构开展技术服务的行为；</w:t>
      </w:r>
      <w:r>
        <w:rPr>
          <w:color w:val="auto"/>
          <w:kern w:val="0"/>
          <w:sz w:val="18"/>
          <w:szCs w:val="18"/>
        </w:rPr>
        <w:t xml:space="preserve"> </w:t>
      </w:r>
    </w:p>
    <w:p>
      <w:pPr>
        <w:widowControl/>
        <w:spacing w:line="600" w:lineRule="exact"/>
        <w:ind w:firstLine="640" w:firstLineChars="200"/>
        <w:jc w:val="left"/>
        <w:rPr>
          <w:color w:val="auto"/>
          <w:kern w:val="0"/>
          <w:sz w:val="18"/>
          <w:szCs w:val="18"/>
        </w:rPr>
      </w:pPr>
      <w:r>
        <w:rPr>
          <w:rFonts w:ascii="宋体" w:hAnsi="宋体"/>
          <w:color w:val="auto"/>
          <w:kern w:val="0"/>
          <w:sz w:val="32"/>
          <w:szCs w:val="32"/>
        </w:rPr>
        <w:t>七、禁止安全生产监管部门及其工作人员没有法律依据组织由生产经营单位或机构支付费用的行政性评审的行为；</w:t>
      </w:r>
      <w:r>
        <w:rPr>
          <w:color w:val="auto"/>
          <w:kern w:val="0"/>
          <w:sz w:val="18"/>
          <w:szCs w:val="18"/>
        </w:rPr>
        <w:t xml:space="preserve"> </w:t>
      </w:r>
    </w:p>
    <w:p>
      <w:pPr>
        <w:widowControl/>
        <w:spacing w:line="600" w:lineRule="exact"/>
        <w:ind w:firstLine="640" w:firstLineChars="200"/>
        <w:rPr>
          <w:color w:val="auto"/>
          <w:kern w:val="0"/>
          <w:sz w:val="18"/>
          <w:szCs w:val="18"/>
        </w:rPr>
      </w:pPr>
      <w:r>
        <w:rPr>
          <w:rFonts w:ascii="宋体" w:hAnsi="宋体"/>
          <w:color w:val="auto"/>
          <w:kern w:val="0"/>
          <w:sz w:val="32"/>
          <w:szCs w:val="32"/>
        </w:rPr>
        <w:t>八、禁止安全生产监管部门及其工作人员干预市场定价，违规擅自出台技术服务收费标准的行为；</w:t>
      </w:r>
      <w:r>
        <w:rPr>
          <w:color w:val="auto"/>
          <w:kern w:val="0"/>
          <w:sz w:val="18"/>
          <w:szCs w:val="18"/>
        </w:rPr>
        <w:t xml:space="preserve"> </w:t>
      </w:r>
    </w:p>
    <w:p>
      <w:pPr>
        <w:rPr>
          <w:rFonts w:hint="eastAsia" w:ascii="宋体" w:hAnsi="宋体"/>
          <w:b/>
          <w:color w:val="auto"/>
          <w:sz w:val="32"/>
          <w:szCs w:val="32"/>
        </w:rPr>
      </w:pPr>
      <w:r>
        <w:rPr>
          <w:rFonts w:ascii="宋体" w:hAnsi="宋体"/>
          <w:color w:val="auto"/>
          <w:sz w:val="32"/>
          <w:szCs w:val="32"/>
        </w:rPr>
        <w:t>九、禁止安全生产监管部门及其工作人员参与、擅自干预中介机构从业活动，或者有获取不正当利益的行为。</w:t>
      </w:r>
      <w:r>
        <w:rPr>
          <w:rFonts w:ascii="Times New Roman" w:hAnsi="Times New Roman" w:cs="Times New Roman"/>
          <w:b/>
          <w:color w:val="auto"/>
          <w:sz w:val="28"/>
          <w:szCs w:val="28"/>
        </w:rPr>
        <w:br w:type="page"/>
      </w:r>
    </w:p>
    <w:p>
      <w:pPr>
        <w:widowControl/>
        <w:spacing w:line="500" w:lineRule="exact"/>
        <w:jc w:val="center"/>
        <w:rPr>
          <w:rFonts w:hint="eastAsia" w:ascii="宋体" w:hAnsi="宋体"/>
          <w:b/>
          <w:color w:val="auto"/>
          <w:sz w:val="32"/>
          <w:szCs w:val="32"/>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b/>
          <w:sz w:val="28"/>
          <w:szCs w:val="28"/>
        </w:rPr>
      </w:pPr>
      <w:r>
        <w:rPr>
          <w:rFonts w:hint="eastAsia" w:ascii="宋体" w:hAnsi="宋体"/>
          <w:b/>
          <w:sz w:val="28"/>
          <w:szCs w:val="28"/>
        </w:rPr>
        <w:t>兴宁市守元矿业有限公司</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8"/>
          <w:szCs w:val="28"/>
        </w:rPr>
      </w:pPr>
      <w:r>
        <w:rPr>
          <w:rFonts w:hint="eastAsia" w:ascii="宋体" w:hAnsi="宋体"/>
          <w:b/>
          <w:sz w:val="28"/>
          <w:szCs w:val="28"/>
        </w:rPr>
        <w:t>军营高岭土矿分公司</w:t>
      </w:r>
      <w:bookmarkStart w:id="362" w:name="_GoBack"/>
      <w:bookmarkEnd w:id="362"/>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b/>
          <w:sz w:val="28"/>
          <w:szCs w:val="28"/>
        </w:rPr>
      </w:pPr>
      <w:r>
        <w:rPr>
          <w:rFonts w:hint="eastAsia" w:ascii="宋体" w:hAnsi="宋体"/>
          <w:b/>
          <w:sz w:val="28"/>
          <w:szCs w:val="28"/>
        </w:rPr>
        <w:t>扩建年产5万吨高岭土露天开采项目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kern w:val="10"/>
          <w:sz w:val="28"/>
          <w:szCs w:val="28"/>
        </w:rPr>
      </w:pPr>
      <w:r>
        <w:rPr>
          <w:rFonts w:hint="eastAsia" w:ascii="宋体" w:hAnsi="宋体"/>
          <w:b/>
          <w:kern w:val="10"/>
          <w:sz w:val="28"/>
          <w:szCs w:val="28"/>
        </w:rPr>
        <w:t>安全预评价报告</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kern w:val="10"/>
          <w:sz w:val="28"/>
          <w:szCs w:val="28"/>
        </w:rPr>
      </w:pPr>
    </w:p>
    <w:p>
      <w:pPr>
        <w:jc w:val="center"/>
        <w:rPr>
          <w:rFonts w:hint="eastAsia" w:eastAsia="黑体"/>
          <w:b/>
          <w:color w:val="auto"/>
          <w:sz w:val="32"/>
        </w:rPr>
      </w:pPr>
      <w:r>
        <w:rPr>
          <w:rFonts w:hint="eastAsia" w:eastAsia="黑体"/>
          <w:b/>
          <w:color w:val="auto"/>
          <w:sz w:val="32"/>
        </w:rPr>
        <w:t>评</w:t>
      </w:r>
      <w:r>
        <w:rPr>
          <w:rFonts w:eastAsia="黑体"/>
          <w:b/>
          <w:color w:val="auto"/>
          <w:sz w:val="32"/>
        </w:rPr>
        <w:t xml:space="preserve"> </w:t>
      </w:r>
      <w:r>
        <w:rPr>
          <w:rFonts w:hint="eastAsia" w:eastAsia="黑体"/>
          <w:b/>
          <w:color w:val="auto"/>
          <w:sz w:val="32"/>
        </w:rPr>
        <w:t>价</w:t>
      </w:r>
      <w:r>
        <w:rPr>
          <w:rFonts w:eastAsia="黑体"/>
          <w:b/>
          <w:color w:val="auto"/>
          <w:sz w:val="32"/>
        </w:rPr>
        <w:t xml:space="preserve"> </w:t>
      </w:r>
      <w:r>
        <w:rPr>
          <w:rFonts w:hint="eastAsia" w:eastAsia="黑体"/>
          <w:b/>
          <w:color w:val="auto"/>
          <w:sz w:val="32"/>
        </w:rPr>
        <w:t>人</w:t>
      </w:r>
      <w:r>
        <w:rPr>
          <w:rFonts w:eastAsia="黑体"/>
          <w:b/>
          <w:color w:val="auto"/>
          <w:sz w:val="32"/>
        </w:rPr>
        <w:t xml:space="preserve"> </w:t>
      </w:r>
      <w:r>
        <w:rPr>
          <w:rFonts w:hint="eastAsia" w:eastAsia="黑体"/>
          <w:b/>
          <w:color w:val="auto"/>
          <w:sz w:val="32"/>
        </w:rPr>
        <w:t>员</w:t>
      </w:r>
    </w:p>
    <w:p>
      <w:pPr>
        <w:jc w:val="center"/>
        <w:rPr>
          <w:rFonts w:eastAsia="黑体"/>
          <w:b/>
          <w:color w:val="auto"/>
          <w:sz w:val="32"/>
        </w:rPr>
      </w:pPr>
    </w:p>
    <w:tbl>
      <w:tblPr>
        <w:tblStyle w:val="4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1152"/>
        <w:gridCol w:w="3040"/>
        <w:gridCol w:w="162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c>
          <w:tcPr>
            <w:tcW w:w="61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姓  名</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职业资格证书编号</w:t>
            </w:r>
          </w:p>
        </w:tc>
        <w:tc>
          <w:tcPr>
            <w:tcW w:w="863"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从业信息</w:t>
            </w:r>
          </w:p>
          <w:p>
            <w:pPr>
              <w:jc w:val="center"/>
              <w:rPr>
                <w:color w:val="auto"/>
                <w:sz w:val="24"/>
              </w:rPr>
            </w:pPr>
            <w:r>
              <w:rPr>
                <w:rFonts w:hint="eastAsia"/>
                <w:color w:val="auto"/>
                <w:sz w:val="24"/>
              </w:rPr>
              <w:t>识别卡编号</w:t>
            </w:r>
          </w:p>
        </w:tc>
        <w:tc>
          <w:tcPr>
            <w:tcW w:w="734"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签</w:t>
            </w:r>
            <w:r>
              <w:rPr>
                <w:color w:val="auto"/>
                <w:sz w:val="24"/>
              </w:rPr>
              <w:t xml:space="preserve">    </w:t>
            </w:r>
            <w:r>
              <w:rPr>
                <w:rFonts w:hint="eastAsia"/>
                <w:color w:val="auto"/>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项目负责人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管自强</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S011035000110191000614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020516</w:t>
            </w:r>
          </w:p>
        </w:tc>
        <w:tc>
          <w:tcPr>
            <w:tcW w:w="734"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vMerge w:val="restart"/>
            <w:tcBorders>
              <w:left w:val="single" w:color="auto" w:sz="4" w:space="0"/>
              <w:right w:val="single" w:color="auto" w:sz="4" w:space="0"/>
            </w:tcBorders>
            <w:noWrap w:val="0"/>
            <w:vAlign w:val="center"/>
          </w:tcPr>
          <w:p>
            <w:pPr>
              <w:jc w:val="center"/>
              <w:rPr>
                <w:rFonts w:hint="eastAsia"/>
                <w:color w:val="auto"/>
                <w:sz w:val="24"/>
              </w:rPr>
            </w:pPr>
          </w:p>
          <w:p>
            <w:pPr>
              <w:jc w:val="center"/>
              <w:rPr>
                <w:rFonts w:hint="eastAsia"/>
                <w:color w:val="auto"/>
                <w:sz w:val="24"/>
              </w:rPr>
            </w:pPr>
            <w:r>
              <w:rPr>
                <w:rFonts w:hint="eastAsia"/>
                <w:color w:val="auto"/>
                <w:sz w:val="24"/>
              </w:rPr>
              <w:t>项目组成员</w:t>
            </w: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王纪鹏</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S011035000110193001260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036830</w:t>
            </w:r>
          </w:p>
        </w:tc>
        <w:tc>
          <w:tcPr>
            <w:tcW w:w="734" w:type="pc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vMerge w:val="continue"/>
            <w:tcBorders>
              <w:left w:val="single" w:color="auto" w:sz="4" w:space="0"/>
              <w:right w:val="single" w:color="auto" w:sz="4" w:space="0"/>
            </w:tcBorders>
            <w:noWrap w:val="0"/>
            <w:vAlign w:val="center"/>
          </w:tcPr>
          <w:p>
            <w:pPr>
              <w:jc w:val="center"/>
              <w:rPr>
                <w:rFonts w:hint="eastAsia"/>
                <w:color w:val="auto"/>
                <w:sz w:val="24"/>
              </w:rPr>
            </w:pP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000000"/>
                <w:sz w:val="24"/>
                <w:lang w:val="en-US" w:eastAsia="zh-CN"/>
              </w:rPr>
              <w:t>温世平</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sz w:val="24"/>
                <w:lang w:val="en-US" w:eastAsia="zh-CN"/>
              </w:rPr>
              <w:t>0800000000202793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sz w:val="24"/>
                <w:lang w:val="en-US" w:eastAsia="zh-CN"/>
              </w:rPr>
              <w:t>008088</w:t>
            </w:r>
          </w:p>
        </w:tc>
        <w:tc>
          <w:tcPr>
            <w:tcW w:w="734" w:type="pc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vMerge w:val="continue"/>
            <w:tcBorders>
              <w:left w:val="single" w:color="auto" w:sz="4" w:space="0"/>
              <w:right w:val="single" w:color="auto" w:sz="4" w:space="0"/>
            </w:tcBorders>
            <w:noWrap w:val="0"/>
            <w:vAlign w:val="center"/>
          </w:tcPr>
          <w:p>
            <w:pPr>
              <w:jc w:val="center"/>
              <w:rPr>
                <w:rFonts w:hint="eastAsia"/>
                <w:color w:val="auto"/>
                <w:sz w:val="24"/>
              </w:rPr>
            </w:pP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rPr>
              <w:t>管自强</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rPr>
              <w:t>S011035000110191000614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rPr>
              <w:t>020516</w:t>
            </w:r>
          </w:p>
        </w:tc>
        <w:tc>
          <w:tcPr>
            <w:tcW w:w="734" w:type="pc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vMerge w:val="continue"/>
            <w:tcBorders>
              <w:left w:val="single" w:color="auto" w:sz="4" w:space="0"/>
              <w:right w:val="single" w:color="auto" w:sz="4" w:space="0"/>
            </w:tcBorders>
            <w:noWrap w:val="0"/>
            <w:vAlign w:val="center"/>
          </w:tcPr>
          <w:p>
            <w:pPr>
              <w:jc w:val="center"/>
              <w:rPr>
                <w:rFonts w:hint="eastAsia"/>
                <w:color w:val="auto"/>
                <w:sz w:val="24"/>
              </w:rPr>
            </w:pPr>
          </w:p>
        </w:tc>
        <w:tc>
          <w:tcPr>
            <w:tcW w:w="6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lang w:val="en-US" w:eastAsia="zh-CN" w:bidi="ar-SA"/>
              </w:rPr>
            </w:pPr>
            <w:r>
              <w:rPr>
                <w:rFonts w:hint="eastAsia"/>
                <w:color w:val="auto"/>
                <w:sz w:val="24"/>
              </w:rPr>
              <w:t>黄伯扬</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rPr>
              <w:t>1800000000300643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lang w:val="en-US" w:eastAsia="zh-CN" w:bidi="ar-SA"/>
              </w:rPr>
            </w:pPr>
            <w:r>
              <w:rPr>
                <w:rFonts w:hint="eastAsia"/>
                <w:color w:val="auto"/>
                <w:sz w:val="24"/>
              </w:rPr>
              <w:t>032737</w:t>
            </w:r>
          </w:p>
        </w:tc>
        <w:tc>
          <w:tcPr>
            <w:tcW w:w="734" w:type="pc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vMerge w:val="continue"/>
            <w:tcBorders>
              <w:left w:val="single" w:color="auto" w:sz="4" w:space="0"/>
              <w:right w:val="single" w:color="auto" w:sz="4" w:space="0"/>
            </w:tcBorders>
            <w:noWrap w:val="0"/>
            <w:vAlign w:val="center"/>
          </w:tcPr>
          <w:p>
            <w:pPr>
              <w:jc w:val="center"/>
              <w:rPr>
                <w:rFonts w:hint="eastAsia"/>
                <w:color w:val="auto"/>
                <w:sz w:val="24"/>
              </w:rPr>
            </w:pP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lang w:eastAsia="zh-CN"/>
              </w:rPr>
              <w:t>方忠业</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lang w:val="en-US" w:eastAsia="zh-CN"/>
              </w:rPr>
              <w:t>1600000000200082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sz w:val="24"/>
                <w:szCs w:val="24"/>
                <w:lang w:val="en-US" w:eastAsia="zh-CN" w:bidi="ar-SA"/>
              </w:rPr>
            </w:pPr>
            <w:r>
              <w:rPr>
                <w:rFonts w:hint="eastAsia"/>
                <w:color w:val="auto"/>
                <w:sz w:val="24"/>
                <w:lang w:val="en-US" w:eastAsia="zh-CN"/>
              </w:rPr>
              <w:t>029926</w:t>
            </w:r>
          </w:p>
        </w:tc>
        <w:tc>
          <w:tcPr>
            <w:tcW w:w="734" w:type="pc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tcBorders>
              <w:top w:val="single" w:color="auto" w:sz="4" w:space="0"/>
              <w:left w:val="single" w:color="auto" w:sz="4" w:space="0"/>
              <w:right w:val="single" w:color="auto" w:sz="4" w:space="0"/>
            </w:tcBorders>
            <w:noWrap w:val="0"/>
            <w:vAlign w:val="center"/>
          </w:tcPr>
          <w:p>
            <w:pPr>
              <w:jc w:val="center"/>
              <w:rPr>
                <w:color w:val="auto"/>
                <w:sz w:val="24"/>
              </w:rPr>
            </w:pPr>
            <w:r>
              <w:rPr>
                <w:rFonts w:hint="eastAsia"/>
                <w:color w:val="auto"/>
                <w:sz w:val="24"/>
              </w:rPr>
              <w:t>报告编制人</w:t>
            </w: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000000"/>
                <w:sz w:val="24"/>
                <w:lang w:val="en-US" w:eastAsia="zh-CN"/>
              </w:rPr>
              <w:t>温世平</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sz w:val="24"/>
                <w:lang w:val="en-US" w:eastAsia="zh-CN"/>
              </w:rPr>
              <w:t>0800000000202793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sz w:val="24"/>
                <w:lang w:val="en-US" w:eastAsia="zh-CN"/>
              </w:rPr>
              <w:t>008088</w:t>
            </w:r>
          </w:p>
        </w:tc>
        <w:tc>
          <w:tcPr>
            <w:tcW w:w="734" w:type="pct"/>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报告审核人</w:t>
            </w: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戴  磷</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1100000000200597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019915</w:t>
            </w:r>
          </w:p>
        </w:tc>
        <w:tc>
          <w:tcPr>
            <w:tcW w:w="734"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过程控制负责人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王海波</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S011035000110201000579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color w:val="auto"/>
                <w:sz w:val="24"/>
              </w:rPr>
              <w:t>032727</w:t>
            </w:r>
          </w:p>
        </w:tc>
        <w:tc>
          <w:tcPr>
            <w:tcW w:w="734"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71"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r>
              <w:rPr>
                <w:rFonts w:hint="eastAsia"/>
                <w:color w:val="auto"/>
                <w:sz w:val="24"/>
              </w:rPr>
              <w:t>技术负责人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管自强</w:t>
            </w:r>
          </w:p>
        </w:tc>
        <w:tc>
          <w:tcPr>
            <w:tcW w:w="161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S011035000110191000614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rPr>
            </w:pPr>
            <w:r>
              <w:rPr>
                <w:rFonts w:hint="eastAsia"/>
                <w:color w:val="auto"/>
                <w:sz w:val="24"/>
              </w:rPr>
              <w:t>020516</w:t>
            </w:r>
          </w:p>
        </w:tc>
        <w:tc>
          <w:tcPr>
            <w:tcW w:w="734"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4"/>
              </w:rPr>
            </w:pPr>
          </w:p>
        </w:tc>
      </w:tr>
    </w:tbl>
    <w:p>
      <w:pPr>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widowControl/>
        <w:spacing w:line="500" w:lineRule="exact"/>
        <w:jc w:val="center"/>
        <w:rPr>
          <w:rFonts w:ascii="宋体" w:hAnsi="宋体"/>
          <w:b/>
          <w:color w:val="auto"/>
          <w:sz w:val="32"/>
          <w:szCs w:val="32"/>
        </w:rPr>
      </w:pPr>
      <w:r>
        <w:rPr>
          <w:rFonts w:hint="eastAsia" w:ascii="宋体" w:hAnsi="宋体"/>
          <w:b/>
          <w:color w:val="auto"/>
          <w:sz w:val="32"/>
          <w:szCs w:val="32"/>
        </w:rPr>
        <w:t>前</w:t>
      </w:r>
      <w:r>
        <w:rPr>
          <w:rFonts w:hint="eastAsia" w:ascii="宋体" w:hAnsi="宋体"/>
          <w:b/>
          <w:color w:val="auto"/>
          <w:sz w:val="32"/>
          <w:szCs w:val="32"/>
          <w:lang w:val="en-US" w:eastAsia="zh-CN"/>
        </w:rPr>
        <w:t xml:space="preserve">  </w:t>
      </w:r>
      <w:r>
        <w:rPr>
          <w:rFonts w:ascii="宋体" w:hAnsi="宋体"/>
          <w:b/>
          <w:color w:val="auto"/>
          <w:sz w:val="32"/>
          <w:szCs w:val="32"/>
        </w:rPr>
        <w:t xml:space="preserve"> </w:t>
      </w:r>
      <w:r>
        <w:rPr>
          <w:rFonts w:hint="eastAsia" w:ascii="宋体" w:hAnsi="宋体"/>
          <w:b/>
          <w:color w:val="auto"/>
          <w:sz w:val="32"/>
          <w:szCs w:val="32"/>
        </w:rPr>
        <w:t>言</w:t>
      </w:r>
    </w:p>
    <w:p>
      <w:pPr>
        <w:widowControl/>
        <w:spacing w:line="500" w:lineRule="exact"/>
        <w:ind w:firstLine="480" w:firstLineChars="200"/>
        <w:rPr>
          <w:rFonts w:hint="eastAsia" w:ascii="宋体" w:hAnsi="宋体"/>
          <w:bCs/>
          <w:color w:val="auto"/>
          <w:kern w:val="24"/>
          <w:sz w:val="24"/>
        </w:rPr>
      </w:pPr>
    </w:p>
    <w:p>
      <w:pPr>
        <w:widowControl/>
        <w:spacing w:line="500" w:lineRule="exact"/>
        <w:ind w:firstLine="480" w:firstLineChars="200"/>
        <w:rPr>
          <w:rFonts w:ascii="宋体" w:hAnsi="宋体"/>
          <w:bCs/>
          <w:color w:val="auto"/>
          <w:kern w:val="24"/>
          <w:sz w:val="24"/>
        </w:rPr>
      </w:pPr>
      <w:r>
        <w:rPr>
          <w:rFonts w:hint="eastAsia" w:ascii="宋体" w:hAnsi="宋体"/>
          <w:bCs/>
          <w:color w:val="auto"/>
          <w:kern w:val="24"/>
          <w:sz w:val="24"/>
        </w:rPr>
        <w:t>军营高岭土矿分公司</w:t>
      </w:r>
      <w:r>
        <w:rPr>
          <w:rFonts w:ascii="宋体" w:hAnsi="宋体"/>
          <w:bCs/>
          <w:color w:val="auto"/>
          <w:kern w:val="24"/>
          <w:sz w:val="24"/>
        </w:rPr>
        <w:t>采矿权人为</w:t>
      </w:r>
      <w:r>
        <w:rPr>
          <w:rFonts w:hint="eastAsia" w:ascii="宋体" w:hAnsi="宋体"/>
          <w:bCs/>
          <w:color w:val="auto"/>
          <w:kern w:val="24"/>
          <w:sz w:val="24"/>
        </w:rPr>
        <w:t>兴宁市守元矿业有限公司，</w:t>
      </w:r>
      <w:r>
        <w:rPr>
          <w:rFonts w:ascii="宋体" w:hAnsi="宋体"/>
          <w:bCs/>
          <w:color w:val="auto"/>
          <w:kern w:val="24"/>
          <w:sz w:val="24"/>
        </w:rPr>
        <w:t>是一家开采</w:t>
      </w:r>
      <w:r>
        <w:rPr>
          <w:rFonts w:hint="eastAsia" w:ascii="宋体" w:hAnsi="宋体"/>
          <w:bCs/>
          <w:color w:val="auto"/>
          <w:kern w:val="24"/>
          <w:sz w:val="24"/>
        </w:rPr>
        <w:t>高岭土的矿山</w:t>
      </w:r>
      <w:r>
        <w:rPr>
          <w:rFonts w:ascii="宋体" w:hAnsi="宋体"/>
          <w:bCs/>
          <w:color w:val="auto"/>
          <w:kern w:val="24"/>
          <w:sz w:val="24"/>
        </w:rPr>
        <w:t>企业，行政区划隶属</w:t>
      </w:r>
      <w:r>
        <w:rPr>
          <w:rFonts w:hint="eastAsia" w:ascii="宋体" w:hAnsi="宋体"/>
          <w:bCs/>
          <w:color w:val="auto"/>
          <w:kern w:val="24"/>
          <w:sz w:val="24"/>
        </w:rPr>
        <w:t>梅州市兴宁市新圩镇管辖</w:t>
      </w:r>
      <w:r>
        <w:rPr>
          <w:rFonts w:ascii="宋体" w:hAnsi="宋体"/>
          <w:bCs/>
          <w:color w:val="auto"/>
          <w:kern w:val="24"/>
          <w:sz w:val="24"/>
        </w:rPr>
        <w:t>。</w:t>
      </w:r>
    </w:p>
    <w:p>
      <w:pPr>
        <w:widowControl/>
        <w:spacing w:line="500" w:lineRule="exact"/>
        <w:ind w:firstLine="480" w:firstLineChars="200"/>
        <w:rPr>
          <w:rFonts w:ascii="宋体" w:hAnsi="宋体"/>
          <w:bCs/>
          <w:color w:val="auto"/>
          <w:kern w:val="24"/>
          <w:sz w:val="24"/>
          <w:lang w:bidi="en-US"/>
        </w:rPr>
      </w:pPr>
      <w:r>
        <w:rPr>
          <w:rFonts w:hint="eastAsia" w:ascii="宋体" w:hAnsi="宋体"/>
          <w:bCs/>
          <w:color w:val="auto"/>
          <w:kern w:val="24"/>
          <w:sz w:val="24"/>
          <w:lang w:bidi="en-US"/>
        </w:rPr>
        <w:t>兴宁市守元矿业有限公司于2023年4月13日取得兴宁市市场监督管理局核发的《营业执照》，统一社会信用代码：914414816771261589 ；法定代表人：廖放东；类型：有限责任公司（自然人投资或控股的法人独资）；成立日期：2008年7月23日；企业住所：兴宁市新圩镇石崖村S225线竹塘尾；经营范围：许可项目：非煤矿山矿产资源开采。（依法须经批准的项目，经相关部门批准后方可开展经营活动，具体经营项目以相关部门批准文件或许可证件为准）一般项目：非金属矿及制品销售；金属矿石销售；选矿；非金属废料和碎屑加工处理；矿物洗选加工；稀土功能材料销售；新型陶瓷材料销售；非金属矿物制品制造。（除依法须经批准的项目外，凭营业执照依法自主开展经营活动）。</w:t>
      </w:r>
    </w:p>
    <w:p>
      <w:pPr>
        <w:widowControl/>
        <w:spacing w:line="500" w:lineRule="exact"/>
        <w:ind w:firstLine="480" w:firstLineChars="200"/>
        <w:rPr>
          <w:rFonts w:ascii="宋体" w:hAnsi="宋体"/>
          <w:bCs/>
          <w:color w:val="auto"/>
          <w:kern w:val="24"/>
          <w:sz w:val="24"/>
          <w:lang w:bidi="en-US"/>
        </w:rPr>
      </w:pPr>
      <w:r>
        <w:rPr>
          <w:rFonts w:hint="eastAsia" w:ascii="宋体" w:hAnsi="宋体"/>
          <w:bCs/>
          <w:color w:val="auto"/>
          <w:kern w:val="24"/>
          <w:sz w:val="24"/>
          <w:lang w:bidi="en-US"/>
        </w:rPr>
        <w:t>矿山原生产规模为3万t/年，未能达到《梅州市矿产资源总体规划（2021－2025年）》所规定的高岭土最低生产规模5万t/年，矿山拟通过技改扩能、升级改造等措施，将生产规模由3万吨/年提高至5万吨/年。</w:t>
      </w:r>
    </w:p>
    <w:p>
      <w:pPr>
        <w:widowControl/>
        <w:spacing w:line="500" w:lineRule="exact"/>
        <w:ind w:firstLine="480" w:firstLineChars="200"/>
        <w:rPr>
          <w:rFonts w:ascii="宋体" w:hAnsi="宋体"/>
          <w:color w:val="auto"/>
          <w:kern w:val="24"/>
          <w:sz w:val="24"/>
        </w:rPr>
      </w:pPr>
      <w:r>
        <w:rPr>
          <w:rFonts w:hint="eastAsia" w:ascii="宋体" w:hAnsi="宋体"/>
          <w:bCs/>
          <w:color w:val="auto"/>
          <w:kern w:val="24"/>
          <w:sz w:val="24"/>
          <w:lang w:bidi="en-US"/>
        </w:rPr>
        <w:t>矿山于2023年9月21日取得兴宁市自然资源局核发的《采矿许可证》，证号：C4414812014087130135349；开采矿种：高岭土，开采方式：露天开采，生产规模：5万吨/年，矿区面积：0.1522km</w:t>
      </w:r>
      <w:r>
        <w:rPr>
          <w:rFonts w:hint="eastAsia" w:ascii="宋体" w:hAnsi="宋体"/>
          <w:bCs/>
          <w:color w:val="auto"/>
          <w:kern w:val="24"/>
          <w:sz w:val="24"/>
          <w:vertAlign w:val="superscript"/>
          <w:lang w:bidi="en-US"/>
        </w:rPr>
        <w:t>2</w:t>
      </w:r>
      <w:r>
        <w:rPr>
          <w:rFonts w:hint="eastAsia" w:ascii="宋体" w:hAnsi="宋体"/>
          <w:bCs/>
          <w:color w:val="auto"/>
          <w:kern w:val="24"/>
          <w:sz w:val="24"/>
          <w:lang w:bidi="en-US"/>
        </w:rPr>
        <w:t>，允许</w:t>
      </w:r>
      <w:r>
        <w:rPr>
          <w:rFonts w:ascii="宋体" w:hAnsi="宋体"/>
          <w:bCs/>
          <w:color w:val="auto"/>
          <w:kern w:val="24"/>
          <w:sz w:val="24"/>
          <w:lang w:bidi="en-US"/>
        </w:rPr>
        <w:t>开采</w:t>
      </w:r>
      <w:r>
        <w:rPr>
          <w:rFonts w:hint="eastAsia" w:ascii="宋体" w:hAnsi="宋体"/>
          <w:bCs/>
          <w:color w:val="auto"/>
          <w:kern w:val="24"/>
          <w:sz w:val="24"/>
          <w:lang w:bidi="en-US"/>
        </w:rPr>
        <w:t>标高+375m～+250m；有效期限2023年8月29日至2028年8月29日。</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根据《非煤矿矿山企业安全生产许可证实施办法》、《关于加强建设项目安全设施“三同时”工作的通知》、《建设项目安全设施‘三同时’监督管理办法》等要求，该矿山委托江西赣安安全生产科学技术咨询服务中心对其新建项目进行安全预评价。</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我中心于20</w:t>
      </w:r>
      <w:r>
        <w:rPr>
          <w:rFonts w:ascii="宋体" w:hAnsi="宋体"/>
          <w:color w:val="auto"/>
          <w:kern w:val="24"/>
          <w:sz w:val="24"/>
        </w:rPr>
        <w:t>23</w:t>
      </w:r>
      <w:r>
        <w:rPr>
          <w:rFonts w:hint="eastAsia" w:ascii="宋体" w:hAnsi="宋体"/>
          <w:color w:val="auto"/>
          <w:kern w:val="24"/>
          <w:sz w:val="24"/>
        </w:rPr>
        <w:t>年</w:t>
      </w:r>
      <w:r>
        <w:rPr>
          <w:rFonts w:ascii="宋体" w:hAnsi="宋体"/>
          <w:color w:val="auto"/>
          <w:kern w:val="24"/>
          <w:sz w:val="24"/>
        </w:rPr>
        <w:t>9</w:t>
      </w:r>
      <w:r>
        <w:rPr>
          <w:rFonts w:hint="eastAsia" w:ascii="宋体" w:hAnsi="宋体"/>
          <w:color w:val="auto"/>
          <w:kern w:val="24"/>
          <w:sz w:val="24"/>
        </w:rPr>
        <w:t>月接受委托后，组织采矿、地质、安全工程等相关专业人员组成了评价小组，</w:t>
      </w:r>
      <w:r>
        <w:rPr>
          <w:rFonts w:ascii="宋体" w:hAnsi="宋体"/>
          <w:color w:val="auto"/>
          <w:kern w:val="24"/>
          <w:sz w:val="24"/>
        </w:rPr>
        <w:t>于2023年9月30日</w:t>
      </w:r>
      <w:r>
        <w:rPr>
          <w:rFonts w:hint="eastAsia" w:ascii="宋体" w:hAnsi="宋体"/>
          <w:color w:val="auto"/>
          <w:kern w:val="24"/>
          <w:sz w:val="24"/>
        </w:rPr>
        <w:t>进入现场，</w:t>
      </w:r>
      <w:r>
        <w:rPr>
          <w:rFonts w:ascii="宋体" w:hAnsi="宋体"/>
          <w:color w:val="auto"/>
          <w:kern w:val="24"/>
          <w:sz w:val="24"/>
        </w:rPr>
        <w:t>通过对该建设项目的现场勘察、资料的查阅，经过与建设单位一起收集资料，并对部分安全技术问题</w:t>
      </w:r>
      <w:r>
        <w:rPr>
          <w:rFonts w:hint="eastAsia" w:ascii="宋体" w:hAnsi="宋体"/>
          <w:color w:val="auto"/>
          <w:kern w:val="24"/>
          <w:sz w:val="24"/>
        </w:rPr>
        <w:t>及资料问题</w:t>
      </w:r>
      <w:r>
        <w:rPr>
          <w:rFonts w:ascii="宋体" w:hAnsi="宋体"/>
          <w:color w:val="auto"/>
          <w:kern w:val="24"/>
          <w:sz w:val="24"/>
        </w:rPr>
        <w:t>进行探讨，</w:t>
      </w:r>
      <w:r>
        <w:rPr>
          <w:rFonts w:hint="eastAsia" w:ascii="宋体" w:hAnsi="宋体"/>
          <w:color w:val="auto"/>
          <w:kern w:val="24"/>
          <w:sz w:val="24"/>
        </w:rPr>
        <w:t>并多次与矿方进行沟通，</w:t>
      </w:r>
      <w:r>
        <w:rPr>
          <w:rFonts w:ascii="宋体" w:hAnsi="宋体"/>
          <w:color w:val="auto"/>
          <w:kern w:val="24"/>
          <w:sz w:val="24"/>
        </w:rPr>
        <w:t>在达成共识的基础上进行了安全预评价报告的编制</w:t>
      </w:r>
      <w:r>
        <w:rPr>
          <w:rFonts w:hint="eastAsia" w:ascii="宋体" w:hAnsi="宋体"/>
          <w:color w:val="auto"/>
          <w:kern w:val="24"/>
          <w:sz w:val="24"/>
        </w:rPr>
        <w:t>。</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本报告根据国家的相关安全生产法律、法规和相关技术标准，分析和预测该项目可行性研究报告所采用的生产工艺、装置、设备、总平面布置和辅助设施以及配套安全设施与相关法律、法规、标准、规范的符合性；运用模拟法和类推原理对企业在建设、生产活动中可能存在的危险有害因素进行了辨识。选用了安全检查表分析和预先危险性分析二种评价方法，进行定性定量的分析评价。针对评价结果提出相应的对策措施和建议，并给出安全预评价结论，为新建项目今后的安全设施设计提供参考依据，同时也可作为省、市、区（县）级应急管理局对该项目“三同时”工作实施监督管理的重要内容之一。</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本报告依据《安全评价通则》（AQ8001-2007）、《安全预评价导则》（AQ8002-2007）、《国家安全监管总局关于印发金属非金属矿山建设项目安全评价报告编写提纲的通知》（安监总管一[2016</w:t>
      </w:r>
      <w:r>
        <w:rPr>
          <w:rFonts w:ascii="宋体" w:hAnsi="宋体"/>
          <w:color w:val="auto"/>
          <w:kern w:val="24"/>
          <w:sz w:val="24"/>
        </w:rPr>
        <w:t>]</w:t>
      </w:r>
      <w:r>
        <w:rPr>
          <w:rFonts w:hint="eastAsia" w:ascii="宋体" w:hAnsi="宋体"/>
          <w:color w:val="auto"/>
          <w:kern w:val="24"/>
          <w:sz w:val="24"/>
        </w:rPr>
        <w:t>49号）附件2提纲的规定进行编写。</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在本次安全评价的过程中，我们得到当地应急管理局和业主的大力支持和帮助，使整个评价工作得以顺利开展，在此、表示衷心地感谢。</w:t>
      </w:r>
    </w:p>
    <w:p>
      <w:pPr>
        <w:widowControl/>
        <w:spacing w:line="500" w:lineRule="exact"/>
        <w:jc w:val="center"/>
        <w:rPr>
          <w:rFonts w:ascii="宋体" w:hAnsi="宋体"/>
          <w:color w:val="auto"/>
          <w:sz w:val="32"/>
          <w:szCs w:val="32"/>
        </w:rPr>
      </w:pPr>
      <w:r>
        <w:rPr>
          <w:rFonts w:ascii="宋体" w:hAnsi="宋体"/>
          <w:color w:val="auto"/>
          <w:sz w:val="28"/>
          <w:szCs w:val="28"/>
        </w:rPr>
        <w:br w:type="page"/>
      </w:r>
      <w:r>
        <w:rPr>
          <w:rFonts w:ascii="宋体" w:hAnsi="宋体"/>
          <w:b/>
          <w:color w:val="auto"/>
          <w:sz w:val="32"/>
          <w:szCs w:val="32"/>
        </w:rPr>
        <w:t xml:space="preserve">目 </w:t>
      </w:r>
      <w:r>
        <w:rPr>
          <w:rFonts w:hint="eastAsia" w:ascii="宋体" w:hAnsi="宋体"/>
          <w:b/>
          <w:color w:val="auto"/>
          <w:sz w:val="32"/>
          <w:szCs w:val="32"/>
          <w:lang w:val="en-US" w:eastAsia="zh-CN"/>
        </w:rPr>
        <w:t xml:space="preserve">   </w:t>
      </w:r>
      <w:r>
        <w:rPr>
          <w:rFonts w:ascii="宋体" w:hAnsi="宋体"/>
          <w:b/>
          <w:color w:val="auto"/>
          <w:sz w:val="32"/>
          <w:szCs w:val="32"/>
        </w:rPr>
        <w:t>录</w:t>
      </w:r>
      <w:bookmarkEnd w:id="0"/>
      <w:bookmarkEnd w:id="1"/>
      <w:bookmarkEnd w:id="2"/>
      <w:bookmarkEnd w:id="3"/>
      <w:bookmarkEnd w:id="4"/>
      <w:bookmarkEnd w:id="5"/>
      <w:bookmarkEnd w:id="6"/>
      <w:bookmarkEnd w:id="7"/>
      <w:bookmarkEnd w:id="8"/>
      <w:bookmarkStart w:id="11" w:name="_Toc146159852"/>
      <w:bookmarkStart w:id="12" w:name="_Toc149559778"/>
      <w:bookmarkStart w:id="13" w:name="_Toc158167823"/>
      <w:bookmarkStart w:id="14" w:name="_Toc143420539"/>
      <w:bookmarkStart w:id="15" w:name="_Toc144557961"/>
      <w:bookmarkStart w:id="16" w:name="_Toc158167936"/>
      <w:bookmarkStart w:id="17" w:name="_Toc156811356"/>
    </w:p>
    <w:p>
      <w:pPr>
        <w:pStyle w:val="29"/>
        <w:spacing w:before="0" w:after="0"/>
        <w:rPr>
          <w:rFonts w:hint="eastAsia" w:ascii="宋体" w:eastAsia="宋体"/>
          <w:color w:val="auto"/>
        </w:rPr>
      </w:pPr>
      <w:r>
        <w:rPr>
          <w:rFonts w:hint="eastAsia" w:ascii="宋体" w:eastAsia="宋体"/>
          <w:color w:val="auto"/>
        </w:rPr>
        <w:fldChar w:fldCharType="begin"/>
      </w:r>
      <w:r>
        <w:rPr>
          <w:rFonts w:hint="eastAsia" w:ascii="宋体" w:eastAsia="宋体"/>
          <w:color w:val="auto"/>
        </w:rPr>
        <w:instrText xml:space="preserve"> TOC \o "1-2" \h \z \u </w:instrText>
      </w:r>
      <w:r>
        <w:rPr>
          <w:rFonts w:hint="eastAsia" w:ascii="宋体" w:eastAsia="宋体"/>
          <w:color w:val="auto"/>
        </w:rPr>
        <w:fldChar w:fldCharType="separate"/>
      </w:r>
    </w:p>
    <w:p>
      <w:pPr>
        <w:pStyle w:val="29"/>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ascii="宋体" w:eastAsia="宋体"/>
          <w:b/>
          <w:bCs w:val="0"/>
          <w:caps w:val="0"/>
          <w:color w:val="auto"/>
          <w:sz w:val="24"/>
          <w:szCs w:val="24"/>
        </w:rPr>
      </w:pPr>
      <w:r>
        <w:rPr>
          <w:b/>
          <w:bCs w:val="0"/>
          <w:color w:val="auto"/>
          <w:sz w:val="24"/>
          <w:szCs w:val="24"/>
        </w:rPr>
        <w:fldChar w:fldCharType="begin"/>
      </w:r>
      <w:r>
        <w:rPr>
          <w:b/>
          <w:bCs w:val="0"/>
          <w:color w:val="auto"/>
          <w:sz w:val="24"/>
          <w:szCs w:val="24"/>
        </w:rPr>
        <w:instrText xml:space="preserve"> HYPERLINK \l "_Toc150262766" </w:instrText>
      </w:r>
      <w:r>
        <w:rPr>
          <w:b/>
          <w:bCs w:val="0"/>
          <w:color w:val="auto"/>
          <w:sz w:val="24"/>
          <w:szCs w:val="24"/>
        </w:rPr>
        <w:fldChar w:fldCharType="separate"/>
      </w:r>
      <w:r>
        <w:rPr>
          <w:rStyle w:val="47"/>
          <w:rFonts w:ascii="宋体" w:eastAsia="宋体"/>
          <w:b/>
          <w:bCs w:val="0"/>
          <w:color w:val="auto"/>
          <w:kern w:val="30"/>
          <w:sz w:val="24"/>
          <w:szCs w:val="24"/>
        </w:rPr>
        <w:t>1评价对象与依据</w:t>
      </w:r>
      <w:r>
        <w:rPr>
          <w:rFonts w:ascii="宋体" w:eastAsia="宋体"/>
          <w:b/>
          <w:bCs w:val="0"/>
          <w:color w:val="auto"/>
          <w:sz w:val="24"/>
          <w:szCs w:val="24"/>
        </w:rPr>
        <w:tab/>
      </w:r>
      <w:r>
        <w:rPr>
          <w:rFonts w:ascii="宋体" w:eastAsia="宋体"/>
          <w:b/>
          <w:bCs w:val="0"/>
          <w:color w:val="auto"/>
          <w:sz w:val="24"/>
          <w:szCs w:val="24"/>
        </w:rPr>
        <w:fldChar w:fldCharType="begin"/>
      </w:r>
      <w:r>
        <w:rPr>
          <w:rFonts w:ascii="宋体" w:eastAsia="宋体"/>
          <w:b/>
          <w:bCs w:val="0"/>
          <w:color w:val="auto"/>
          <w:sz w:val="24"/>
          <w:szCs w:val="24"/>
        </w:rPr>
        <w:instrText xml:space="preserve"> PAGEREF _Toc150262766 \h </w:instrText>
      </w:r>
      <w:r>
        <w:rPr>
          <w:rFonts w:ascii="宋体" w:eastAsia="宋体"/>
          <w:b/>
          <w:bCs w:val="0"/>
          <w:color w:val="auto"/>
          <w:sz w:val="24"/>
          <w:szCs w:val="24"/>
        </w:rPr>
        <w:fldChar w:fldCharType="separate"/>
      </w:r>
      <w:r>
        <w:rPr>
          <w:rFonts w:ascii="宋体" w:eastAsia="宋体"/>
          <w:b/>
          <w:bCs w:val="0"/>
          <w:color w:val="auto"/>
          <w:sz w:val="24"/>
          <w:szCs w:val="24"/>
        </w:rPr>
        <w:t>1</w:t>
      </w:r>
      <w:r>
        <w:rPr>
          <w:rFonts w:ascii="宋体" w:eastAsia="宋体"/>
          <w:b/>
          <w:bCs w:val="0"/>
          <w:color w:val="auto"/>
          <w:sz w:val="24"/>
          <w:szCs w:val="24"/>
        </w:rPr>
        <w:fldChar w:fldCharType="end"/>
      </w:r>
      <w:r>
        <w:rPr>
          <w:rFonts w:ascii="宋体" w:eastAsia="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"_Toc150262767" </w:instrText>
      </w:r>
      <w:r>
        <w:rPr>
          <w:b/>
          <w:bCs w:val="0"/>
          <w:color w:val="auto"/>
          <w:sz w:val="24"/>
          <w:szCs w:val="24"/>
        </w:rPr>
        <w:fldChar w:fldCharType="separate"/>
      </w:r>
      <w:r>
        <w:rPr>
          <w:rStyle w:val="47"/>
          <w:rFonts w:ascii="宋体" w:hAnsi="宋体"/>
          <w:b/>
          <w:bCs w:val="0"/>
          <w:color w:val="auto"/>
          <w:kern w:val="28"/>
          <w:sz w:val="24"/>
          <w:szCs w:val="24"/>
        </w:rPr>
        <w:t>1.1评价对象和范围</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_Toc150262767 \h </w:instrText>
      </w:r>
      <w:r>
        <w:rPr>
          <w:rFonts w:ascii="宋体" w:hAnsi="宋体"/>
          <w:b/>
          <w:bCs w:val="0"/>
          <w:color w:val="auto"/>
          <w:sz w:val="24"/>
          <w:szCs w:val="24"/>
        </w:rPr>
        <w:fldChar w:fldCharType="separate"/>
      </w:r>
      <w:r>
        <w:rPr>
          <w:rFonts w:ascii="宋体" w:hAnsi="宋体"/>
          <w:b/>
          <w:bCs w:val="0"/>
          <w:color w:val="auto"/>
          <w:sz w:val="24"/>
          <w:szCs w:val="24"/>
        </w:rPr>
        <w:t>1</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"_Toc150262768" </w:instrText>
      </w:r>
      <w:r>
        <w:rPr>
          <w:b/>
          <w:bCs w:val="0"/>
          <w:color w:val="auto"/>
          <w:sz w:val="24"/>
          <w:szCs w:val="24"/>
        </w:rPr>
        <w:fldChar w:fldCharType="separate"/>
      </w:r>
      <w:r>
        <w:rPr>
          <w:rStyle w:val="47"/>
          <w:rFonts w:ascii="宋体" w:hAnsi="宋体"/>
          <w:b/>
          <w:bCs w:val="0"/>
          <w:color w:val="auto"/>
          <w:kern w:val="28"/>
          <w:sz w:val="24"/>
          <w:szCs w:val="24"/>
        </w:rPr>
        <w:t>1.2评价依据</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_Toc150262768 \h </w:instrText>
      </w:r>
      <w:r>
        <w:rPr>
          <w:rFonts w:ascii="宋体" w:hAnsi="宋体"/>
          <w:b/>
          <w:bCs w:val="0"/>
          <w:color w:val="auto"/>
          <w:sz w:val="24"/>
          <w:szCs w:val="24"/>
        </w:rPr>
        <w:fldChar w:fldCharType="separate"/>
      </w:r>
      <w:r>
        <w:rPr>
          <w:rFonts w:ascii="宋体" w:hAnsi="宋体"/>
          <w:b/>
          <w:bCs w:val="0"/>
          <w:color w:val="auto"/>
          <w:sz w:val="24"/>
          <w:szCs w:val="24"/>
        </w:rPr>
        <w:t>1</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29"/>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ascii="宋体" w:eastAsia="宋体"/>
          <w:b/>
          <w:bCs w:val="0"/>
          <w:caps w:val="0"/>
          <w:color w:val="auto"/>
          <w:sz w:val="24"/>
          <w:szCs w:val="24"/>
        </w:rPr>
      </w:pPr>
      <w:r>
        <w:rPr>
          <w:b/>
          <w:bCs w:val="0"/>
          <w:color w:val="auto"/>
          <w:sz w:val="24"/>
          <w:szCs w:val="24"/>
        </w:rPr>
        <w:fldChar w:fldCharType="begin"/>
      </w:r>
      <w:r>
        <w:rPr>
          <w:b/>
          <w:bCs w:val="0"/>
          <w:color w:val="auto"/>
          <w:sz w:val="24"/>
          <w:szCs w:val="24"/>
        </w:rPr>
        <w:instrText xml:space="preserve"> HYPERLINK \l "_Toc150262769" </w:instrText>
      </w:r>
      <w:r>
        <w:rPr>
          <w:b/>
          <w:bCs w:val="0"/>
          <w:color w:val="auto"/>
          <w:sz w:val="24"/>
          <w:szCs w:val="24"/>
        </w:rPr>
        <w:fldChar w:fldCharType="separate"/>
      </w:r>
      <w:r>
        <w:rPr>
          <w:rStyle w:val="47"/>
          <w:rFonts w:ascii="宋体" w:eastAsia="宋体"/>
          <w:b/>
          <w:bCs w:val="0"/>
          <w:color w:val="auto"/>
          <w:kern w:val="30"/>
          <w:sz w:val="24"/>
          <w:szCs w:val="24"/>
        </w:rPr>
        <w:t>2建设项目概述</w:t>
      </w:r>
      <w:r>
        <w:rPr>
          <w:rFonts w:ascii="宋体" w:eastAsia="宋体"/>
          <w:b/>
          <w:bCs w:val="0"/>
          <w:color w:val="auto"/>
          <w:sz w:val="24"/>
          <w:szCs w:val="24"/>
        </w:rPr>
        <w:tab/>
      </w:r>
      <w:r>
        <w:rPr>
          <w:rFonts w:ascii="宋体" w:eastAsia="宋体"/>
          <w:b/>
          <w:bCs w:val="0"/>
          <w:color w:val="auto"/>
          <w:sz w:val="24"/>
          <w:szCs w:val="24"/>
        </w:rPr>
        <w:fldChar w:fldCharType="begin"/>
      </w:r>
      <w:r>
        <w:rPr>
          <w:rFonts w:ascii="宋体" w:eastAsia="宋体"/>
          <w:b/>
          <w:bCs w:val="0"/>
          <w:color w:val="auto"/>
          <w:sz w:val="24"/>
          <w:szCs w:val="24"/>
        </w:rPr>
        <w:instrText xml:space="preserve"> PAGEREF _Toc150262769 \h </w:instrText>
      </w:r>
      <w:r>
        <w:rPr>
          <w:rFonts w:ascii="宋体" w:eastAsia="宋体"/>
          <w:b/>
          <w:bCs w:val="0"/>
          <w:color w:val="auto"/>
          <w:sz w:val="24"/>
          <w:szCs w:val="24"/>
        </w:rPr>
        <w:fldChar w:fldCharType="separate"/>
      </w:r>
      <w:r>
        <w:rPr>
          <w:rFonts w:ascii="宋体" w:eastAsia="宋体"/>
          <w:b/>
          <w:bCs w:val="0"/>
          <w:color w:val="auto"/>
          <w:sz w:val="24"/>
          <w:szCs w:val="24"/>
        </w:rPr>
        <w:t>9</w:t>
      </w:r>
      <w:r>
        <w:rPr>
          <w:rFonts w:ascii="宋体" w:eastAsia="宋体"/>
          <w:b/>
          <w:bCs w:val="0"/>
          <w:color w:val="auto"/>
          <w:sz w:val="24"/>
          <w:szCs w:val="24"/>
        </w:rPr>
        <w:fldChar w:fldCharType="end"/>
      </w:r>
      <w:r>
        <w:rPr>
          <w:rFonts w:ascii="宋体" w:eastAsia="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"_Toc150262770" </w:instrText>
      </w:r>
      <w:r>
        <w:rPr>
          <w:b/>
          <w:bCs w:val="0"/>
          <w:color w:val="auto"/>
          <w:sz w:val="24"/>
          <w:szCs w:val="24"/>
        </w:rPr>
        <w:fldChar w:fldCharType="separate"/>
      </w:r>
      <w:r>
        <w:rPr>
          <w:rStyle w:val="47"/>
          <w:rFonts w:ascii="宋体" w:hAnsi="宋体"/>
          <w:b/>
          <w:bCs w:val="0"/>
          <w:color w:val="auto"/>
          <w:kern w:val="28"/>
          <w:sz w:val="24"/>
          <w:szCs w:val="24"/>
        </w:rPr>
        <w:t>2.1建设单位概况</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_Toc150262770 \h </w:instrText>
      </w:r>
      <w:r>
        <w:rPr>
          <w:rFonts w:ascii="宋体" w:hAnsi="宋体"/>
          <w:b/>
          <w:bCs w:val="0"/>
          <w:color w:val="auto"/>
          <w:sz w:val="24"/>
          <w:szCs w:val="24"/>
        </w:rPr>
        <w:fldChar w:fldCharType="separate"/>
      </w:r>
      <w:r>
        <w:rPr>
          <w:rFonts w:ascii="宋体" w:hAnsi="宋体"/>
          <w:b/>
          <w:bCs w:val="0"/>
          <w:color w:val="auto"/>
          <w:sz w:val="24"/>
          <w:szCs w:val="24"/>
        </w:rPr>
        <w:t>9</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"_Toc150262771" </w:instrText>
      </w:r>
      <w:r>
        <w:rPr>
          <w:b/>
          <w:bCs w:val="0"/>
          <w:color w:val="auto"/>
          <w:sz w:val="24"/>
          <w:szCs w:val="24"/>
        </w:rPr>
        <w:fldChar w:fldCharType="separate"/>
      </w:r>
      <w:r>
        <w:rPr>
          <w:rStyle w:val="47"/>
          <w:rFonts w:ascii="宋体" w:hAnsi="宋体"/>
          <w:b/>
          <w:bCs w:val="0"/>
          <w:color w:val="auto"/>
          <w:kern w:val="28"/>
          <w:sz w:val="24"/>
          <w:szCs w:val="24"/>
        </w:rPr>
        <w:t>2.2自然环境概况</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_Toc150262771 \h </w:instrText>
      </w:r>
      <w:r>
        <w:rPr>
          <w:rFonts w:ascii="宋体" w:hAnsi="宋体"/>
          <w:b/>
          <w:bCs w:val="0"/>
          <w:color w:val="auto"/>
          <w:sz w:val="24"/>
          <w:szCs w:val="24"/>
        </w:rPr>
        <w:fldChar w:fldCharType="separate"/>
      </w:r>
      <w:r>
        <w:rPr>
          <w:rFonts w:ascii="宋体" w:hAnsi="宋体"/>
          <w:b/>
          <w:bCs w:val="0"/>
          <w:color w:val="auto"/>
          <w:sz w:val="24"/>
          <w:szCs w:val="24"/>
        </w:rPr>
        <w:t>10</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"_Toc150262772" </w:instrText>
      </w:r>
      <w:r>
        <w:rPr>
          <w:b/>
          <w:bCs w:val="0"/>
          <w:color w:val="auto"/>
          <w:sz w:val="24"/>
          <w:szCs w:val="24"/>
        </w:rPr>
        <w:fldChar w:fldCharType="separate"/>
      </w:r>
      <w:r>
        <w:rPr>
          <w:rStyle w:val="47"/>
          <w:rFonts w:ascii="宋体" w:hAnsi="宋体"/>
          <w:b/>
          <w:bCs w:val="0"/>
          <w:color w:val="auto"/>
          <w:kern w:val="28"/>
          <w:sz w:val="24"/>
          <w:szCs w:val="24"/>
        </w:rPr>
        <w:t>2.3地质概况</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_Toc150262772 \h </w:instrText>
      </w:r>
      <w:r>
        <w:rPr>
          <w:rFonts w:ascii="宋体" w:hAnsi="宋体"/>
          <w:b/>
          <w:bCs w:val="0"/>
          <w:color w:val="auto"/>
          <w:sz w:val="24"/>
          <w:szCs w:val="24"/>
        </w:rPr>
        <w:fldChar w:fldCharType="separate"/>
      </w:r>
      <w:r>
        <w:rPr>
          <w:rFonts w:ascii="宋体" w:hAnsi="宋体"/>
          <w:b/>
          <w:bCs w:val="0"/>
          <w:color w:val="auto"/>
          <w:sz w:val="24"/>
          <w:szCs w:val="24"/>
        </w:rPr>
        <w:t>11</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"_Toc150262773" </w:instrText>
      </w:r>
      <w:r>
        <w:rPr>
          <w:b/>
          <w:bCs w:val="0"/>
          <w:color w:val="auto"/>
          <w:sz w:val="24"/>
          <w:szCs w:val="24"/>
        </w:rPr>
        <w:fldChar w:fldCharType="separate"/>
      </w:r>
      <w:r>
        <w:rPr>
          <w:rStyle w:val="47"/>
          <w:rFonts w:ascii="宋体" w:hAnsi="宋体"/>
          <w:b/>
          <w:bCs w:val="0"/>
          <w:color w:val="auto"/>
          <w:kern w:val="28"/>
          <w:sz w:val="24"/>
          <w:szCs w:val="24"/>
        </w:rPr>
        <w:t>2.4工程建设方案概况</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_Toc150262773 \h </w:instrText>
      </w:r>
      <w:r>
        <w:rPr>
          <w:rFonts w:ascii="宋体" w:hAnsi="宋体"/>
          <w:b/>
          <w:bCs w:val="0"/>
          <w:color w:val="auto"/>
          <w:sz w:val="24"/>
          <w:szCs w:val="24"/>
        </w:rPr>
        <w:fldChar w:fldCharType="separate"/>
      </w:r>
      <w:r>
        <w:rPr>
          <w:rFonts w:ascii="宋体" w:hAnsi="宋体"/>
          <w:b/>
          <w:bCs w:val="0"/>
          <w:color w:val="auto"/>
          <w:sz w:val="24"/>
          <w:szCs w:val="24"/>
        </w:rPr>
        <w:t>14</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29"/>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ascii="宋体" w:eastAsia="宋体"/>
          <w:b/>
          <w:bCs w:val="0"/>
          <w:caps w:val="0"/>
          <w:color w:val="auto"/>
          <w:sz w:val="24"/>
          <w:szCs w:val="24"/>
        </w:rPr>
      </w:pPr>
      <w:r>
        <w:rPr>
          <w:b/>
          <w:bCs w:val="0"/>
          <w:color w:val="auto"/>
          <w:sz w:val="24"/>
          <w:szCs w:val="24"/>
        </w:rPr>
        <w:fldChar w:fldCharType="begin"/>
      </w:r>
      <w:r>
        <w:rPr>
          <w:b/>
          <w:bCs w:val="0"/>
          <w:color w:val="auto"/>
          <w:sz w:val="24"/>
          <w:szCs w:val="24"/>
        </w:rPr>
        <w:instrText xml:space="preserve"> HYPERLINK \l "_Toc150262774" </w:instrText>
      </w:r>
      <w:r>
        <w:rPr>
          <w:b/>
          <w:bCs w:val="0"/>
          <w:color w:val="auto"/>
          <w:sz w:val="24"/>
          <w:szCs w:val="24"/>
        </w:rPr>
        <w:fldChar w:fldCharType="separate"/>
      </w:r>
      <w:r>
        <w:rPr>
          <w:rStyle w:val="47"/>
          <w:rFonts w:ascii="宋体" w:eastAsia="宋体"/>
          <w:b/>
          <w:bCs w:val="0"/>
          <w:color w:val="auto"/>
          <w:kern w:val="30"/>
          <w:sz w:val="24"/>
          <w:szCs w:val="24"/>
        </w:rPr>
        <w:t>3定性、定量评价</w:t>
      </w:r>
      <w:r>
        <w:rPr>
          <w:rFonts w:ascii="宋体" w:eastAsia="宋体"/>
          <w:b/>
          <w:bCs w:val="0"/>
          <w:color w:val="auto"/>
          <w:sz w:val="24"/>
          <w:szCs w:val="24"/>
        </w:rPr>
        <w:tab/>
      </w:r>
      <w:r>
        <w:rPr>
          <w:rFonts w:ascii="宋体" w:eastAsia="宋体"/>
          <w:b/>
          <w:bCs w:val="0"/>
          <w:color w:val="auto"/>
          <w:sz w:val="24"/>
          <w:szCs w:val="24"/>
        </w:rPr>
        <w:fldChar w:fldCharType="begin"/>
      </w:r>
      <w:r>
        <w:rPr>
          <w:rFonts w:ascii="宋体" w:eastAsia="宋体"/>
          <w:b/>
          <w:bCs w:val="0"/>
          <w:color w:val="auto"/>
          <w:sz w:val="24"/>
          <w:szCs w:val="24"/>
        </w:rPr>
        <w:instrText xml:space="preserve"> PAGEREF _Toc150262774 \h </w:instrText>
      </w:r>
      <w:r>
        <w:rPr>
          <w:rFonts w:ascii="宋体" w:eastAsia="宋体"/>
          <w:b/>
          <w:bCs w:val="0"/>
          <w:color w:val="auto"/>
          <w:sz w:val="24"/>
          <w:szCs w:val="24"/>
        </w:rPr>
        <w:fldChar w:fldCharType="separate"/>
      </w:r>
      <w:r>
        <w:rPr>
          <w:rFonts w:ascii="宋体" w:eastAsia="宋体"/>
          <w:b/>
          <w:bCs w:val="0"/>
          <w:color w:val="auto"/>
          <w:sz w:val="24"/>
          <w:szCs w:val="24"/>
        </w:rPr>
        <w:t>23</w:t>
      </w:r>
      <w:r>
        <w:rPr>
          <w:rFonts w:ascii="宋体" w:eastAsia="宋体"/>
          <w:b/>
          <w:bCs w:val="0"/>
          <w:color w:val="auto"/>
          <w:sz w:val="24"/>
          <w:szCs w:val="24"/>
        </w:rPr>
        <w:fldChar w:fldCharType="end"/>
      </w:r>
      <w:r>
        <w:rPr>
          <w:rFonts w:ascii="宋体" w:eastAsia="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"_Toc150262775" </w:instrText>
      </w:r>
      <w:r>
        <w:rPr>
          <w:b/>
          <w:bCs w:val="0"/>
          <w:color w:val="auto"/>
          <w:sz w:val="24"/>
          <w:szCs w:val="24"/>
        </w:rPr>
        <w:fldChar w:fldCharType="separate"/>
      </w:r>
      <w:r>
        <w:rPr>
          <w:rStyle w:val="47"/>
          <w:rFonts w:ascii="宋体" w:hAnsi="宋体"/>
          <w:b/>
          <w:bCs w:val="0"/>
          <w:color w:val="auto"/>
          <w:kern w:val="28"/>
          <w:sz w:val="24"/>
          <w:szCs w:val="24"/>
        </w:rPr>
        <w:t>3.1评价单元的划分和采用的评价方法</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_Toc150262775 \h </w:instrText>
      </w:r>
      <w:r>
        <w:rPr>
          <w:rFonts w:ascii="宋体" w:hAnsi="宋体"/>
          <w:b/>
          <w:bCs w:val="0"/>
          <w:color w:val="auto"/>
          <w:sz w:val="24"/>
          <w:szCs w:val="24"/>
        </w:rPr>
        <w:fldChar w:fldCharType="separate"/>
      </w:r>
      <w:r>
        <w:rPr>
          <w:rFonts w:ascii="宋体" w:hAnsi="宋体"/>
          <w:b/>
          <w:bCs w:val="0"/>
          <w:color w:val="auto"/>
          <w:sz w:val="24"/>
          <w:szCs w:val="24"/>
        </w:rPr>
        <w:t>23</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"_Toc150262776" </w:instrText>
      </w:r>
      <w:r>
        <w:rPr>
          <w:b/>
          <w:bCs w:val="0"/>
          <w:color w:val="auto"/>
          <w:sz w:val="24"/>
          <w:szCs w:val="24"/>
        </w:rPr>
        <w:fldChar w:fldCharType="separate"/>
      </w:r>
      <w:r>
        <w:rPr>
          <w:rStyle w:val="47"/>
          <w:rFonts w:ascii="宋体" w:hAnsi="宋体"/>
          <w:b/>
          <w:bCs w:val="0"/>
          <w:color w:val="auto"/>
          <w:kern w:val="28"/>
          <w:sz w:val="24"/>
          <w:szCs w:val="24"/>
        </w:rPr>
        <w:t>3.2总平面布置单元评价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_Toc150262776 \h </w:instrText>
      </w:r>
      <w:r>
        <w:rPr>
          <w:rFonts w:ascii="宋体" w:hAnsi="宋体"/>
          <w:b/>
          <w:bCs w:val="0"/>
          <w:color w:val="auto"/>
          <w:sz w:val="24"/>
          <w:szCs w:val="24"/>
        </w:rPr>
        <w:fldChar w:fldCharType="separate"/>
      </w:r>
      <w:r>
        <w:rPr>
          <w:rFonts w:ascii="宋体" w:hAnsi="宋体"/>
          <w:b/>
          <w:bCs w:val="0"/>
          <w:color w:val="auto"/>
          <w:sz w:val="24"/>
          <w:szCs w:val="24"/>
        </w:rPr>
        <w:t>25</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"_Toc150262777" </w:instrText>
      </w:r>
      <w:r>
        <w:rPr>
          <w:b/>
          <w:bCs w:val="0"/>
          <w:color w:val="auto"/>
          <w:sz w:val="24"/>
          <w:szCs w:val="24"/>
        </w:rPr>
        <w:fldChar w:fldCharType="separate"/>
      </w:r>
      <w:r>
        <w:rPr>
          <w:rStyle w:val="47"/>
          <w:rFonts w:ascii="宋体" w:hAnsi="宋体"/>
          <w:b/>
          <w:bCs w:val="0"/>
          <w:color w:val="auto"/>
          <w:kern w:val="28"/>
          <w:sz w:val="24"/>
          <w:szCs w:val="24"/>
        </w:rPr>
        <w:t>3.3开拓运输单元评价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_Toc150262777 \h </w:instrText>
      </w:r>
      <w:r>
        <w:rPr>
          <w:rFonts w:ascii="宋体" w:hAnsi="宋体"/>
          <w:b/>
          <w:bCs w:val="0"/>
          <w:color w:val="auto"/>
          <w:sz w:val="24"/>
          <w:szCs w:val="24"/>
        </w:rPr>
        <w:fldChar w:fldCharType="separate"/>
      </w:r>
      <w:r>
        <w:rPr>
          <w:rFonts w:ascii="宋体" w:hAnsi="宋体"/>
          <w:b/>
          <w:bCs w:val="0"/>
          <w:color w:val="auto"/>
          <w:sz w:val="24"/>
          <w:szCs w:val="24"/>
        </w:rPr>
        <w:t>26</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"_Toc150262778" </w:instrText>
      </w:r>
      <w:r>
        <w:rPr>
          <w:b/>
          <w:bCs w:val="0"/>
          <w:color w:val="auto"/>
          <w:sz w:val="24"/>
          <w:szCs w:val="24"/>
        </w:rPr>
        <w:fldChar w:fldCharType="separate"/>
      </w:r>
      <w:r>
        <w:rPr>
          <w:rStyle w:val="47"/>
          <w:rFonts w:ascii="宋体" w:hAnsi="宋体"/>
          <w:b/>
          <w:bCs w:val="0"/>
          <w:color w:val="auto"/>
          <w:kern w:val="28"/>
          <w:sz w:val="24"/>
          <w:szCs w:val="24"/>
        </w:rPr>
        <w:t>3.4采剥单元评价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_Toc150262778 \h </w:instrText>
      </w:r>
      <w:r>
        <w:rPr>
          <w:rFonts w:ascii="宋体" w:hAnsi="宋体"/>
          <w:b/>
          <w:bCs w:val="0"/>
          <w:color w:val="auto"/>
          <w:sz w:val="24"/>
          <w:szCs w:val="24"/>
        </w:rPr>
        <w:fldChar w:fldCharType="separate"/>
      </w:r>
      <w:r>
        <w:rPr>
          <w:rFonts w:ascii="宋体" w:hAnsi="宋体"/>
          <w:b/>
          <w:bCs w:val="0"/>
          <w:color w:val="auto"/>
          <w:sz w:val="24"/>
          <w:szCs w:val="24"/>
        </w:rPr>
        <w:t>28</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"_Toc150262779" </w:instrText>
      </w:r>
      <w:r>
        <w:rPr>
          <w:b/>
          <w:bCs w:val="0"/>
          <w:color w:val="auto"/>
          <w:sz w:val="24"/>
          <w:szCs w:val="24"/>
        </w:rPr>
        <w:fldChar w:fldCharType="separate"/>
      </w:r>
      <w:r>
        <w:rPr>
          <w:rStyle w:val="47"/>
          <w:rFonts w:ascii="宋体" w:hAnsi="宋体"/>
          <w:b/>
          <w:bCs w:val="0"/>
          <w:color w:val="auto"/>
          <w:kern w:val="28"/>
          <w:sz w:val="24"/>
          <w:szCs w:val="24"/>
        </w:rPr>
        <w:t>3.5通风系统单元</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_Toc150262779 \h </w:instrText>
      </w:r>
      <w:r>
        <w:rPr>
          <w:rFonts w:ascii="宋体" w:hAnsi="宋体"/>
          <w:b/>
          <w:bCs w:val="0"/>
          <w:color w:val="auto"/>
          <w:sz w:val="24"/>
          <w:szCs w:val="24"/>
        </w:rPr>
        <w:fldChar w:fldCharType="separate"/>
      </w:r>
      <w:r>
        <w:rPr>
          <w:rFonts w:ascii="宋体" w:hAnsi="宋体"/>
          <w:b/>
          <w:bCs w:val="0"/>
          <w:color w:val="auto"/>
          <w:sz w:val="24"/>
          <w:szCs w:val="24"/>
        </w:rPr>
        <w:t>30</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"_Toc150262780" </w:instrText>
      </w:r>
      <w:r>
        <w:rPr>
          <w:b/>
          <w:bCs w:val="0"/>
          <w:color w:val="auto"/>
          <w:sz w:val="24"/>
          <w:szCs w:val="24"/>
        </w:rPr>
        <w:fldChar w:fldCharType="separate"/>
      </w:r>
      <w:r>
        <w:rPr>
          <w:rStyle w:val="47"/>
          <w:rFonts w:ascii="宋体" w:hAnsi="宋体"/>
          <w:b/>
          <w:bCs w:val="0"/>
          <w:color w:val="auto"/>
          <w:kern w:val="28"/>
          <w:sz w:val="24"/>
          <w:szCs w:val="24"/>
        </w:rPr>
        <w:t>3.6矿山供配电设施单元评价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_Toc150262780 \h </w:instrText>
      </w:r>
      <w:r>
        <w:rPr>
          <w:rFonts w:ascii="宋体" w:hAnsi="宋体"/>
          <w:b/>
          <w:bCs w:val="0"/>
          <w:color w:val="auto"/>
          <w:sz w:val="24"/>
          <w:szCs w:val="24"/>
        </w:rPr>
        <w:fldChar w:fldCharType="separate"/>
      </w:r>
      <w:r>
        <w:rPr>
          <w:rFonts w:ascii="宋体" w:hAnsi="宋体"/>
          <w:b/>
          <w:bCs w:val="0"/>
          <w:color w:val="auto"/>
          <w:sz w:val="24"/>
          <w:szCs w:val="24"/>
        </w:rPr>
        <w:t>30</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"_Toc150262781" </w:instrText>
      </w:r>
      <w:r>
        <w:rPr>
          <w:b/>
          <w:bCs w:val="0"/>
          <w:color w:val="auto"/>
          <w:sz w:val="24"/>
          <w:szCs w:val="24"/>
        </w:rPr>
        <w:fldChar w:fldCharType="separate"/>
      </w:r>
      <w:r>
        <w:rPr>
          <w:rStyle w:val="47"/>
          <w:rFonts w:ascii="宋体" w:hAnsi="宋体"/>
          <w:b/>
          <w:bCs w:val="0"/>
          <w:color w:val="auto"/>
          <w:kern w:val="28"/>
          <w:sz w:val="24"/>
          <w:szCs w:val="24"/>
        </w:rPr>
        <w:t>3.7防排水单元评价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_Toc150262781 \h </w:instrText>
      </w:r>
      <w:r>
        <w:rPr>
          <w:rFonts w:ascii="宋体" w:hAnsi="宋体"/>
          <w:b/>
          <w:bCs w:val="0"/>
          <w:color w:val="auto"/>
          <w:sz w:val="24"/>
          <w:szCs w:val="24"/>
        </w:rPr>
        <w:fldChar w:fldCharType="separate"/>
      </w:r>
      <w:r>
        <w:rPr>
          <w:rFonts w:ascii="宋体" w:hAnsi="宋体"/>
          <w:b/>
          <w:bCs w:val="0"/>
          <w:color w:val="auto"/>
          <w:sz w:val="24"/>
          <w:szCs w:val="24"/>
        </w:rPr>
        <w:t>32</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"_Toc150262782" </w:instrText>
      </w:r>
      <w:r>
        <w:rPr>
          <w:b/>
          <w:bCs w:val="0"/>
          <w:color w:val="auto"/>
          <w:sz w:val="24"/>
          <w:szCs w:val="24"/>
        </w:rPr>
        <w:fldChar w:fldCharType="separate"/>
      </w:r>
      <w:r>
        <w:rPr>
          <w:rStyle w:val="47"/>
          <w:rFonts w:ascii="宋体" w:hAnsi="宋体"/>
          <w:b/>
          <w:bCs w:val="0"/>
          <w:color w:val="auto"/>
          <w:sz w:val="24"/>
          <w:szCs w:val="24"/>
        </w:rPr>
        <w:t>3.8排土场单元评价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_Toc150262782 \h </w:instrText>
      </w:r>
      <w:r>
        <w:rPr>
          <w:rFonts w:ascii="宋体" w:hAnsi="宋体"/>
          <w:b/>
          <w:bCs w:val="0"/>
          <w:color w:val="auto"/>
          <w:sz w:val="24"/>
          <w:szCs w:val="24"/>
        </w:rPr>
        <w:fldChar w:fldCharType="separate"/>
      </w:r>
      <w:r>
        <w:rPr>
          <w:rFonts w:ascii="宋体" w:hAnsi="宋体"/>
          <w:b/>
          <w:bCs w:val="0"/>
          <w:color w:val="auto"/>
          <w:sz w:val="24"/>
          <w:szCs w:val="24"/>
        </w:rPr>
        <w:t>33</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"_Toc150262783" </w:instrText>
      </w:r>
      <w:r>
        <w:rPr>
          <w:b/>
          <w:bCs w:val="0"/>
          <w:color w:val="auto"/>
          <w:sz w:val="24"/>
          <w:szCs w:val="24"/>
        </w:rPr>
        <w:fldChar w:fldCharType="separate"/>
      </w:r>
      <w:r>
        <w:rPr>
          <w:rStyle w:val="47"/>
          <w:rFonts w:ascii="宋体" w:hAnsi="宋体"/>
          <w:b/>
          <w:bCs w:val="0"/>
          <w:color w:val="auto"/>
          <w:kern w:val="28"/>
          <w:sz w:val="24"/>
          <w:szCs w:val="24"/>
        </w:rPr>
        <w:t>3.9安全管理及其他单元评价</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_Toc150262783 \h </w:instrText>
      </w:r>
      <w:r>
        <w:rPr>
          <w:rFonts w:ascii="宋体" w:hAnsi="宋体"/>
          <w:b/>
          <w:bCs w:val="0"/>
          <w:color w:val="auto"/>
          <w:sz w:val="24"/>
          <w:szCs w:val="24"/>
        </w:rPr>
        <w:fldChar w:fldCharType="separate"/>
      </w:r>
      <w:r>
        <w:rPr>
          <w:rFonts w:ascii="宋体" w:hAnsi="宋体"/>
          <w:b/>
          <w:bCs w:val="0"/>
          <w:color w:val="auto"/>
          <w:sz w:val="24"/>
          <w:szCs w:val="24"/>
        </w:rPr>
        <w:t>35</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"_Toc150262784" </w:instrText>
      </w:r>
      <w:r>
        <w:rPr>
          <w:b/>
          <w:bCs w:val="0"/>
          <w:color w:val="auto"/>
          <w:sz w:val="24"/>
          <w:szCs w:val="24"/>
        </w:rPr>
        <w:fldChar w:fldCharType="separate"/>
      </w:r>
      <w:r>
        <w:rPr>
          <w:rStyle w:val="47"/>
          <w:rFonts w:ascii="宋体" w:hAnsi="宋体"/>
          <w:b/>
          <w:bCs w:val="0"/>
          <w:color w:val="auto"/>
          <w:kern w:val="28"/>
          <w:sz w:val="24"/>
          <w:szCs w:val="24"/>
        </w:rPr>
        <w:t>3.10重大危险源辨识</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_Toc150262784 \h </w:instrText>
      </w:r>
      <w:r>
        <w:rPr>
          <w:rFonts w:ascii="宋体" w:hAnsi="宋体"/>
          <w:b/>
          <w:bCs w:val="0"/>
          <w:color w:val="auto"/>
          <w:sz w:val="24"/>
          <w:szCs w:val="24"/>
        </w:rPr>
        <w:fldChar w:fldCharType="separate"/>
      </w:r>
      <w:r>
        <w:rPr>
          <w:rFonts w:ascii="宋体" w:hAnsi="宋体"/>
          <w:b/>
          <w:bCs w:val="0"/>
          <w:color w:val="auto"/>
          <w:sz w:val="24"/>
          <w:szCs w:val="24"/>
        </w:rPr>
        <w:t>37</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"_Toc150262785" </w:instrText>
      </w:r>
      <w:r>
        <w:rPr>
          <w:b/>
          <w:bCs w:val="0"/>
          <w:color w:val="auto"/>
          <w:sz w:val="24"/>
          <w:szCs w:val="24"/>
        </w:rPr>
        <w:fldChar w:fldCharType="separate"/>
      </w:r>
      <w:r>
        <w:rPr>
          <w:rStyle w:val="47"/>
          <w:rFonts w:ascii="宋体" w:hAnsi="宋体"/>
          <w:b/>
          <w:bCs w:val="0"/>
          <w:color w:val="auto"/>
          <w:kern w:val="28"/>
          <w:sz w:val="24"/>
          <w:szCs w:val="24"/>
        </w:rPr>
        <w:t>3.11小结</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_Toc150262785 \h </w:instrText>
      </w:r>
      <w:r>
        <w:rPr>
          <w:rFonts w:ascii="宋体" w:hAnsi="宋体"/>
          <w:b/>
          <w:bCs w:val="0"/>
          <w:color w:val="auto"/>
          <w:sz w:val="24"/>
          <w:szCs w:val="24"/>
        </w:rPr>
        <w:fldChar w:fldCharType="separate"/>
      </w:r>
      <w:r>
        <w:rPr>
          <w:rFonts w:ascii="宋体" w:hAnsi="宋体"/>
          <w:b/>
          <w:bCs w:val="0"/>
          <w:color w:val="auto"/>
          <w:sz w:val="24"/>
          <w:szCs w:val="24"/>
        </w:rPr>
        <w:t>37</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29"/>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ascii="宋体" w:eastAsia="宋体"/>
          <w:b/>
          <w:bCs w:val="0"/>
          <w:caps w:val="0"/>
          <w:color w:val="auto"/>
          <w:sz w:val="24"/>
          <w:szCs w:val="24"/>
        </w:rPr>
      </w:pPr>
      <w:r>
        <w:rPr>
          <w:b/>
          <w:bCs w:val="0"/>
          <w:color w:val="auto"/>
          <w:sz w:val="24"/>
          <w:szCs w:val="24"/>
        </w:rPr>
        <w:fldChar w:fldCharType="begin"/>
      </w:r>
      <w:r>
        <w:rPr>
          <w:b/>
          <w:bCs w:val="0"/>
          <w:color w:val="auto"/>
          <w:sz w:val="24"/>
          <w:szCs w:val="24"/>
        </w:rPr>
        <w:instrText xml:space="preserve"> HYPERLINK \l "_Toc150262786" </w:instrText>
      </w:r>
      <w:r>
        <w:rPr>
          <w:b/>
          <w:bCs w:val="0"/>
          <w:color w:val="auto"/>
          <w:sz w:val="24"/>
          <w:szCs w:val="24"/>
        </w:rPr>
        <w:fldChar w:fldCharType="separate"/>
      </w:r>
      <w:r>
        <w:rPr>
          <w:rStyle w:val="47"/>
          <w:rFonts w:ascii="宋体" w:eastAsia="宋体"/>
          <w:b/>
          <w:bCs w:val="0"/>
          <w:color w:val="auto"/>
          <w:kern w:val="30"/>
          <w:sz w:val="24"/>
          <w:szCs w:val="24"/>
        </w:rPr>
        <w:t>4安全对策措施及建议</w:t>
      </w:r>
      <w:r>
        <w:rPr>
          <w:rFonts w:ascii="宋体" w:eastAsia="宋体"/>
          <w:b/>
          <w:bCs w:val="0"/>
          <w:color w:val="auto"/>
          <w:sz w:val="24"/>
          <w:szCs w:val="24"/>
        </w:rPr>
        <w:tab/>
      </w:r>
      <w:r>
        <w:rPr>
          <w:rFonts w:ascii="宋体" w:eastAsia="宋体"/>
          <w:b/>
          <w:bCs w:val="0"/>
          <w:color w:val="auto"/>
          <w:sz w:val="24"/>
          <w:szCs w:val="24"/>
        </w:rPr>
        <w:fldChar w:fldCharType="begin"/>
      </w:r>
      <w:r>
        <w:rPr>
          <w:rFonts w:ascii="宋体" w:eastAsia="宋体"/>
          <w:b/>
          <w:bCs w:val="0"/>
          <w:color w:val="auto"/>
          <w:sz w:val="24"/>
          <w:szCs w:val="24"/>
        </w:rPr>
        <w:instrText xml:space="preserve"> PAGEREF _Toc150262786 \h </w:instrText>
      </w:r>
      <w:r>
        <w:rPr>
          <w:rFonts w:ascii="宋体" w:eastAsia="宋体"/>
          <w:b/>
          <w:bCs w:val="0"/>
          <w:color w:val="auto"/>
          <w:sz w:val="24"/>
          <w:szCs w:val="24"/>
        </w:rPr>
        <w:fldChar w:fldCharType="separate"/>
      </w:r>
      <w:r>
        <w:rPr>
          <w:rFonts w:ascii="宋体" w:eastAsia="宋体"/>
          <w:b/>
          <w:bCs w:val="0"/>
          <w:color w:val="auto"/>
          <w:sz w:val="24"/>
          <w:szCs w:val="24"/>
        </w:rPr>
        <w:t>39</w:t>
      </w:r>
      <w:r>
        <w:rPr>
          <w:rFonts w:ascii="宋体" w:eastAsia="宋体"/>
          <w:b/>
          <w:bCs w:val="0"/>
          <w:color w:val="auto"/>
          <w:sz w:val="24"/>
          <w:szCs w:val="24"/>
        </w:rPr>
        <w:fldChar w:fldCharType="end"/>
      </w:r>
      <w:r>
        <w:rPr>
          <w:rFonts w:ascii="宋体" w:eastAsia="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"_Toc150262787" </w:instrText>
      </w:r>
      <w:r>
        <w:rPr>
          <w:b/>
          <w:bCs w:val="0"/>
          <w:color w:val="auto"/>
          <w:sz w:val="24"/>
          <w:szCs w:val="24"/>
        </w:rPr>
        <w:fldChar w:fldCharType="separate"/>
      </w:r>
      <w:r>
        <w:rPr>
          <w:rStyle w:val="47"/>
          <w:rFonts w:ascii="宋体" w:hAnsi="宋体"/>
          <w:b/>
          <w:bCs w:val="0"/>
          <w:color w:val="auto"/>
          <w:kern w:val="28"/>
          <w:sz w:val="24"/>
          <w:szCs w:val="24"/>
        </w:rPr>
        <w:t>4.1安全技术对策措施</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_Toc150262787 \h </w:instrText>
      </w:r>
      <w:r>
        <w:rPr>
          <w:rFonts w:ascii="宋体" w:hAnsi="宋体"/>
          <w:b/>
          <w:bCs w:val="0"/>
          <w:color w:val="auto"/>
          <w:sz w:val="24"/>
          <w:szCs w:val="24"/>
        </w:rPr>
        <w:fldChar w:fldCharType="separate"/>
      </w:r>
      <w:r>
        <w:rPr>
          <w:rFonts w:ascii="宋体" w:hAnsi="宋体"/>
          <w:b/>
          <w:bCs w:val="0"/>
          <w:color w:val="auto"/>
          <w:sz w:val="24"/>
          <w:szCs w:val="24"/>
        </w:rPr>
        <w:t>39</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"_Toc150262788" </w:instrText>
      </w:r>
      <w:r>
        <w:rPr>
          <w:b/>
          <w:bCs w:val="0"/>
          <w:color w:val="auto"/>
          <w:sz w:val="24"/>
          <w:szCs w:val="24"/>
        </w:rPr>
        <w:fldChar w:fldCharType="separate"/>
      </w:r>
      <w:r>
        <w:rPr>
          <w:rStyle w:val="47"/>
          <w:rFonts w:ascii="宋体" w:hAnsi="宋体"/>
          <w:b/>
          <w:bCs w:val="0"/>
          <w:color w:val="auto"/>
          <w:kern w:val="28"/>
          <w:sz w:val="24"/>
          <w:szCs w:val="24"/>
        </w:rPr>
        <w:t>4.2安全管理措施</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_Toc150262788 \h </w:instrText>
      </w:r>
      <w:r>
        <w:rPr>
          <w:rFonts w:ascii="宋体" w:hAnsi="宋体"/>
          <w:b/>
          <w:bCs w:val="0"/>
          <w:color w:val="auto"/>
          <w:sz w:val="24"/>
          <w:szCs w:val="24"/>
        </w:rPr>
        <w:fldChar w:fldCharType="separate"/>
      </w:r>
      <w:r>
        <w:rPr>
          <w:rFonts w:ascii="宋体" w:hAnsi="宋体"/>
          <w:b/>
          <w:bCs w:val="0"/>
          <w:color w:val="auto"/>
          <w:sz w:val="24"/>
          <w:szCs w:val="24"/>
        </w:rPr>
        <w:t>44</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29"/>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ascii="宋体" w:eastAsia="宋体"/>
          <w:b/>
          <w:bCs w:val="0"/>
          <w:caps w:val="0"/>
          <w:color w:val="auto"/>
          <w:sz w:val="24"/>
          <w:szCs w:val="24"/>
        </w:rPr>
      </w:pPr>
      <w:r>
        <w:rPr>
          <w:b/>
          <w:bCs w:val="0"/>
          <w:color w:val="auto"/>
          <w:sz w:val="24"/>
          <w:szCs w:val="24"/>
        </w:rPr>
        <w:fldChar w:fldCharType="begin"/>
      </w:r>
      <w:r>
        <w:rPr>
          <w:b/>
          <w:bCs w:val="0"/>
          <w:color w:val="auto"/>
          <w:sz w:val="24"/>
          <w:szCs w:val="24"/>
        </w:rPr>
        <w:instrText xml:space="preserve"> HYPERLINK \l "_Toc150262789" </w:instrText>
      </w:r>
      <w:r>
        <w:rPr>
          <w:b/>
          <w:bCs w:val="0"/>
          <w:color w:val="auto"/>
          <w:sz w:val="24"/>
          <w:szCs w:val="24"/>
        </w:rPr>
        <w:fldChar w:fldCharType="separate"/>
      </w:r>
      <w:r>
        <w:rPr>
          <w:rStyle w:val="47"/>
          <w:rFonts w:ascii="宋体" w:eastAsia="宋体"/>
          <w:b/>
          <w:bCs w:val="0"/>
          <w:color w:val="auto"/>
          <w:kern w:val="30"/>
          <w:sz w:val="24"/>
          <w:szCs w:val="24"/>
        </w:rPr>
        <w:t>5安全预评价结论</w:t>
      </w:r>
      <w:r>
        <w:rPr>
          <w:rFonts w:ascii="宋体" w:eastAsia="宋体"/>
          <w:b/>
          <w:bCs w:val="0"/>
          <w:color w:val="auto"/>
          <w:sz w:val="24"/>
          <w:szCs w:val="24"/>
        </w:rPr>
        <w:tab/>
      </w:r>
      <w:r>
        <w:rPr>
          <w:rFonts w:ascii="宋体" w:eastAsia="宋体"/>
          <w:b/>
          <w:bCs w:val="0"/>
          <w:color w:val="auto"/>
          <w:sz w:val="24"/>
          <w:szCs w:val="24"/>
        </w:rPr>
        <w:fldChar w:fldCharType="begin"/>
      </w:r>
      <w:r>
        <w:rPr>
          <w:rFonts w:ascii="宋体" w:eastAsia="宋体"/>
          <w:b/>
          <w:bCs w:val="0"/>
          <w:color w:val="auto"/>
          <w:sz w:val="24"/>
          <w:szCs w:val="24"/>
        </w:rPr>
        <w:instrText xml:space="preserve"> PAGEREF _Toc150262789 \h </w:instrText>
      </w:r>
      <w:r>
        <w:rPr>
          <w:rFonts w:ascii="宋体" w:eastAsia="宋体"/>
          <w:b/>
          <w:bCs w:val="0"/>
          <w:color w:val="auto"/>
          <w:sz w:val="24"/>
          <w:szCs w:val="24"/>
        </w:rPr>
        <w:fldChar w:fldCharType="separate"/>
      </w:r>
      <w:r>
        <w:rPr>
          <w:rFonts w:ascii="宋体" w:eastAsia="宋体"/>
          <w:b/>
          <w:bCs w:val="0"/>
          <w:color w:val="auto"/>
          <w:sz w:val="24"/>
          <w:szCs w:val="24"/>
        </w:rPr>
        <w:t>49</w:t>
      </w:r>
      <w:r>
        <w:rPr>
          <w:rFonts w:ascii="宋体" w:eastAsia="宋体"/>
          <w:b/>
          <w:bCs w:val="0"/>
          <w:color w:val="auto"/>
          <w:sz w:val="24"/>
          <w:szCs w:val="24"/>
        </w:rPr>
        <w:fldChar w:fldCharType="end"/>
      </w:r>
      <w:r>
        <w:rPr>
          <w:rFonts w:ascii="宋体" w:eastAsia="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"_Toc150262790" </w:instrText>
      </w:r>
      <w:r>
        <w:rPr>
          <w:b/>
          <w:bCs w:val="0"/>
          <w:color w:val="auto"/>
          <w:sz w:val="24"/>
          <w:szCs w:val="24"/>
        </w:rPr>
        <w:fldChar w:fldCharType="separate"/>
      </w:r>
      <w:r>
        <w:rPr>
          <w:rStyle w:val="47"/>
          <w:rFonts w:ascii="宋体" w:hAnsi="宋体"/>
          <w:b/>
          <w:bCs w:val="0"/>
          <w:color w:val="auto"/>
          <w:kern w:val="28"/>
          <w:sz w:val="24"/>
          <w:szCs w:val="24"/>
        </w:rPr>
        <w:t>5.1主要危险、有害因素及应重点防范的重大危险有害因素</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_Toc150262790 \h </w:instrText>
      </w:r>
      <w:r>
        <w:rPr>
          <w:rFonts w:ascii="宋体" w:hAnsi="宋体"/>
          <w:b/>
          <w:bCs w:val="0"/>
          <w:color w:val="auto"/>
          <w:sz w:val="24"/>
          <w:szCs w:val="24"/>
        </w:rPr>
        <w:fldChar w:fldCharType="separate"/>
      </w:r>
      <w:r>
        <w:rPr>
          <w:rFonts w:ascii="宋体" w:hAnsi="宋体"/>
          <w:b/>
          <w:bCs w:val="0"/>
          <w:color w:val="auto"/>
          <w:sz w:val="24"/>
          <w:szCs w:val="24"/>
        </w:rPr>
        <w:t>49</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"_Toc150262791" </w:instrText>
      </w:r>
      <w:r>
        <w:rPr>
          <w:b/>
          <w:bCs w:val="0"/>
          <w:color w:val="auto"/>
          <w:sz w:val="24"/>
          <w:szCs w:val="24"/>
        </w:rPr>
        <w:fldChar w:fldCharType="separate"/>
      </w:r>
      <w:r>
        <w:rPr>
          <w:rStyle w:val="47"/>
          <w:rFonts w:ascii="宋体" w:hAnsi="宋体"/>
          <w:b/>
          <w:bCs w:val="0"/>
          <w:color w:val="auto"/>
          <w:kern w:val="28"/>
          <w:sz w:val="24"/>
          <w:szCs w:val="24"/>
        </w:rPr>
        <w:t>5.2应重视的安全对策措施建议</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_Toc150262791 \h </w:instrText>
      </w:r>
      <w:r>
        <w:rPr>
          <w:rFonts w:ascii="宋体" w:hAnsi="宋体"/>
          <w:b/>
          <w:bCs w:val="0"/>
          <w:color w:val="auto"/>
          <w:sz w:val="24"/>
          <w:szCs w:val="24"/>
        </w:rPr>
        <w:fldChar w:fldCharType="separate"/>
      </w:r>
      <w:r>
        <w:rPr>
          <w:rFonts w:ascii="宋体" w:hAnsi="宋体"/>
          <w:b/>
          <w:bCs w:val="0"/>
          <w:color w:val="auto"/>
          <w:sz w:val="24"/>
          <w:szCs w:val="24"/>
        </w:rPr>
        <w:t>49</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"_Toc150262792" </w:instrText>
      </w:r>
      <w:r>
        <w:rPr>
          <w:b/>
          <w:bCs w:val="0"/>
          <w:color w:val="auto"/>
          <w:sz w:val="24"/>
          <w:szCs w:val="24"/>
        </w:rPr>
        <w:fldChar w:fldCharType="separate"/>
      </w:r>
      <w:r>
        <w:rPr>
          <w:rStyle w:val="47"/>
          <w:rFonts w:ascii="宋体" w:hAnsi="宋体"/>
          <w:b/>
          <w:bCs w:val="0"/>
          <w:color w:val="auto"/>
          <w:kern w:val="28"/>
          <w:sz w:val="24"/>
          <w:szCs w:val="24"/>
        </w:rPr>
        <w:t>5.3危险有害因素可控性及受控程度</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_Toc150262792 \h </w:instrText>
      </w:r>
      <w:r>
        <w:rPr>
          <w:rFonts w:ascii="宋体" w:hAnsi="宋体"/>
          <w:b/>
          <w:bCs w:val="0"/>
          <w:color w:val="auto"/>
          <w:sz w:val="24"/>
          <w:szCs w:val="24"/>
        </w:rPr>
        <w:fldChar w:fldCharType="separate"/>
      </w:r>
      <w:r>
        <w:rPr>
          <w:rFonts w:ascii="宋体" w:hAnsi="宋体"/>
          <w:b/>
          <w:bCs w:val="0"/>
          <w:color w:val="auto"/>
          <w:sz w:val="24"/>
          <w:szCs w:val="24"/>
        </w:rPr>
        <w:t>49</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33"/>
        <w:keepNext w:val="0"/>
        <w:keepLines w:val="0"/>
        <w:pageBreakBefore w:val="0"/>
        <w:widowControl w:val="0"/>
        <w:tabs>
          <w:tab w:val="right" w:leader="dot" w:pos="9174"/>
        </w:tabs>
        <w:kinsoku/>
        <w:wordWrap/>
        <w:overflowPunct/>
        <w:topLinePunct w:val="0"/>
        <w:autoSpaceDE/>
        <w:autoSpaceDN/>
        <w:bidi w:val="0"/>
        <w:adjustRightInd/>
        <w:snapToGrid/>
        <w:spacing w:line="440" w:lineRule="exact"/>
        <w:textAlignment w:val="auto"/>
        <w:rPr>
          <w:rFonts w:ascii="宋体" w:hAnsi="宋体"/>
          <w:b/>
          <w:bCs w:val="0"/>
          <w:smallCaps w:val="0"/>
          <w:color w:val="auto"/>
          <w:sz w:val="24"/>
          <w:szCs w:val="24"/>
        </w:rPr>
      </w:pPr>
      <w:r>
        <w:rPr>
          <w:b/>
          <w:bCs w:val="0"/>
          <w:color w:val="auto"/>
          <w:sz w:val="24"/>
          <w:szCs w:val="24"/>
        </w:rPr>
        <w:fldChar w:fldCharType="begin"/>
      </w:r>
      <w:r>
        <w:rPr>
          <w:b/>
          <w:bCs w:val="0"/>
          <w:color w:val="auto"/>
          <w:sz w:val="24"/>
          <w:szCs w:val="24"/>
        </w:rPr>
        <w:instrText xml:space="preserve"> HYPERLINK \l "_Toc150262793" </w:instrText>
      </w:r>
      <w:r>
        <w:rPr>
          <w:b/>
          <w:bCs w:val="0"/>
          <w:color w:val="auto"/>
          <w:sz w:val="24"/>
          <w:szCs w:val="24"/>
        </w:rPr>
        <w:fldChar w:fldCharType="separate"/>
      </w:r>
      <w:r>
        <w:rPr>
          <w:rStyle w:val="47"/>
          <w:rFonts w:ascii="宋体" w:hAnsi="宋体"/>
          <w:b/>
          <w:bCs w:val="0"/>
          <w:color w:val="auto"/>
          <w:kern w:val="28"/>
          <w:sz w:val="24"/>
          <w:szCs w:val="24"/>
        </w:rPr>
        <w:t>5.4从安全生产角度是否符合国家有关法律、法规、标准和规范的要求</w:t>
      </w:r>
      <w:r>
        <w:rPr>
          <w:rFonts w:ascii="宋体" w:hAnsi="宋体"/>
          <w:b/>
          <w:bCs w:val="0"/>
          <w:color w:val="auto"/>
          <w:sz w:val="24"/>
          <w:szCs w:val="24"/>
        </w:rPr>
        <w:tab/>
      </w:r>
      <w:r>
        <w:rPr>
          <w:rFonts w:ascii="宋体" w:hAnsi="宋体"/>
          <w:b/>
          <w:bCs w:val="0"/>
          <w:color w:val="auto"/>
          <w:sz w:val="24"/>
          <w:szCs w:val="24"/>
        </w:rPr>
        <w:fldChar w:fldCharType="begin"/>
      </w:r>
      <w:r>
        <w:rPr>
          <w:rFonts w:ascii="宋体" w:hAnsi="宋体"/>
          <w:b/>
          <w:bCs w:val="0"/>
          <w:color w:val="auto"/>
          <w:sz w:val="24"/>
          <w:szCs w:val="24"/>
        </w:rPr>
        <w:instrText xml:space="preserve"> PAGEREF _Toc150262793 \h </w:instrText>
      </w:r>
      <w:r>
        <w:rPr>
          <w:rFonts w:ascii="宋体" w:hAnsi="宋体"/>
          <w:b/>
          <w:bCs w:val="0"/>
          <w:color w:val="auto"/>
          <w:sz w:val="24"/>
          <w:szCs w:val="24"/>
        </w:rPr>
        <w:fldChar w:fldCharType="separate"/>
      </w:r>
      <w:r>
        <w:rPr>
          <w:rFonts w:ascii="宋体" w:hAnsi="宋体"/>
          <w:b/>
          <w:bCs w:val="0"/>
          <w:color w:val="auto"/>
          <w:sz w:val="24"/>
          <w:szCs w:val="24"/>
        </w:rPr>
        <w:t>49</w:t>
      </w:r>
      <w:r>
        <w:rPr>
          <w:rFonts w:ascii="宋体" w:hAnsi="宋体"/>
          <w:b/>
          <w:bCs w:val="0"/>
          <w:color w:val="auto"/>
          <w:sz w:val="24"/>
          <w:szCs w:val="24"/>
        </w:rPr>
        <w:fldChar w:fldCharType="end"/>
      </w:r>
      <w:r>
        <w:rPr>
          <w:rFonts w:ascii="宋体" w:hAnsi="宋体"/>
          <w:b/>
          <w:bCs w:val="0"/>
          <w:color w:val="auto"/>
          <w:sz w:val="24"/>
          <w:szCs w:val="24"/>
        </w:rPr>
        <w:fldChar w:fldCharType="end"/>
      </w:r>
    </w:p>
    <w:p>
      <w:pPr>
        <w:pStyle w:val="29"/>
        <w:keepNext w:val="0"/>
        <w:keepLines w:val="0"/>
        <w:pageBreakBefore w:val="0"/>
        <w:widowControl w:val="0"/>
        <w:kinsoku/>
        <w:wordWrap/>
        <w:overflowPunct/>
        <w:topLinePunct w:val="0"/>
        <w:autoSpaceDE/>
        <w:autoSpaceDN/>
        <w:bidi w:val="0"/>
        <w:adjustRightInd/>
        <w:snapToGrid/>
        <w:spacing w:before="0" w:after="0" w:line="440" w:lineRule="exact"/>
        <w:textAlignment w:val="auto"/>
        <w:rPr>
          <w:rFonts w:ascii="宋体" w:eastAsia="宋体"/>
          <w:b/>
          <w:bCs w:val="0"/>
          <w:caps w:val="0"/>
          <w:color w:val="auto"/>
          <w:sz w:val="24"/>
          <w:szCs w:val="24"/>
        </w:rPr>
      </w:pPr>
      <w:r>
        <w:rPr>
          <w:b/>
          <w:bCs w:val="0"/>
          <w:color w:val="auto"/>
          <w:sz w:val="24"/>
          <w:szCs w:val="24"/>
        </w:rPr>
        <w:fldChar w:fldCharType="begin"/>
      </w:r>
      <w:r>
        <w:rPr>
          <w:b/>
          <w:bCs w:val="0"/>
          <w:color w:val="auto"/>
          <w:sz w:val="24"/>
          <w:szCs w:val="24"/>
        </w:rPr>
        <w:instrText xml:space="preserve"> HYPERLINK \l "_Toc150262794" </w:instrText>
      </w:r>
      <w:r>
        <w:rPr>
          <w:b/>
          <w:bCs w:val="0"/>
          <w:color w:val="auto"/>
          <w:sz w:val="24"/>
          <w:szCs w:val="24"/>
        </w:rPr>
        <w:fldChar w:fldCharType="separate"/>
      </w:r>
      <w:r>
        <w:rPr>
          <w:rStyle w:val="47"/>
          <w:rFonts w:ascii="宋体" w:eastAsia="宋体"/>
          <w:b/>
          <w:bCs w:val="0"/>
          <w:color w:val="auto"/>
          <w:kern w:val="30"/>
          <w:sz w:val="24"/>
          <w:szCs w:val="24"/>
        </w:rPr>
        <w:t>附件</w:t>
      </w:r>
      <w:r>
        <w:rPr>
          <w:rFonts w:ascii="宋体" w:eastAsia="宋体"/>
          <w:b/>
          <w:bCs w:val="0"/>
          <w:color w:val="auto"/>
          <w:sz w:val="24"/>
          <w:szCs w:val="24"/>
        </w:rPr>
        <w:tab/>
      </w:r>
      <w:r>
        <w:rPr>
          <w:rFonts w:ascii="宋体" w:eastAsia="宋体"/>
          <w:b/>
          <w:bCs w:val="0"/>
          <w:color w:val="auto"/>
          <w:sz w:val="24"/>
          <w:szCs w:val="24"/>
        </w:rPr>
        <w:fldChar w:fldCharType="begin"/>
      </w:r>
      <w:r>
        <w:rPr>
          <w:rFonts w:ascii="宋体" w:eastAsia="宋体"/>
          <w:b/>
          <w:bCs w:val="0"/>
          <w:color w:val="auto"/>
          <w:sz w:val="24"/>
          <w:szCs w:val="24"/>
        </w:rPr>
        <w:instrText xml:space="preserve"> PAGEREF _Toc150262794 \h </w:instrText>
      </w:r>
      <w:r>
        <w:rPr>
          <w:rFonts w:ascii="宋体" w:eastAsia="宋体"/>
          <w:b/>
          <w:bCs w:val="0"/>
          <w:color w:val="auto"/>
          <w:sz w:val="24"/>
          <w:szCs w:val="24"/>
        </w:rPr>
        <w:fldChar w:fldCharType="separate"/>
      </w:r>
      <w:r>
        <w:rPr>
          <w:rFonts w:ascii="宋体" w:eastAsia="宋体"/>
          <w:b/>
          <w:bCs w:val="0"/>
          <w:color w:val="auto"/>
          <w:sz w:val="24"/>
          <w:szCs w:val="24"/>
        </w:rPr>
        <w:t>50</w:t>
      </w:r>
      <w:r>
        <w:rPr>
          <w:rFonts w:ascii="宋体" w:eastAsia="宋体"/>
          <w:b/>
          <w:bCs w:val="0"/>
          <w:color w:val="auto"/>
          <w:sz w:val="24"/>
          <w:szCs w:val="24"/>
        </w:rPr>
        <w:fldChar w:fldCharType="end"/>
      </w:r>
      <w:r>
        <w:rPr>
          <w:rFonts w:ascii="宋体" w:eastAsia="宋体"/>
          <w:b/>
          <w:bCs w:val="0"/>
          <w:color w:val="auto"/>
          <w:sz w:val="24"/>
          <w:szCs w:val="24"/>
        </w:rPr>
        <w:fldChar w:fldCharType="end"/>
      </w:r>
    </w:p>
    <w:p>
      <w:pPr>
        <w:pStyle w:val="33"/>
        <w:widowControl/>
        <w:tabs>
          <w:tab w:val="right" w:leader="dot" w:pos="9174"/>
        </w:tabs>
        <w:spacing w:line="500" w:lineRule="exact"/>
        <w:rPr>
          <w:rFonts w:ascii="宋体" w:hAnsi="宋体"/>
          <w:color w:val="auto"/>
          <w:sz w:val="24"/>
        </w:rPr>
        <w:sectPr>
          <w:headerReference r:id="rId9" w:type="first"/>
          <w:footerReference r:id="rId11" w:type="first"/>
          <w:headerReference r:id="rId8" w:type="even"/>
          <w:footerReference r:id="rId10" w:type="even"/>
          <w:pgSz w:w="11906" w:h="16838"/>
          <w:pgMar w:top="1134" w:right="1134" w:bottom="1418" w:left="1588" w:header="851" w:footer="992" w:gutter="0"/>
          <w:pgBorders>
            <w:top w:val="none" w:sz="0" w:space="0"/>
            <w:left w:val="none" w:sz="0" w:space="0"/>
            <w:bottom w:val="none" w:sz="0" w:space="0"/>
            <w:right w:val="none" w:sz="0" w:space="0"/>
          </w:pgBorders>
          <w:pgNumType w:fmt="upperRoman"/>
          <w:cols w:space="720" w:num="1"/>
          <w:docGrid w:linePitch="312" w:charSpace="0"/>
        </w:sectPr>
      </w:pPr>
      <w:r>
        <w:rPr>
          <w:rFonts w:hint="eastAsia" w:ascii="宋体" w:hAnsi="宋体"/>
          <w:bCs/>
          <w:caps/>
          <w:color w:val="auto"/>
          <w:sz w:val="24"/>
          <w:szCs w:val="24"/>
        </w:rPr>
        <w:fldChar w:fldCharType="end"/>
      </w:r>
    </w:p>
    <w:p>
      <w:pPr>
        <w:pStyle w:val="3"/>
        <w:widowControl/>
        <w:spacing w:before="120" w:after="120" w:line="500" w:lineRule="exact"/>
        <w:rPr>
          <w:rFonts w:ascii="宋体" w:hAnsi="宋体" w:eastAsia="宋体"/>
          <w:b/>
          <w:color w:val="auto"/>
          <w:kern w:val="30"/>
          <w:sz w:val="30"/>
          <w:szCs w:val="30"/>
        </w:rPr>
      </w:pPr>
      <w:bookmarkStart w:id="18" w:name="_Toc198106898"/>
      <w:bookmarkStart w:id="19" w:name="_Toc168484294"/>
      <w:bookmarkStart w:id="20" w:name="_Toc233881311"/>
      <w:bookmarkStart w:id="21" w:name="_Toc150262766"/>
      <w:r>
        <w:rPr>
          <w:rFonts w:hint="eastAsia" w:ascii="宋体" w:hAnsi="宋体" w:eastAsia="宋体"/>
          <w:b/>
          <w:color w:val="auto"/>
          <w:kern w:val="30"/>
          <w:sz w:val="30"/>
          <w:szCs w:val="30"/>
        </w:rPr>
        <w:t>1</w:t>
      </w:r>
      <w:bookmarkEnd w:id="11"/>
      <w:bookmarkEnd w:id="12"/>
      <w:bookmarkEnd w:id="13"/>
      <w:bookmarkEnd w:id="14"/>
      <w:bookmarkEnd w:id="15"/>
      <w:bookmarkEnd w:id="16"/>
      <w:bookmarkEnd w:id="17"/>
      <w:bookmarkEnd w:id="18"/>
      <w:bookmarkEnd w:id="19"/>
      <w:bookmarkEnd w:id="20"/>
      <w:r>
        <w:rPr>
          <w:rFonts w:hint="eastAsia" w:ascii="宋体" w:hAnsi="宋体" w:eastAsia="宋体"/>
          <w:b/>
          <w:color w:val="auto"/>
          <w:kern w:val="30"/>
          <w:sz w:val="30"/>
          <w:szCs w:val="30"/>
        </w:rPr>
        <w:t>评价对象与依据</w:t>
      </w:r>
      <w:bookmarkEnd w:id="21"/>
    </w:p>
    <w:p>
      <w:pPr>
        <w:pStyle w:val="4"/>
        <w:keepLines w:val="0"/>
        <w:widowControl/>
        <w:spacing w:before="120" w:after="120" w:line="500" w:lineRule="exact"/>
        <w:rPr>
          <w:rFonts w:ascii="宋体" w:hAnsi="宋体" w:eastAsia="宋体"/>
          <w:b/>
          <w:bCs w:val="0"/>
          <w:color w:val="auto"/>
          <w:kern w:val="28"/>
          <w:sz w:val="28"/>
          <w:szCs w:val="28"/>
        </w:rPr>
      </w:pPr>
      <w:bookmarkStart w:id="22" w:name="_Toc168484297"/>
      <w:bookmarkStart w:id="23" w:name="_Toc149559781"/>
      <w:bookmarkStart w:id="24" w:name="_Toc233881323"/>
      <w:bookmarkStart w:id="25" w:name="_Toc158167946"/>
      <w:bookmarkStart w:id="26" w:name="_Toc158167833"/>
      <w:bookmarkStart w:id="27" w:name="_Toc198106901"/>
      <w:bookmarkStart w:id="28" w:name="_Toc156811359"/>
      <w:bookmarkStart w:id="29" w:name="_Toc150262767"/>
      <w:bookmarkStart w:id="30" w:name="_Toc193792548"/>
      <w:bookmarkStart w:id="31" w:name="_Toc176255623"/>
      <w:bookmarkStart w:id="32" w:name="_Toc182107657"/>
      <w:bookmarkStart w:id="33" w:name="_Toc185329015"/>
      <w:bookmarkStart w:id="34" w:name="_Toc172953870"/>
      <w:bookmarkStart w:id="35" w:name="_Toc188158279"/>
      <w:bookmarkStart w:id="36" w:name="_Toc194481338"/>
      <w:bookmarkStart w:id="37" w:name="_Toc189299989"/>
      <w:bookmarkStart w:id="38" w:name="_Toc173312587"/>
      <w:bookmarkStart w:id="39" w:name="_Toc193789349"/>
      <w:bookmarkStart w:id="40" w:name="_Toc180549430"/>
      <w:bookmarkStart w:id="41" w:name="_Toc190416504"/>
      <w:bookmarkStart w:id="42" w:name="_Toc176254586"/>
      <w:bookmarkStart w:id="43" w:name="_Toc176254708"/>
      <w:bookmarkStart w:id="44" w:name="_Toc185383116"/>
      <w:bookmarkStart w:id="45" w:name="_Toc173573444"/>
      <w:bookmarkStart w:id="46" w:name="_Toc193792439"/>
      <w:bookmarkStart w:id="47" w:name="_Toc172892278"/>
      <w:bookmarkStart w:id="48" w:name="_Toc233881312"/>
      <w:bookmarkStart w:id="49" w:name="_Toc181243074"/>
      <w:bookmarkStart w:id="50" w:name="_Toc193101125"/>
      <w:bookmarkStart w:id="51" w:name="_Toc176320302"/>
      <w:bookmarkStart w:id="52" w:name="_Toc176687737"/>
      <w:bookmarkStart w:id="53" w:name="_Toc185913941"/>
      <w:bookmarkStart w:id="54" w:name="_Toc185347500"/>
      <w:bookmarkStart w:id="55" w:name="_Toc189300136"/>
      <w:bookmarkStart w:id="56" w:name="_Toc194551630"/>
      <w:bookmarkStart w:id="57" w:name="_Toc188851053"/>
      <w:r>
        <w:rPr>
          <w:rFonts w:hint="eastAsia" w:ascii="宋体" w:hAnsi="宋体" w:eastAsia="宋体"/>
          <w:b/>
          <w:bCs w:val="0"/>
          <w:color w:val="auto"/>
          <w:kern w:val="28"/>
          <w:sz w:val="28"/>
          <w:szCs w:val="28"/>
        </w:rPr>
        <w:t>1.1评价对象和范围</w:t>
      </w:r>
      <w:bookmarkEnd w:id="22"/>
      <w:bookmarkEnd w:id="23"/>
      <w:bookmarkEnd w:id="24"/>
      <w:bookmarkEnd w:id="25"/>
      <w:bookmarkEnd w:id="26"/>
      <w:bookmarkEnd w:id="27"/>
      <w:bookmarkEnd w:id="28"/>
      <w:bookmarkEnd w:id="29"/>
    </w:p>
    <w:p>
      <w:pPr>
        <w:widowControl/>
        <w:spacing w:line="500" w:lineRule="exact"/>
        <w:ind w:firstLine="480" w:firstLineChars="200"/>
        <w:rPr>
          <w:rFonts w:ascii="宋体" w:hAnsi="宋体"/>
          <w:color w:val="auto"/>
          <w:sz w:val="24"/>
        </w:rPr>
      </w:pPr>
      <w:r>
        <w:rPr>
          <w:rFonts w:ascii="宋体" w:hAnsi="宋体"/>
          <w:color w:val="auto"/>
          <w:sz w:val="24"/>
        </w:rPr>
        <w:t>本次</w:t>
      </w:r>
      <w:r>
        <w:rPr>
          <w:rFonts w:hint="eastAsia" w:ascii="宋体" w:hAnsi="宋体"/>
          <w:color w:val="auto"/>
          <w:sz w:val="24"/>
        </w:rPr>
        <w:t>预</w:t>
      </w:r>
      <w:r>
        <w:rPr>
          <w:rFonts w:ascii="宋体" w:hAnsi="宋体"/>
          <w:color w:val="auto"/>
          <w:sz w:val="24"/>
        </w:rPr>
        <w:t>评价的对象是</w:t>
      </w:r>
      <w:r>
        <w:rPr>
          <w:rFonts w:hint="eastAsia" w:ascii="宋体" w:hAnsi="宋体"/>
          <w:color w:val="auto"/>
          <w:sz w:val="24"/>
        </w:rPr>
        <w:t>兴宁市守元矿业有限公司军营高岭土矿分公司扩建年产5万吨高岭土露天开采项目。</w:t>
      </w:r>
    </w:p>
    <w:p>
      <w:pPr>
        <w:widowControl/>
        <w:spacing w:line="500" w:lineRule="exact"/>
        <w:ind w:firstLine="480" w:firstLineChars="200"/>
        <w:rPr>
          <w:rFonts w:ascii="宋体" w:hAnsi="宋体"/>
          <w:color w:val="auto"/>
          <w:sz w:val="24"/>
        </w:rPr>
      </w:pPr>
      <w:r>
        <w:rPr>
          <w:rFonts w:ascii="宋体" w:hAnsi="宋体"/>
          <w:color w:val="auto"/>
          <w:sz w:val="24"/>
        </w:rPr>
        <w:t>评价范围为该</w:t>
      </w:r>
      <w:r>
        <w:rPr>
          <w:rFonts w:hint="eastAsia" w:ascii="宋体" w:hAnsi="宋体"/>
          <w:color w:val="auto"/>
          <w:sz w:val="24"/>
        </w:rPr>
        <w:t>新建</w:t>
      </w:r>
      <w:r>
        <w:rPr>
          <w:rFonts w:ascii="宋体" w:hAnsi="宋体"/>
          <w:color w:val="auto"/>
          <w:sz w:val="24"/>
        </w:rPr>
        <w:t>项目</w:t>
      </w:r>
      <w:r>
        <w:rPr>
          <w:rFonts w:hint="eastAsia" w:ascii="宋体" w:hAnsi="宋体"/>
          <w:color w:val="auto"/>
          <w:sz w:val="24"/>
        </w:rPr>
        <w:t>《采矿许可证》划定范围内（平面范围面积：0.1522km</w:t>
      </w:r>
      <w:r>
        <w:rPr>
          <w:rFonts w:hint="eastAsia" w:ascii="宋体" w:hAnsi="宋体"/>
          <w:color w:val="auto"/>
          <w:sz w:val="24"/>
          <w:vertAlign w:val="superscript"/>
        </w:rPr>
        <w:t>2</w:t>
      </w:r>
      <w:r>
        <w:rPr>
          <w:rFonts w:hint="eastAsia" w:ascii="宋体" w:hAnsi="宋体"/>
          <w:color w:val="auto"/>
          <w:sz w:val="24"/>
        </w:rPr>
        <w:t>，垂直范围：标高+375m～+250m）拟</w:t>
      </w:r>
      <w:r>
        <w:rPr>
          <w:rFonts w:ascii="宋体" w:hAnsi="宋体"/>
          <w:color w:val="auto"/>
          <w:sz w:val="24"/>
        </w:rPr>
        <w:t>选用的生产</w:t>
      </w:r>
      <w:r>
        <w:rPr>
          <w:rFonts w:hint="eastAsia" w:ascii="宋体" w:hAnsi="宋体"/>
          <w:color w:val="auto"/>
          <w:sz w:val="24"/>
        </w:rPr>
        <w:t>系统（设备设施、采矿工艺）和</w:t>
      </w:r>
      <w:r>
        <w:rPr>
          <w:rFonts w:ascii="宋体" w:hAnsi="宋体"/>
          <w:color w:val="auto"/>
          <w:sz w:val="24"/>
        </w:rPr>
        <w:t>辅助设施</w:t>
      </w:r>
      <w:r>
        <w:rPr>
          <w:rFonts w:hint="eastAsia" w:ascii="宋体" w:hAnsi="宋体"/>
          <w:color w:val="auto"/>
          <w:sz w:val="24"/>
        </w:rPr>
        <w:t>的安全设施</w:t>
      </w:r>
      <w:r>
        <w:rPr>
          <w:rFonts w:ascii="宋体" w:hAnsi="宋体"/>
          <w:color w:val="auto"/>
          <w:sz w:val="24"/>
        </w:rPr>
        <w:t>、总平面布置（包括</w:t>
      </w:r>
      <w:r>
        <w:rPr>
          <w:rFonts w:hint="eastAsia" w:ascii="宋体" w:hAnsi="宋体"/>
          <w:color w:val="auto"/>
          <w:sz w:val="24"/>
        </w:rPr>
        <w:t>项目选址、</w:t>
      </w:r>
      <w:r>
        <w:rPr>
          <w:rFonts w:ascii="宋体" w:hAnsi="宋体"/>
          <w:color w:val="auto"/>
          <w:sz w:val="24"/>
        </w:rPr>
        <w:t>与周边环境的相互影响）</w:t>
      </w:r>
      <w:r>
        <w:rPr>
          <w:rFonts w:hint="eastAsia" w:ascii="宋体" w:hAnsi="宋体"/>
          <w:color w:val="auto"/>
          <w:sz w:val="24"/>
        </w:rPr>
        <w:t>等安全生产管理。</w:t>
      </w:r>
    </w:p>
    <w:p>
      <w:pPr>
        <w:widowControl/>
        <w:spacing w:line="500" w:lineRule="exact"/>
        <w:ind w:firstLine="480" w:firstLineChars="200"/>
        <w:rPr>
          <w:rFonts w:ascii="宋体" w:hAnsi="宋体"/>
          <w:color w:val="auto"/>
          <w:sz w:val="24"/>
        </w:rPr>
      </w:pPr>
      <w:r>
        <w:rPr>
          <w:rFonts w:hint="eastAsia" w:ascii="宋体" w:hAnsi="宋体"/>
          <w:color w:val="auto"/>
          <w:sz w:val="24"/>
        </w:rPr>
        <w:t>该公司的环保问题、产品的厂外运输等不在本次评价范围内。</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4"/>
        <w:keepLines w:val="0"/>
        <w:widowControl/>
        <w:spacing w:before="120" w:after="120" w:line="500" w:lineRule="exact"/>
        <w:rPr>
          <w:rFonts w:ascii="宋体" w:hAnsi="宋体" w:eastAsia="宋体"/>
          <w:b/>
          <w:bCs w:val="0"/>
          <w:color w:val="auto"/>
          <w:kern w:val="28"/>
          <w:sz w:val="28"/>
          <w:szCs w:val="28"/>
        </w:rPr>
      </w:pPr>
      <w:bookmarkStart w:id="58" w:name="_Toc150262768"/>
      <w:bookmarkStart w:id="59" w:name="_Toc242857489"/>
      <w:bookmarkStart w:id="60" w:name="_Toc274919626"/>
      <w:r>
        <w:rPr>
          <w:rFonts w:hint="eastAsia" w:ascii="宋体" w:hAnsi="宋体" w:eastAsia="宋体"/>
          <w:b/>
          <w:bCs w:val="0"/>
          <w:color w:val="auto"/>
          <w:kern w:val="28"/>
          <w:sz w:val="28"/>
          <w:szCs w:val="28"/>
        </w:rPr>
        <w:t>1.2评价依据</w:t>
      </w:r>
      <w:bookmarkEnd w:id="58"/>
      <w:bookmarkEnd w:id="59"/>
      <w:bookmarkEnd w:id="60"/>
    </w:p>
    <w:p>
      <w:pPr>
        <w:pStyle w:val="5"/>
        <w:keepLines w:val="0"/>
        <w:widowControl/>
        <w:spacing w:before="120" w:after="120" w:line="500" w:lineRule="exact"/>
        <w:rPr>
          <w:rFonts w:ascii="宋体" w:hAnsi="宋体"/>
          <w:color w:val="auto"/>
          <w:kern w:val="28"/>
          <w:sz w:val="28"/>
          <w:szCs w:val="28"/>
        </w:rPr>
      </w:pPr>
      <w:bookmarkStart w:id="61" w:name="_Toc335328916"/>
      <w:r>
        <w:rPr>
          <w:rFonts w:hint="eastAsia" w:ascii="宋体" w:hAnsi="宋体"/>
          <w:color w:val="auto"/>
          <w:kern w:val="28"/>
          <w:sz w:val="28"/>
          <w:szCs w:val="28"/>
        </w:rPr>
        <w:t>1.2.1法律法规</w:t>
      </w:r>
      <w:bookmarkEnd w:id="61"/>
    </w:p>
    <w:p>
      <w:pPr>
        <w:widowControl/>
        <w:spacing w:line="500" w:lineRule="exact"/>
        <w:ind w:firstLine="482" w:firstLineChars="200"/>
        <w:rPr>
          <w:rFonts w:ascii="宋体" w:hAnsi="宋体"/>
          <w:b/>
          <w:color w:val="auto"/>
          <w:sz w:val="24"/>
        </w:rPr>
      </w:pPr>
      <w:r>
        <w:rPr>
          <w:rFonts w:hint="eastAsia" w:ascii="宋体" w:hAnsi="宋体"/>
          <w:b/>
          <w:color w:val="auto"/>
          <w:sz w:val="24"/>
        </w:rPr>
        <w:t>（1）法律</w:t>
      </w:r>
    </w:p>
    <w:p>
      <w:pPr>
        <w:widowControl/>
        <w:numPr>
          <w:ilvl w:val="0"/>
          <w:numId w:val="1"/>
        </w:numPr>
        <w:tabs>
          <w:tab w:val="left" w:pos="284"/>
          <w:tab w:val="left" w:pos="567"/>
        </w:tabs>
        <w:spacing w:line="500" w:lineRule="exact"/>
        <w:ind w:firstLine="480" w:firstLineChars="200"/>
        <w:rPr>
          <w:rFonts w:ascii="宋体" w:hAnsi="宋体"/>
          <w:color w:val="auto"/>
          <w:sz w:val="24"/>
        </w:rPr>
      </w:pPr>
      <w:bookmarkStart w:id="62" w:name="OLE_LINK1"/>
      <w:r>
        <w:rPr>
          <w:rFonts w:ascii="宋体" w:hAnsi="宋体"/>
          <w:color w:val="auto"/>
          <w:sz w:val="24"/>
        </w:rPr>
        <w:t>《中华人民共和国矿产资源法》（中华人民共和国主席令</w:t>
      </w:r>
      <w:r>
        <w:rPr>
          <w:rFonts w:hint="eastAsia" w:ascii="宋体" w:hAnsi="宋体"/>
          <w:color w:val="auto"/>
          <w:sz w:val="24"/>
        </w:rPr>
        <w:t>第三十六号</w:t>
      </w:r>
      <w:r>
        <w:rPr>
          <w:rFonts w:ascii="宋体" w:hAnsi="宋体"/>
          <w:color w:val="auto"/>
          <w:sz w:val="24"/>
        </w:rPr>
        <w:t>，</w:t>
      </w:r>
      <w:r>
        <w:rPr>
          <w:rFonts w:hint="eastAsia" w:ascii="宋体" w:hAnsi="宋体"/>
          <w:color w:val="auto"/>
          <w:sz w:val="24"/>
        </w:rPr>
        <w:t>1986年3月19日公布，</w:t>
      </w:r>
      <w:r>
        <w:rPr>
          <w:rFonts w:ascii="宋体" w:hAnsi="宋体"/>
          <w:color w:val="auto"/>
          <w:sz w:val="24"/>
        </w:rPr>
        <w:t>自</w:t>
      </w:r>
      <w:r>
        <w:rPr>
          <w:rFonts w:hint="eastAsia" w:ascii="宋体" w:hAnsi="宋体"/>
          <w:color w:val="auto"/>
          <w:sz w:val="24"/>
        </w:rPr>
        <w:t>1986年10月1日施行；经《全国人民代表大会常务委员会关于修改部分法律的决定》（中华人民共和国主席令第十八号，2009年8月27日）第二次修正</w:t>
      </w:r>
      <w:r>
        <w:rPr>
          <w:rFonts w:ascii="宋体" w:hAnsi="宋体"/>
          <w:color w:val="auto"/>
          <w:sz w:val="24"/>
        </w:rPr>
        <w:t>）；</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《中华人民共和国矿山安全法》（中华人民共和国主席令第六十五号，</w:t>
      </w:r>
      <w:r>
        <w:rPr>
          <w:rFonts w:hint="eastAsia" w:ascii="宋体" w:hAnsi="宋体"/>
          <w:color w:val="auto"/>
          <w:sz w:val="24"/>
        </w:rPr>
        <w:t>1992年11月7日公布，</w:t>
      </w:r>
      <w:r>
        <w:rPr>
          <w:rFonts w:ascii="宋体" w:hAnsi="宋体"/>
          <w:color w:val="auto"/>
          <w:sz w:val="24"/>
        </w:rPr>
        <w:t>自</w:t>
      </w:r>
      <w:r>
        <w:rPr>
          <w:rFonts w:hint="eastAsia" w:ascii="宋体" w:hAnsi="宋体"/>
          <w:color w:val="auto"/>
          <w:sz w:val="24"/>
        </w:rPr>
        <w:t>1993</w:t>
      </w:r>
      <w:r>
        <w:rPr>
          <w:rFonts w:ascii="宋体" w:hAnsi="宋体"/>
          <w:color w:val="auto"/>
          <w:sz w:val="24"/>
        </w:rPr>
        <w:t>年</w:t>
      </w:r>
      <w:r>
        <w:rPr>
          <w:rFonts w:hint="eastAsia" w:ascii="宋体" w:hAnsi="宋体"/>
          <w:color w:val="auto"/>
          <w:sz w:val="24"/>
        </w:rPr>
        <w:t>5</w:t>
      </w:r>
      <w:r>
        <w:rPr>
          <w:rFonts w:ascii="宋体" w:hAnsi="宋体"/>
          <w:color w:val="auto"/>
          <w:sz w:val="24"/>
        </w:rPr>
        <w:t>月</w:t>
      </w:r>
      <w:r>
        <w:rPr>
          <w:rFonts w:hint="eastAsia" w:ascii="宋体" w:hAnsi="宋体"/>
          <w:color w:val="auto"/>
          <w:sz w:val="24"/>
        </w:rPr>
        <w:t>1</w:t>
      </w:r>
      <w:r>
        <w:rPr>
          <w:rFonts w:ascii="宋体" w:hAnsi="宋体"/>
          <w:color w:val="auto"/>
          <w:sz w:val="24"/>
        </w:rPr>
        <w:t>日</w:t>
      </w:r>
      <w:r>
        <w:rPr>
          <w:rFonts w:hint="eastAsia" w:ascii="宋体" w:hAnsi="宋体"/>
          <w:color w:val="auto"/>
          <w:sz w:val="24"/>
        </w:rPr>
        <w:t>施行；经《全国人民代表大会常务委员会关于修改部分法律的决定》（</w:t>
      </w:r>
      <w:r>
        <w:rPr>
          <w:rFonts w:ascii="宋体" w:hAnsi="宋体"/>
          <w:color w:val="auto"/>
          <w:sz w:val="24"/>
        </w:rPr>
        <w:t>中华人民共和国主席令</w:t>
      </w:r>
      <w:r>
        <w:rPr>
          <w:rFonts w:hint="eastAsia" w:ascii="宋体" w:hAnsi="宋体"/>
          <w:color w:val="auto"/>
          <w:sz w:val="24"/>
        </w:rPr>
        <w:t>第十八</w:t>
      </w:r>
      <w:r>
        <w:rPr>
          <w:rFonts w:ascii="宋体" w:hAnsi="宋体"/>
          <w:color w:val="auto"/>
          <w:sz w:val="24"/>
        </w:rPr>
        <w:t>号</w:t>
      </w:r>
      <w:r>
        <w:rPr>
          <w:rFonts w:hint="eastAsia" w:ascii="宋体" w:hAnsi="宋体"/>
          <w:color w:val="auto"/>
          <w:sz w:val="24"/>
        </w:rPr>
        <w:t>2009年8月27日）修正</w:t>
      </w:r>
      <w:r>
        <w:rPr>
          <w:rFonts w:ascii="宋体" w:hAnsi="宋体"/>
          <w:color w:val="auto"/>
          <w:sz w:val="24"/>
        </w:rPr>
        <w:t>）；</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《中华人民共和国劳动法》（中华人民共和国主席令</w:t>
      </w:r>
      <w:r>
        <w:rPr>
          <w:rFonts w:hint="eastAsia" w:ascii="宋体" w:hAnsi="宋体"/>
          <w:color w:val="auto"/>
          <w:sz w:val="24"/>
        </w:rPr>
        <w:t>第六十五号</w:t>
      </w:r>
      <w:r>
        <w:rPr>
          <w:rFonts w:ascii="宋体" w:hAnsi="宋体"/>
          <w:color w:val="auto"/>
          <w:sz w:val="24"/>
        </w:rPr>
        <w:t>，</w:t>
      </w:r>
      <w:r>
        <w:rPr>
          <w:rFonts w:hint="eastAsia" w:ascii="宋体" w:hAnsi="宋体"/>
          <w:color w:val="auto"/>
          <w:sz w:val="24"/>
        </w:rPr>
        <w:t>2007年6月29日公布</w:t>
      </w:r>
      <w:r>
        <w:rPr>
          <w:rFonts w:ascii="宋体" w:hAnsi="宋体"/>
          <w:color w:val="auto"/>
          <w:sz w:val="24"/>
        </w:rPr>
        <w:t>，自20</w:t>
      </w:r>
      <w:r>
        <w:rPr>
          <w:rFonts w:hint="eastAsia" w:ascii="宋体" w:hAnsi="宋体"/>
          <w:color w:val="auto"/>
          <w:sz w:val="24"/>
        </w:rPr>
        <w:t>08</w:t>
      </w:r>
      <w:r>
        <w:rPr>
          <w:rFonts w:ascii="宋体" w:hAnsi="宋体"/>
          <w:color w:val="auto"/>
          <w:sz w:val="24"/>
        </w:rPr>
        <w:t>年</w:t>
      </w:r>
      <w:r>
        <w:rPr>
          <w:rFonts w:hint="eastAsia" w:ascii="宋体" w:hAnsi="宋体"/>
          <w:color w:val="auto"/>
          <w:sz w:val="24"/>
        </w:rPr>
        <w:t>1</w:t>
      </w:r>
      <w:r>
        <w:rPr>
          <w:rFonts w:ascii="宋体" w:hAnsi="宋体"/>
          <w:color w:val="auto"/>
          <w:sz w:val="24"/>
        </w:rPr>
        <w:t>月1日起施行</w:t>
      </w:r>
      <w:r>
        <w:rPr>
          <w:rFonts w:hint="eastAsia" w:ascii="宋体" w:hAnsi="宋体"/>
          <w:color w:val="auto"/>
          <w:sz w:val="24"/>
        </w:rPr>
        <w:t>；经《全国人民代表大会常务委员会关于修改〈中华人民共和国劳动合同法〉的决定》（中华人民共和国主席令第七十三号，2012年12月28日）修正</w:t>
      </w:r>
      <w:r>
        <w:rPr>
          <w:rFonts w:ascii="宋体" w:hAnsi="宋体"/>
          <w:color w:val="auto"/>
          <w:sz w:val="24"/>
        </w:rPr>
        <w:t>）；</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《中华人民共和国消防法》（</w:t>
      </w:r>
      <w:r>
        <w:rPr>
          <w:rFonts w:ascii="宋体" w:hAnsi="宋体"/>
          <w:color w:val="auto"/>
          <w:sz w:val="24"/>
        </w:rPr>
        <w:t>中华人民共和国主席令第六号，</w:t>
      </w:r>
      <w:r>
        <w:rPr>
          <w:rFonts w:hint="eastAsia" w:ascii="宋体" w:hAnsi="宋体"/>
          <w:color w:val="auto"/>
          <w:sz w:val="24"/>
        </w:rPr>
        <w:t>2008年10月28日公布</w:t>
      </w:r>
      <w:r>
        <w:rPr>
          <w:rFonts w:ascii="宋体" w:hAnsi="宋体"/>
          <w:color w:val="auto"/>
          <w:sz w:val="24"/>
        </w:rPr>
        <w:t>，自</w:t>
      </w:r>
      <w:r>
        <w:rPr>
          <w:rFonts w:hint="eastAsia" w:ascii="宋体" w:hAnsi="宋体"/>
          <w:color w:val="auto"/>
          <w:sz w:val="24"/>
        </w:rPr>
        <w:t>2009年5月1日</w:t>
      </w:r>
      <w:r>
        <w:rPr>
          <w:rFonts w:ascii="宋体" w:hAnsi="宋体"/>
          <w:color w:val="auto"/>
          <w:sz w:val="24"/>
        </w:rPr>
        <w:t>起施行</w:t>
      </w:r>
      <w:r>
        <w:rPr>
          <w:rFonts w:hint="eastAsia" w:ascii="宋体" w:hAnsi="宋体"/>
          <w:color w:val="auto"/>
          <w:sz w:val="24"/>
        </w:rPr>
        <w:t>；经《关于修改〈中华人民共和国道路交通安全法〉等八部法律的决定》（中华人民共和国主席令第八十一号，2021年4月29日）第二次修正）；</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《中华人民共和国职业病防治法》</w:t>
      </w:r>
      <w:r>
        <w:rPr>
          <w:rFonts w:hint="eastAsia" w:ascii="宋体" w:hAnsi="宋体"/>
          <w:color w:val="auto"/>
          <w:sz w:val="24"/>
        </w:rPr>
        <w:t>（</w:t>
      </w:r>
      <w:r>
        <w:rPr>
          <w:rFonts w:ascii="宋体" w:hAnsi="宋体"/>
          <w:color w:val="auto"/>
          <w:sz w:val="24"/>
        </w:rPr>
        <w:t>中华人民共和国主席令第</w:t>
      </w:r>
      <w:r>
        <w:rPr>
          <w:rFonts w:hint="eastAsia" w:ascii="宋体" w:hAnsi="宋体"/>
          <w:color w:val="auto"/>
          <w:sz w:val="24"/>
        </w:rPr>
        <w:t>六十</w:t>
      </w:r>
      <w:r>
        <w:rPr>
          <w:rFonts w:ascii="宋体" w:hAnsi="宋体"/>
          <w:color w:val="auto"/>
          <w:sz w:val="24"/>
        </w:rPr>
        <w:t>号，</w:t>
      </w:r>
      <w:r>
        <w:rPr>
          <w:rFonts w:hint="eastAsia" w:ascii="宋体" w:hAnsi="宋体"/>
          <w:color w:val="auto"/>
          <w:sz w:val="24"/>
        </w:rPr>
        <w:t>2001年10月27日公布，</w:t>
      </w:r>
      <w:r>
        <w:rPr>
          <w:rFonts w:ascii="宋体" w:hAnsi="宋体"/>
          <w:color w:val="auto"/>
          <w:sz w:val="24"/>
        </w:rPr>
        <w:t>自</w:t>
      </w:r>
      <w:r>
        <w:rPr>
          <w:rFonts w:hint="eastAsia" w:ascii="宋体" w:hAnsi="宋体"/>
          <w:color w:val="auto"/>
          <w:sz w:val="24"/>
        </w:rPr>
        <w:t>2002年5月1日</w:t>
      </w:r>
      <w:r>
        <w:rPr>
          <w:rFonts w:ascii="宋体" w:hAnsi="宋体"/>
          <w:color w:val="auto"/>
          <w:sz w:val="24"/>
        </w:rPr>
        <w:t>起施行</w:t>
      </w:r>
      <w:r>
        <w:rPr>
          <w:rFonts w:hint="eastAsia" w:ascii="宋体" w:hAnsi="宋体"/>
          <w:color w:val="auto"/>
          <w:sz w:val="24"/>
        </w:rPr>
        <w:t>；经《关于修改〈中华人民共和国劳动法〉等七部法律的决定》（中华人民共和国主席令第二十四号，2018年12月29日）第四次修正）；</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《中华人民共和国安全生产法》（</w:t>
      </w:r>
      <w:r>
        <w:rPr>
          <w:rFonts w:hint="eastAsia" w:ascii="宋体" w:hAnsi="宋体"/>
          <w:color w:val="auto"/>
          <w:sz w:val="24"/>
        </w:rPr>
        <w:t>中华人民共和国主席令第七十号，2002年6月29日公布，</w:t>
      </w:r>
      <w:r>
        <w:rPr>
          <w:rFonts w:ascii="宋体" w:hAnsi="宋体"/>
          <w:color w:val="auto"/>
          <w:sz w:val="24"/>
        </w:rPr>
        <w:t>自20</w:t>
      </w:r>
      <w:r>
        <w:rPr>
          <w:rFonts w:hint="eastAsia" w:ascii="宋体" w:hAnsi="宋体"/>
          <w:color w:val="auto"/>
          <w:sz w:val="24"/>
        </w:rPr>
        <w:t>02</w:t>
      </w:r>
      <w:r>
        <w:rPr>
          <w:rFonts w:ascii="宋体" w:hAnsi="宋体"/>
          <w:color w:val="auto"/>
          <w:sz w:val="24"/>
        </w:rPr>
        <w:t>年</w:t>
      </w:r>
      <w:r>
        <w:rPr>
          <w:rFonts w:hint="eastAsia" w:ascii="宋体" w:hAnsi="宋体"/>
          <w:color w:val="auto"/>
          <w:sz w:val="24"/>
        </w:rPr>
        <w:t>11</w:t>
      </w:r>
      <w:r>
        <w:rPr>
          <w:rFonts w:ascii="宋体" w:hAnsi="宋体"/>
          <w:color w:val="auto"/>
          <w:sz w:val="24"/>
        </w:rPr>
        <w:t>月1日起施行</w:t>
      </w:r>
      <w:r>
        <w:rPr>
          <w:rFonts w:hint="eastAsia" w:ascii="宋体" w:hAnsi="宋体"/>
          <w:color w:val="auto"/>
          <w:sz w:val="24"/>
        </w:rPr>
        <w:t>；经</w:t>
      </w:r>
      <w:r>
        <w:rPr>
          <w:rFonts w:ascii="宋体" w:hAnsi="宋体"/>
          <w:color w:val="auto"/>
          <w:sz w:val="24"/>
        </w:rPr>
        <w:t>《全国人民代表大会常务委员会关于修改〈中华人民共和国安全生产法〉的决定》</w:t>
      </w:r>
      <w:r>
        <w:rPr>
          <w:rFonts w:hint="eastAsia" w:ascii="宋体" w:hAnsi="宋体"/>
          <w:color w:val="auto"/>
          <w:sz w:val="24"/>
        </w:rPr>
        <w:t>（</w:t>
      </w:r>
      <w:r>
        <w:rPr>
          <w:rFonts w:ascii="宋体" w:hAnsi="宋体"/>
          <w:color w:val="auto"/>
          <w:sz w:val="24"/>
        </w:rPr>
        <w:t>中华人民共和国主席令第</w:t>
      </w:r>
      <w:r>
        <w:rPr>
          <w:rFonts w:hint="eastAsia" w:ascii="宋体" w:hAnsi="宋体"/>
          <w:color w:val="auto"/>
          <w:sz w:val="24"/>
        </w:rPr>
        <w:t>八十八</w:t>
      </w:r>
      <w:r>
        <w:rPr>
          <w:rFonts w:ascii="宋体" w:hAnsi="宋体"/>
          <w:color w:val="auto"/>
          <w:sz w:val="24"/>
        </w:rPr>
        <w:t>号</w:t>
      </w:r>
      <w:r>
        <w:rPr>
          <w:rFonts w:hint="eastAsia" w:ascii="宋体" w:hAnsi="宋体"/>
          <w:color w:val="auto"/>
          <w:sz w:val="24"/>
        </w:rPr>
        <w:t>，2021年6月10日）第三次修改</w:t>
      </w:r>
      <w:r>
        <w:rPr>
          <w:rFonts w:ascii="宋体" w:hAnsi="宋体"/>
          <w:color w:val="auto"/>
          <w:sz w:val="24"/>
        </w:rPr>
        <w:t>）</w:t>
      </w:r>
      <w:r>
        <w:rPr>
          <w:rFonts w:hint="eastAsia" w:ascii="宋体" w:hAnsi="宋体"/>
          <w:color w:val="auto"/>
          <w:sz w:val="24"/>
        </w:rPr>
        <w:t>；</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《中华人民共和国突发事件应对法》（</w:t>
      </w:r>
      <w:r>
        <w:rPr>
          <w:rFonts w:ascii="宋体" w:hAnsi="宋体"/>
          <w:color w:val="auto"/>
          <w:sz w:val="24"/>
        </w:rPr>
        <w:t>中华人民共和国主席令第</w:t>
      </w:r>
      <w:r>
        <w:rPr>
          <w:rFonts w:hint="eastAsia" w:ascii="宋体" w:hAnsi="宋体"/>
          <w:color w:val="auto"/>
          <w:sz w:val="24"/>
        </w:rPr>
        <w:t>六十九号，</w:t>
      </w:r>
      <w:r>
        <w:rPr>
          <w:rFonts w:ascii="宋体" w:hAnsi="宋体"/>
          <w:color w:val="auto"/>
          <w:sz w:val="24"/>
        </w:rPr>
        <w:t>2007年8月30日</w:t>
      </w:r>
      <w:r>
        <w:rPr>
          <w:rFonts w:hint="eastAsia" w:ascii="宋体" w:hAnsi="宋体"/>
          <w:color w:val="auto"/>
          <w:sz w:val="24"/>
        </w:rPr>
        <w:t>公布</w:t>
      </w:r>
      <w:r>
        <w:rPr>
          <w:rFonts w:ascii="宋体" w:hAnsi="宋体"/>
          <w:color w:val="auto"/>
          <w:sz w:val="24"/>
        </w:rPr>
        <w:t>，2007年11月1日起施行</w:t>
      </w:r>
      <w:r>
        <w:rPr>
          <w:rFonts w:hint="eastAsia" w:ascii="宋体" w:hAnsi="宋体"/>
          <w:color w:val="auto"/>
          <w:sz w:val="24"/>
        </w:rPr>
        <w:t>）；</w:t>
      </w:r>
    </w:p>
    <w:p>
      <w:pPr>
        <w:widowControl/>
        <w:numPr>
          <w:ilvl w:val="0"/>
          <w:numId w:val="1"/>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《中华人民共和国特种设备安全法》（中华人民共和国主席令第</w:t>
      </w:r>
      <w:r>
        <w:rPr>
          <w:rFonts w:hint="eastAsia" w:ascii="宋体" w:hAnsi="宋体"/>
          <w:color w:val="auto"/>
          <w:sz w:val="24"/>
        </w:rPr>
        <w:t>四</w:t>
      </w:r>
      <w:r>
        <w:rPr>
          <w:rFonts w:ascii="宋体" w:hAnsi="宋体"/>
          <w:color w:val="auto"/>
          <w:sz w:val="24"/>
        </w:rPr>
        <w:t>号，2013年6月29日</w:t>
      </w:r>
      <w:r>
        <w:rPr>
          <w:rFonts w:hint="eastAsia" w:ascii="宋体" w:hAnsi="宋体"/>
          <w:color w:val="auto"/>
          <w:sz w:val="24"/>
        </w:rPr>
        <w:t>公布</w:t>
      </w:r>
      <w:r>
        <w:rPr>
          <w:rFonts w:ascii="宋体" w:hAnsi="宋体"/>
          <w:color w:val="auto"/>
          <w:sz w:val="24"/>
        </w:rPr>
        <w:t>，自2014年1月1日起施行）</w:t>
      </w:r>
      <w:r>
        <w:rPr>
          <w:rFonts w:hint="eastAsia" w:ascii="宋体" w:hAnsi="宋体"/>
          <w:color w:val="auto"/>
          <w:sz w:val="24"/>
        </w:rPr>
        <w:t>。</w:t>
      </w:r>
    </w:p>
    <w:p>
      <w:pPr>
        <w:widowControl/>
        <w:spacing w:line="500" w:lineRule="exact"/>
        <w:ind w:firstLine="482" w:firstLineChars="200"/>
        <w:rPr>
          <w:rFonts w:ascii="宋体" w:hAnsi="宋体"/>
          <w:b/>
          <w:color w:val="auto"/>
          <w:sz w:val="24"/>
        </w:rPr>
      </w:pPr>
      <w:bookmarkStart w:id="63" w:name="_Toc213727786"/>
      <w:bookmarkStart w:id="64" w:name="_Toc301171588"/>
      <w:bookmarkStart w:id="65" w:name="_Toc158167826"/>
      <w:bookmarkStart w:id="66" w:name="_Toc290307395"/>
      <w:bookmarkStart w:id="67" w:name="_Toc158167939"/>
      <w:r>
        <w:rPr>
          <w:rFonts w:hint="eastAsia" w:ascii="宋体" w:hAnsi="宋体"/>
          <w:b/>
          <w:color w:val="auto"/>
          <w:sz w:val="24"/>
        </w:rPr>
        <w:t>（2）行政法规</w:t>
      </w:r>
      <w:bookmarkEnd w:id="63"/>
      <w:bookmarkEnd w:id="64"/>
      <w:bookmarkEnd w:id="65"/>
      <w:bookmarkEnd w:id="66"/>
      <w:bookmarkEnd w:id="67"/>
    </w:p>
    <w:p>
      <w:pPr>
        <w:widowControl/>
        <w:numPr>
          <w:ilvl w:val="0"/>
          <w:numId w:val="2"/>
        </w:numPr>
        <w:tabs>
          <w:tab w:val="left" w:pos="284"/>
          <w:tab w:val="left" w:pos="567"/>
        </w:tabs>
        <w:spacing w:line="500" w:lineRule="exact"/>
        <w:ind w:firstLine="480" w:firstLineChars="200"/>
        <w:rPr>
          <w:rFonts w:ascii="宋体" w:hAnsi="宋体"/>
          <w:color w:val="auto"/>
          <w:sz w:val="24"/>
        </w:rPr>
      </w:pPr>
      <w:bookmarkStart w:id="68" w:name="_Toc233881317"/>
      <w:bookmarkStart w:id="69" w:name="_Toc301171590"/>
      <w:bookmarkStart w:id="70" w:name="_Toc238813762"/>
      <w:bookmarkStart w:id="71" w:name="_Toc213727788"/>
      <w:bookmarkStart w:id="72" w:name="_Toc290307397"/>
      <w:bookmarkStart w:id="73" w:name="_Toc290307396"/>
      <w:bookmarkStart w:id="74" w:name="_Toc301171589"/>
      <w:bookmarkStart w:id="75" w:name="_Toc213727787"/>
      <w:r>
        <w:rPr>
          <w:rFonts w:hint="eastAsia" w:ascii="宋体" w:hAnsi="宋体"/>
          <w:color w:val="auto"/>
          <w:sz w:val="24"/>
        </w:rPr>
        <w:t>《电力设施保护条例》</w:t>
      </w:r>
      <w:bookmarkStart w:id="76" w:name="1_1"/>
      <w:bookmarkEnd w:id="76"/>
      <w:r>
        <w:rPr>
          <w:rFonts w:hint="eastAsia" w:ascii="宋体" w:hAnsi="宋体"/>
          <w:color w:val="auto"/>
          <w:sz w:val="24"/>
        </w:rPr>
        <w:t>（中华人民共和国国务院令第239号，1998年01月07日发布并执行）；</w:t>
      </w:r>
    </w:p>
    <w:p>
      <w:pPr>
        <w:widowControl/>
        <w:numPr>
          <w:ilvl w:val="0"/>
          <w:numId w:val="2"/>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《特种设备安全监察条例》（中华人民共和国国务院令第549号，自2009年5月1日起施行）；</w:t>
      </w:r>
    </w:p>
    <w:p>
      <w:pPr>
        <w:widowControl/>
        <w:numPr>
          <w:ilvl w:val="0"/>
          <w:numId w:val="2"/>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《国务院关于修改〈工伤保险条例〉的决定》（国务院586号令，2011年1月1日起施行）；</w:t>
      </w:r>
    </w:p>
    <w:p>
      <w:pPr>
        <w:widowControl/>
        <w:numPr>
          <w:ilvl w:val="0"/>
          <w:numId w:val="2"/>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《公路安全保护条例》（2011年2月16日国务院第144次常务会议通过，2011年7月1日起施行）；</w:t>
      </w:r>
    </w:p>
    <w:p>
      <w:pPr>
        <w:widowControl/>
        <w:numPr>
          <w:ilvl w:val="0"/>
          <w:numId w:val="2"/>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《铁路安全管理条例》（国务院第639号令，2013年7月24日国务院第18次常务会议通过，自2014年1月1日起施行）；</w:t>
      </w:r>
    </w:p>
    <w:p>
      <w:pPr>
        <w:widowControl/>
        <w:numPr>
          <w:ilvl w:val="0"/>
          <w:numId w:val="2"/>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《安全生产许可证条例》（2004年1月13日中华人民共和国国务院令第397号公布　根据2013年7月18日《国务院关于废止和修改部分行政法规的决定》第一次修订　根据2014年7月29日《国务院关于修改部分行政法规的决定》第二次修订）；</w:t>
      </w:r>
    </w:p>
    <w:p>
      <w:pPr>
        <w:widowControl/>
        <w:numPr>
          <w:ilvl w:val="0"/>
          <w:numId w:val="2"/>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《生产安全事故应急条例》（国务院第708号令，2019年4月1日起施行）。</w:t>
      </w:r>
    </w:p>
    <w:bookmarkEnd w:id="68"/>
    <w:bookmarkEnd w:id="69"/>
    <w:bookmarkEnd w:id="70"/>
    <w:bookmarkEnd w:id="71"/>
    <w:bookmarkEnd w:id="72"/>
    <w:p>
      <w:pPr>
        <w:widowControl/>
        <w:spacing w:line="500" w:lineRule="exact"/>
        <w:ind w:firstLine="482" w:firstLineChars="200"/>
        <w:rPr>
          <w:rFonts w:ascii="宋体" w:hAnsi="宋体"/>
          <w:b/>
          <w:color w:val="auto"/>
          <w:sz w:val="24"/>
        </w:rPr>
      </w:pPr>
      <w:r>
        <w:rPr>
          <w:rFonts w:hint="eastAsia" w:ascii="宋体" w:hAnsi="宋体"/>
          <w:b/>
          <w:color w:val="auto"/>
          <w:sz w:val="24"/>
        </w:rPr>
        <w:t>（3）部门规章</w:t>
      </w:r>
    </w:p>
    <w:bookmarkEnd w:id="73"/>
    <w:bookmarkEnd w:id="74"/>
    <w:bookmarkEnd w:id="75"/>
    <w:p>
      <w:pPr>
        <w:widowControl/>
        <w:numPr>
          <w:ilvl w:val="0"/>
          <w:numId w:val="3"/>
        </w:numPr>
        <w:tabs>
          <w:tab w:val="left" w:pos="284"/>
          <w:tab w:val="left" w:pos="567"/>
        </w:tabs>
        <w:spacing w:line="500" w:lineRule="exact"/>
        <w:ind w:left="0" w:firstLine="480" w:firstLineChars="200"/>
        <w:rPr>
          <w:rFonts w:ascii="宋体" w:hAnsi="宋体"/>
          <w:color w:val="auto"/>
          <w:sz w:val="24"/>
        </w:rPr>
      </w:pPr>
      <w:bookmarkStart w:id="77" w:name="_Toc301171592"/>
      <w:bookmarkStart w:id="78" w:name="_Toc290307399"/>
      <w:r>
        <w:rPr>
          <w:rFonts w:hint="eastAsia" w:ascii="宋体" w:hAnsi="宋体"/>
          <w:color w:val="auto"/>
          <w:sz w:val="24"/>
        </w:rPr>
        <w:t>《电力设施保护条例实施细则》（由</w:t>
      </w:r>
      <w:r>
        <w:rPr>
          <w:rFonts w:hint="eastAsia"/>
          <w:color w:val="auto"/>
        </w:rPr>
        <w:fldChar w:fldCharType="begin"/>
      </w:r>
      <w:r>
        <w:rPr>
          <w:color w:val="auto"/>
        </w:rPr>
        <w:instrText xml:space="preserve"> HYPERLINK "http://baike.baidu.com/view/1256.htm" \t "_blank" </w:instrText>
      </w:r>
      <w:r>
        <w:rPr>
          <w:rFonts w:hint="eastAsia"/>
          <w:color w:val="auto"/>
        </w:rPr>
        <w:fldChar w:fldCharType="separate"/>
      </w:r>
      <w:r>
        <w:rPr>
          <w:rFonts w:hint="eastAsia" w:ascii="宋体" w:hAnsi="宋体"/>
          <w:color w:val="auto"/>
          <w:sz w:val="24"/>
        </w:rPr>
        <w:t>中华人民共和国</w:t>
      </w:r>
      <w:r>
        <w:rPr>
          <w:rFonts w:hint="eastAsia" w:ascii="宋体" w:hAnsi="宋体"/>
          <w:color w:val="auto"/>
          <w:sz w:val="24"/>
        </w:rPr>
        <w:fldChar w:fldCharType="end"/>
      </w:r>
      <w:r>
        <w:rPr>
          <w:rFonts w:hint="eastAsia" w:ascii="宋体" w:hAnsi="宋体"/>
          <w:color w:val="auto"/>
          <w:sz w:val="24"/>
        </w:rPr>
        <w:t>国家经济贸易委员会、</w:t>
      </w:r>
      <w:r>
        <w:rPr>
          <w:rFonts w:hint="eastAsia"/>
          <w:color w:val="auto"/>
        </w:rPr>
        <w:fldChar w:fldCharType="begin"/>
      </w:r>
      <w:r>
        <w:rPr>
          <w:color w:val="auto"/>
        </w:rPr>
        <w:instrText xml:space="preserve"> HYPERLINK "http://baike.baidu.com/view/193820.htm" \t "_blank" </w:instrText>
      </w:r>
      <w:r>
        <w:rPr>
          <w:rFonts w:hint="eastAsia"/>
          <w:color w:val="auto"/>
        </w:rPr>
        <w:fldChar w:fldCharType="separate"/>
      </w:r>
      <w:r>
        <w:rPr>
          <w:rFonts w:hint="eastAsia" w:ascii="宋体" w:hAnsi="宋体"/>
          <w:color w:val="auto"/>
          <w:sz w:val="24"/>
        </w:rPr>
        <w:t>中华人民共和国公安部</w:t>
      </w:r>
      <w:r>
        <w:rPr>
          <w:rFonts w:hint="eastAsia" w:ascii="宋体" w:hAnsi="宋体"/>
          <w:color w:val="auto"/>
          <w:sz w:val="24"/>
        </w:rPr>
        <w:fldChar w:fldCharType="end"/>
      </w:r>
      <w:r>
        <w:rPr>
          <w:rFonts w:hint="eastAsia" w:ascii="宋体" w:hAnsi="宋体"/>
          <w:color w:val="auto"/>
          <w:sz w:val="24"/>
        </w:rPr>
        <w:t>，1999年3月18日颁布实施）；</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《安全生产事故隐患排查治理暂行规定》（国家安全生产监督管理总局令第16号，自2008年2月1日起施行）；</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关于印发《企业安全生产费用提取和使用管理办法》的通知（财政部 应急部，财资〔2022〕136号，2022年11月21日）；</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《建设项目安全设施“三同时”监督管理办法》（国家安全生产监督管理总局令第36号，77号修改，自</w:t>
      </w:r>
      <w:r>
        <w:rPr>
          <w:rFonts w:ascii="宋体" w:hAnsi="宋体"/>
          <w:color w:val="auto"/>
          <w:sz w:val="24"/>
        </w:rPr>
        <w:t>201</w:t>
      </w:r>
      <w:r>
        <w:rPr>
          <w:rFonts w:hint="eastAsia" w:ascii="宋体" w:hAnsi="宋体"/>
          <w:color w:val="auto"/>
          <w:sz w:val="24"/>
        </w:rPr>
        <w:t>5年5月</w:t>
      </w:r>
      <w:r>
        <w:rPr>
          <w:rFonts w:ascii="宋体" w:hAnsi="宋体"/>
          <w:color w:val="auto"/>
          <w:sz w:val="24"/>
        </w:rPr>
        <w:t>1</w:t>
      </w:r>
      <w:r>
        <w:rPr>
          <w:rFonts w:hint="eastAsia" w:ascii="宋体" w:hAnsi="宋体"/>
          <w:color w:val="auto"/>
          <w:sz w:val="24"/>
        </w:rPr>
        <w:t>日起施行）；</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《金属非金属矿山建设项目安全设施目录（试行）》（国家安全生产监督管理总局令第75号，自</w:t>
      </w:r>
      <w:r>
        <w:rPr>
          <w:rFonts w:ascii="宋体" w:hAnsi="宋体"/>
          <w:color w:val="auto"/>
          <w:sz w:val="24"/>
        </w:rPr>
        <w:t>2015</w:t>
      </w:r>
      <w:r>
        <w:rPr>
          <w:rFonts w:hint="eastAsia" w:ascii="宋体" w:hAnsi="宋体"/>
          <w:color w:val="auto"/>
          <w:sz w:val="24"/>
        </w:rPr>
        <w:t>年</w:t>
      </w:r>
      <w:r>
        <w:rPr>
          <w:rFonts w:ascii="宋体" w:hAnsi="宋体"/>
          <w:color w:val="auto"/>
          <w:sz w:val="24"/>
        </w:rPr>
        <w:t>7</w:t>
      </w:r>
      <w:r>
        <w:rPr>
          <w:rFonts w:hint="eastAsia" w:ascii="宋体" w:hAnsi="宋体"/>
          <w:color w:val="auto"/>
          <w:sz w:val="24"/>
        </w:rPr>
        <w:t>月</w:t>
      </w:r>
      <w:r>
        <w:rPr>
          <w:rFonts w:ascii="宋体" w:hAnsi="宋体"/>
          <w:color w:val="auto"/>
          <w:sz w:val="24"/>
        </w:rPr>
        <w:t>1</w:t>
      </w:r>
      <w:r>
        <w:rPr>
          <w:rFonts w:hint="eastAsia" w:ascii="宋体" w:hAnsi="宋体"/>
          <w:color w:val="auto"/>
          <w:sz w:val="24"/>
        </w:rPr>
        <w:t>日起施行）；</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ascii="宋体" w:hAnsi="宋体"/>
          <w:color w:val="auto"/>
          <w:sz w:val="24"/>
        </w:rPr>
        <w:t>《</w:t>
      </w:r>
      <w:r>
        <w:rPr>
          <w:rFonts w:hint="eastAsia" w:ascii="宋体" w:hAnsi="宋体"/>
          <w:color w:val="auto"/>
          <w:sz w:val="24"/>
        </w:rPr>
        <w:t>非煤矿矿山企业安全生产许可证实施办法</w:t>
      </w:r>
      <w:r>
        <w:rPr>
          <w:rFonts w:ascii="宋体" w:hAnsi="宋体"/>
          <w:color w:val="auto"/>
          <w:sz w:val="24"/>
        </w:rPr>
        <w:t>》（</w:t>
      </w:r>
      <w:r>
        <w:rPr>
          <w:rFonts w:hint="eastAsia" w:ascii="宋体" w:hAnsi="宋体"/>
          <w:color w:val="auto"/>
          <w:sz w:val="24"/>
        </w:rPr>
        <w:t>国家安全生产监督管理总局令20号，第78号修改，2015年7月1日施行</w:t>
      </w:r>
      <w:r>
        <w:rPr>
          <w:rFonts w:ascii="宋体" w:hAnsi="宋体"/>
          <w:color w:val="auto"/>
          <w:sz w:val="24"/>
        </w:rPr>
        <w:t>）</w:t>
      </w:r>
      <w:r>
        <w:rPr>
          <w:rFonts w:hint="eastAsia" w:ascii="宋体" w:hAnsi="宋体"/>
          <w:color w:val="auto"/>
          <w:sz w:val="24"/>
        </w:rPr>
        <w:t>；</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《国家安全监管总局关于修改和废止部分规章及规范性文件的决定》（国家安全生产监督管理总局89号令，2017年3月6日公布，自公布之日起施行）；</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《国家安全监管总局 保监会 财政部关于印发&lt;安全生产责任保险实施办法&gt;的通知》（安监总办〔2017〕140号，2017年12月12日）；</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《安全评价检测检验机构管理办法》（中华人民共和国应急管理部第1号，2019年3月20日公布，自2019年5月1日起施行）；</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《生产安全事故应急救援预案管理办法》（国家安全生产监督管理总局88号令，中华人民共和国应急管理部第2号修正，2016年7月1日起施行，修正内容自2019年9月1日起施行）；</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《国家矿山安全监察局关于印发&lt;关于加强非煤矿山安全生产工作的指导意见&gt;的通知》（矿安〔2022〕4号，国家矿山安全监察局，</w:t>
      </w:r>
      <w:r>
        <w:rPr>
          <w:rFonts w:ascii="宋体" w:hAnsi="宋体"/>
          <w:color w:val="auto"/>
          <w:sz w:val="24"/>
        </w:rPr>
        <w:t>2022</w:t>
      </w:r>
      <w:r>
        <w:rPr>
          <w:rFonts w:hint="eastAsia" w:ascii="宋体" w:hAnsi="宋体"/>
          <w:color w:val="auto"/>
          <w:sz w:val="24"/>
        </w:rPr>
        <w:t>年</w:t>
      </w:r>
      <w:r>
        <w:rPr>
          <w:rFonts w:ascii="宋体" w:hAnsi="宋体"/>
          <w:color w:val="auto"/>
          <w:sz w:val="24"/>
        </w:rPr>
        <w:t>2</w:t>
      </w:r>
      <w:r>
        <w:rPr>
          <w:rFonts w:hint="eastAsia" w:ascii="宋体" w:hAnsi="宋体"/>
          <w:color w:val="auto"/>
          <w:sz w:val="24"/>
        </w:rPr>
        <w:t>月</w:t>
      </w:r>
      <w:r>
        <w:rPr>
          <w:rFonts w:ascii="宋体" w:hAnsi="宋体"/>
          <w:color w:val="auto"/>
          <w:sz w:val="24"/>
        </w:rPr>
        <w:t>8</w:t>
      </w:r>
      <w:r>
        <w:rPr>
          <w:rFonts w:hint="eastAsia" w:ascii="宋体" w:hAnsi="宋体"/>
          <w:color w:val="auto"/>
          <w:sz w:val="24"/>
        </w:rPr>
        <w:t>日）；</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《国家矿山安全监察局关于印发&lt;金属非金属矿山重大事故隐患判定标准&gt;的通知》（国家矿山安全监察局，矿安〔2022〕88号，2022年7月8日）；</w:t>
      </w:r>
    </w:p>
    <w:p>
      <w:pPr>
        <w:widowControl/>
        <w:numPr>
          <w:ilvl w:val="0"/>
          <w:numId w:val="3"/>
        </w:numPr>
        <w:tabs>
          <w:tab w:val="left" w:pos="284"/>
          <w:tab w:val="left" w:pos="567"/>
        </w:tabs>
        <w:spacing w:line="500" w:lineRule="exact"/>
        <w:ind w:left="0" w:firstLine="480" w:firstLineChars="200"/>
        <w:rPr>
          <w:rFonts w:ascii="宋体" w:hAnsi="宋体"/>
          <w:color w:val="auto"/>
          <w:sz w:val="24"/>
        </w:rPr>
      </w:pPr>
      <w:r>
        <w:rPr>
          <w:rFonts w:hint="eastAsia" w:ascii="宋体" w:hAnsi="宋体"/>
          <w:color w:val="auto"/>
          <w:sz w:val="24"/>
        </w:rPr>
        <w:t>《调整&lt;危险化学品目录（2015版）&gt;》（中华人民共和国应急管理部等十部委公告[2022</w:t>
      </w:r>
      <w:r>
        <w:rPr>
          <w:rFonts w:ascii="宋体" w:hAnsi="宋体"/>
          <w:color w:val="auto"/>
          <w:sz w:val="24"/>
        </w:rPr>
        <w:t>]</w:t>
      </w:r>
      <w:r>
        <w:rPr>
          <w:rFonts w:hint="eastAsia" w:ascii="宋体" w:hAnsi="宋体"/>
          <w:color w:val="auto"/>
          <w:sz w:val="24"/>
        </w:rPr>
        <w:t>第8号，自2023年1月1日起施行）；</w:t>
      </w:r>
    </w:p>
    <w:p>
      <w:pPr>
        <w:widowControl/>
        <w:spacing w:line="500" w:lineRule="exact"/>
        <w:ind w:firstLine="482" w:firstLineChars="200"/>
        <w:rPr>
          <w:rFonts w:ascii="宋体" w:hAnsi="宋体"/>
          <w:b/>
          <w:color w:val="auto"/>
          <w:sz w:val="24"/>
        </w:rPr>
      </w:pPr>
      <w:r>
        <w:rPr>
          <w:rFonts w:hint="eastAsia" w:ascii="宋体" w:hAnsi="宋体"/>
          <w:b/>
          <w:color w:val="auto"/>
          <w:sz w:val="24"/>
        </w:rPr>
        <w:t>（4）</w:t>
      </w:r>
      <w:r>
        <w:rPr>
          <w:rFonts w:ascii="宋体" w:hAnsi="宋体"/>
          <w:b/>
          <w:color w:val="auto"/>
          <w:sz w:val="24"/>
        </w:rPr>
        <w:t>地方</w:t>
      </w:r>
      <w:r>
        <w:rPr>
          <w:rFonts w:hint="eastAsia" w:ascii="宋体" w:hAnsi="宋体"/>
          <w:b/>
          <w:color w:val="auto"/>
          <w:sz w:val="24"/>
        </w:rPr>
        <w:t>性法规、政府规章</w:t>
      </w:r>
    </w:p>
    <w:p>
      <w:pPr>
        <w:widowControl/>
        <w:numPr>
          <w:ilvl w:val="0"/>
          <w:numId w:val="4"/>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广东省邮电通信线路保护规定</w:t>
      </w:r>
      <w:r>
        <w:rPr>
          <w:rFonts w:hint="eastAsia" w:ascii="宋体" w:hAnsi="宋体"/>
          <w:color w:val="auto"/>
          <w:sz w:val="24"/>
        </w:rPr>
        <w:t>》（1990年11月28日粤府〔1990〕105号公布，根据1997年12月31日广东省人民政府令第33号修订）</w:t>
      </w:r>
    </w:p>
    <w:p>
      <w:pPr>
        <w:widowControl/>
        <w:numPr>
          <w:ilvl w:val="0"/>
          <w:numId w:val="4"/>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《广东省建设项目安全设施监督管理办法》（广东省人民政府令第147号</w:t>
      </w:r>
      <w:r>
        <w:rPr>
          <w:rFonts w:hint="eastAsia" w:ascii="宋体" w:hAnsi="宋体"/>
          <w:color w:val="auto"/>
          <w:sz w:val="24"/>
        </w:rPr>
        <w:t>，</w:t>
      </w:r>
      <w:r>
        <w:rPr>
          <w:rFonts w:ascii="宋体" w:hAnsi="宋体"/>
          <w:color w:val="auto"/>
          <w:sz w:val="24"/>
        </w:rPr>
        <w:t>2010年7月15日广东省人民政府第十一届57次常务会议通过，自2010年10月1日起施行）</w:t>
      </w:r>
      <w:r>
        <w:rPr>
          <w:rFonts w:hint="eastAsia" w:ascii="宋体" w:hAnsi="宋体"/>
          <w:color w:val="auto"/>
          <w:sz w:val="24"/>
        </w:rPr>
        <w:t>；</w:t>
      </w:r>
    </w:p>
    <w:p>
      <w:pPr>
        <w:widowControl/>
        <w:numPr>
          <w:ilvl w:val="0"/>
          <w:numId w:val="4"/>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《广东省矿产资源管理条例》</w:t>
      </w:r>
      <w:r>
        <w:rPr>
          <w:rFonts w:ascii="宋体" w:hAnsi="宋体"/>
          <w:color w:val="auto"/>
          <w:sz w:val="24"/>
        </w:rPr>
        <w:t>（1999年9月24日广东省第九届人民代表大会常务委员会第十二次会议通过</w:t>
      </w:r>
      <w:r>
        <w:rPr>
          <w:rFonts w:hint="eastAsia" w:ascii="宋体" w:hAnsi="宋体"/>
          <w:color w:val="auto"/>
          <w:sz w:val="24"/>
        </w:rPr>
        <w:t>，</w:t>
      </w:r>
      <w:r>
        <w:rPr>
          <w:rFonts w:ascii="宋体" w:hAnsi="宋体"/>
          <w:color w:val="auto"/>
          <w:sz w:val="24"/>
        </w:rPr>
        <w:t>根据2012年7月26日广东省第十一届人民代表大会常务委员会第三十五次会议《广东省人民代表大会常务委员会关于修改〈广东省民营科技企业管理条例〉等二十三项法规的决定》修正</w:t>
      </w:r>
      <w:r>
        <w:rPr>
          <w:rFonts w:hint="eastAsia" w:ascii="宋体" w:hAnsi="宋体"/>
          <w:color w:val="auto"/>
          <w:sz w:val="24"/>
        </w:rPr>
        <w:t>，自</w:t>
      </w:r>
      <w:r>
        <w:rPr>
          <w:rFonts w:ascii="宋体" w:hAnsi="宋体"/>
          <w:color w:val="auto"/>
          <w:sz w:val="24"/>
        </w:rPr>
        <w:t>201</w:t>
      </w:r>
      <w:r>
        <w:rPr>
          <w:rFonts w:hint="eastAsia" w:ascii="宋体" w:hAnsi="宋体"/>
          <w:color w:val="auto"/>
          <w:sz w:val="24"/>
        </w:rPr>
        <w:t>2年7月26日起施行）；</w:t>
      </w:r>
    </w:p>
    <w:p>
      <w:pPr>
        <w:widowControl/>
        <w:numPr>
          <w:ilvl w:val="0"/>
          <w:numId w:val="4"/>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公路条例》（2003年1月11日广东省第九届人民代表大会常务委员会第三十九次会议通过，2008年7月31日广东省第十一届人民代表大会常务委员会第四次会议修订，根据2012年7月26日广东省第十一届人民代表大会常务委员会第三十五次会议《广东省人民代表大会常务委员会关于修改〈广东省民营科技企业管理条例〉等二十三项法规的决定》修正）；</w:t>
      </w:r>
    </w:p>
    <w:p>
      <w:pPr>
        <w:widowControl/>
        <w:numPr>
          <w:ilvl w:val="0"/>
          <w:numId w:val="4"/>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《广东省安全生产条例》（</w:t>
      </w:r>
      <w:r>
        <w:rPr>
          <w:rFonts w:hint="eastAsia" w:ascii="宋体" w:hAnsi="宋体"/>
          <w:color w:val="auto"/>
          <w:sz w:val="24"/>
        </w:rPr>
        <w:t>广东省第十二届人民代表大会常务委员会第三十七次会议于2017年11月30日修订公布，自</w:t>
      </w:r>
      <w:r>
        <w:rPr>
          <w:rFonts w:ascii="宋体" w:hAnsi="宋体"/>
          <w:color w:val="auto"/>
          <w:sz w:val="24"/>
        </w:rPr>
        <w:t>2014</w:t>
      </w:r>
      <w:r>
        <w:rPr>
          <w:rFonts w:hint="eastAsia" w:ascii="宋体" w:hAnsi="宋体"/>
          <w:color w:val="auto"/>
          <w:sz w:val="24"/>
        </w:rPr>
        <w:t>年</w:t>
      </w:r>
      <w:r>
        <w:rPr>
          <w:rFonts w:ascii="宋体" w:hAnsi="宋体"/>
          <w:color w:val="auto"/>
          <w:sz w:val="24"/>
        </w:rPr>
        <w:t>1</w:t>
      </w:r>
      <w:r>
        <w:rPr>
          <w:rFonts w:hint="eastAsia" w:ascii="宋体" w:hAnsi="宋体"/>
          <w:color w:val="auto"/>
          <w:sz w:val="24"/>
        </w:rPr>
        <w:t>月</w:t>
      </w:r>
      <w:r>
        <w:rPr>
          <w:rFonts w:ascii="宋体" w:hAnsi="宋体"/>
          <w:color w:val="auto"/>
          <w:sz w:val="24"/>
        </w:rPr>
        <w:t>1</w:t>
      </w:r>
      <w:r>
        <w:rPr>
          <w:rFonts w:hint="eastAsia" w:ascii="宋体" w:hAnsi="宋体"/>
          <w:color w:val="auto"/>
          <w:sz w:val="24"/>
        </w:rPr>
        <w:t>日起施行）；</w:t>
      </w:r>
    </w:p>
    <w:p>
      <w:pPr>
        <w:widowControl/>
        <w:numPr>
          <w:ilvl w:val="0"/>
          <w:numId w:val="4"/>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《广东省安全生产责任保险实施办法》（2020年3月19日广东省人民政府第91次常务会议通过，自2020年7月1日起施行）。</w:t>
      </w:r>
    </w:p>
    <w:p>
      <w:pPr>
        <w:widowControl/>
        <w:tabs>
          <w:tab w:val="left" w:pos="284"/>
          <w:tab w:val="left" w:pos="567"/>
        </w:tabs>
        <w:spacing w:line="500" w:lineRule="exact"/>
        <w:ind w:firstLine="482" w:firstLineChars="200"/>
        <w:rPr>
          <w:rFonts w:ascii="宋体" w:hAnsi="宋体"/>
          <w:b/>
          <w:color w:val="auto"/>
          <w:sz w:val="24"/>
        </w:rPr>
      </w:pPr>
      <w:bookmarkStart w:id="79" w:name="_Toc277662729"/>
      <w:r>
        <w:rPr>
          <w:rFonts w:hint="eastAsia" w:ascii="宋体" w:hAnsi="宋体"/>
          <w:b/>
          <w:color w:val="auto"/>
          <w:sz w:val="24"/>
        </w:rPr>
        <w:t>（5）</w:t>
      </w:r>
      <w:bookmarkEnd w:id="77"/>
      <w:bookmarkEnd w:id="78"/>
      <w:bookmarkEnd w:id="79"/>
      <w:r>
        <w:rPr>
          <w:rFonts w:ascii="宋体" w:hAnsi="宋体"/>
          <w:b/>
          <w:color w:val="auto"/>
          <w:sz w:val="24"/>
        </w:rPr>
        <w:fldChar w:fldCharType="begin"/>
      </w:r>
      <w:r>
        <w:rPr>
          <w:rFonts w:ascii="宋体" w:hAnsi="宋体"/>
          <w:b/>
          <w:color w:val="auto"/>
          <w:sz w:val="24"/>
        </w:rPr>
        <w:instrText xml:space="preserve"> HYPERLINK "http://baike.baidu.com/view/1746743.htm" \t "_blank" </w:instrText>
      </w:r>
      <w:r>
        <w:rPr>
          <w:rFonts w:ascii="宋体" w:hAnsi="宋体"/>
          <w:b/>
          <w:color w:val="auto"/>
          <w:sz w:val="24"/>
        </w:rPr>
        <w:fldChar w:fldCharType="separate"/>
      </w:r>
      <w:r>
        <w:rPr>
          <w:rFonts w:ascii="宋体" w:hAnsi="宋体"/>
          <w:b/>
          <w:color w:val="auto"/>
          <w:sz w:val="24"/>
        </w:rPr>
        <w:t>规范性文件</w:t>
      </w:r>
      <w:r>
        <w:rPr>
          <w:rFonts w:ascii="宋体" w:hAnsi="宋体"/>
          <w:b/>
          <w:color w:val="auto"/>
          <w:sz w:val="24"/>
        </w:rPr>
        <w:fldChar w:fldCharType="end"/>
      </w:r>
    </w:p>
    <w:p>
      <w:pPr>
        <w:widowControl/>
        <w:numPr>
          <w:ilvl w:val="0"/>
          <w:numId w:val="5"/>
        </w:numPr>
        <w:tabs>
          <w:tab w:val="left" w:pos="284"/>
          <w:tab w:val="left" w:pos="567"/>
        </w:tabs>
        <w:spacing w:line="500" w:lineRule="exact"/>
        <w:ind w:firstLine="480" w:firstLineChars="200"/>
        <w:rPr>
          <w:rFonts w:ascii="宋体" w:hAnsi="宋体"/>
          <w:color w:val="auto"/>
          <w:sz w:val="24"/>
        </w:rPr>
      </w:pPr>
      <w:bookmarkStart w:id="80" w:name="_Toc301171591"/>
      <w:bookmarkStart w:id="81" w:name="_Toc290307398"/>
      <w:bookmarkStart w:id="82" w:name="_Toc213727789"/>
      <w:bookmarkStart w:id="83" w:name="_Toc233881318"/>
      <w:bookmarkStart w:id="84" w:name="_Toc238813763"/>
      <w:bookmarkStart w:id="85" w:name="_Toc335328917"/>
      <w:r>
        <w:rPr>
          <w:rFonts w:hint="eastAsia" w:ascii="宋体" w:hAnsi="宋体"/>
          <w:color w:val="auto"/>
          <w:sz w:val="24"/>
        </w:rPr>
        <w:t>《关于调整广东省矿山救援服务区域范围的通知》（2012年3月13日，粤安监〔2012〕49号）；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《广东省安全生产监督管理局关于</w:t>
      </w:r>
      <w:r>
        <w:rPr>
          <w:rFonts w:hint="eastAsia" w:ascii="宋体" w:hAnsi="宋体"/>
          <w:color w:val="auto"/>
          <w:sz w:val="24"/>
        </w:rPr>
        <w:t>&lt;</w:t>
      </w:r>
      <w:r>
        <w:rPr>
          <w:rFonts w:ascii="宋体" w:hAnsi="宋体"/>
          <w:color w:val="auto"/>
          <w:sz w:val="24"/>
        </w:rPr>
        <w:t>非煤矿矿山企业安全生产许可证实施办法</w:t>
      </w:r>
      <w:r>
        <w:rPr>
          <w:rFonts w:hint="eastAsia" w:ascii="宋体" w:hAnsi="宋体"/>
          <w:color w:val="auto"/>
          <w:sz w:val="24"/>
        </w:rPr>
        <w:t>&gt;</w:t>
      </w:r>
      <w:r>
        <w:rPr>
          <w:rFonts w:ascii="宋体" w:hAnsi="宋体"/>
          <w:color w:val="auto"/>
          <w:sz w:val="24"/>
        </w:rPr>
        <w:t>的实施细则》（201</w:t>
      </w:r>
      <w:r>
        <w:rPr>
          <w:rFonts w:hint="eastAsia" w:ascii="宋体" w:hAnsi="宋体"/>
          <w:color w:val="auto"/>
          <w:sz w:val="24"/>
        </w:rPr>
        <w:t>3</w:t>
      </w:r>
      <w:r>
        <w:rPr>
          <w:rFonts w:ascii="宋体" w:hAnsi="宋体"/>
          <w:color w:val="auto"/>
          <w:sz w:val="24"/>
        </w:rPr>
        <w:t>年3月</w:t>
      </w:r>
      <w:r>
        <w:rPr>
          <w:rFonts w:hint="eastAsia" w:ascii="宋体" w:hAnsi="宋体"/>
          <w:color w:val="auto"/>
          <w:sz w:val="24"/>
        </w:rPr>
        <w:t>25</w:t>
      </w:r>
      <w:r>
        <w:rPr>
          <w:rFonts w:ascii="宋体" w:hAnsi="宋体"/>
          <w:color w:val="auto"/>
          <w:sz w:val="24"/>
        </w:rPr>
        <w:t>日，粤安监</w:t>
      </w:r>
      <w:r>
        <w:rPr>
          <w:rFonts w:hint="eastAsia" w:ascii="宋体" w:hAnsi="宋体"/>
          <w:color w:val="auto"/>
          <w:sz w:val="24"/>
        </w:rPr>
        <w:t>[</w:t>
      </w:r>
      <w:r>
        <w:rPr>
          <w:rFonts w:ascii="宋体" w:hAnsi="宋体"/>
          <w:color w:val="auto"/>
          <w:sz w:val="24"/>
        </w:rPr>
        <w:t>201</w:t>
      </w:r>
      <w:r>
        <w:rPr>
          <w:rFonts w:hint="eastAsia" w:ascii="宋体" w:hAnsi="宋体"/>
          <w:color w:val="auto"/>
          <w:sz w:val="24"/>
        </w:rPr>
        <w:t>3]60</w:t>
      </w:r>
      <w:r>
        <w:rPr>
          <w:rFonts w:ascii="宋体" w:hAnsi="宋体"/>
          <w:color w:val="auto"/>
          <w:sz w:val="24"/>
        </w:rPr>
        <w:t>号）</w:t>
      </w:r>
      <w:r>
        <w:rPr>
          <w:rFonts w:hint="eastAsia" w:ascii="宋体" w:hAnsi="宋体"/>
          <w:color w:val="auto"/>
          <w:sz w:val="24"/>
        </w:rPr>
        <w:t>；</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《广东省安全生产监督管理局关于印发&lt;广东省安全生产监督管理局关于〈生产安全事故应急预案管理办法〉的实施细则&gt;的通知》（2017年6月12日，粤安监应急〔2017〕9号）；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《国家安全监管总局关于发布金属非金属矿山禁止使用的设备及工艺目录（第二批）的通知》（</w:t>
      </w:r>
      <w:r>
        <w:rPr>
          <w:rFonts w:ascii="宋体" w:hAnsi="宋体"/>
          <w:color w:val="auto"/>
          <w:sz w:val="24"/>
        </w:rPr>
        <w:t>201</w:t>
      </w:r>
      <w:r>
        <w:rPr>
          <w:rFonts w:hint="eastAsia" w:ascii="宋体" w:hAnsi="宋体"/>
          <w:color w:val="auto"/>
          <w:sz w:val="24"/>
        </w:rPr>
        <w:t>5</w:t>
      </w:r>
      <w:r>
        <w:rPr>
          <w:rFonts w:ascii="宋体" w:hAnsi="宋体"/>
          <w:color w:val="auto"/>
          <w:sz w:val="24"/>
        </w:rPr>
        <w:t>年</w:t>
      </w:r>
      <w:r>
        <w:rPr>
          <w:rFonts w:hint="eastAsia" w:ascii="宋体" w:hAnsi="宋体"/>
          <w:color w:val="auto"/>
          <w:sz w:val="24"/>
        </w:rPr>
        <w:t>2</w:t>
      </w:r>
      <w:r>
        <w:rPr>
          <w:rFonts w:ascii="宋体" w:hAnsi="宋体"/>
          <w:color w:val="auto"/>
          <w:sz w:val="24"/>
        </w:rPr>
        <w:t>月</w:t>
      </w:r>
      <w:r>
        <w:rPr>
          <w:rFonts w:hint="eastAsia" w:ascii="宋体" w:hAnsi="宋体"/>
          <w:color w:val="auto"/>
          <w:sz w:val="24"/>
        </w:rPr>
        <w:t>13</w:t>
      </w:r>
      <w:r>
        <w:rPr>
          <w:rFonts w:ascii="宋体" w:hAnsi="宋体"/>
          <w:color w:val="auto"/>
          <w:sz w:val="24"/>
        </w:rPr>
        <w:t>日，</w:t>
      </w:r>
      <w:r>
        <w:rPr>
          <w:rFonts w:hint="eastAsia" w:ascii="宋体" w:hAnsi="宋体"/>
          <w:color w:val="auto"/>
          <w:sz w:val="24"/>
        </w:rPr>
        <w:t>安监总管一〔2015〕13号）；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《国家安全监管总局关于印发金属非金属矿山建设项目安全评价报告编写提纲的通知》（2016年5月30日，安监总管一[2016]49号）；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《中共中央国务院&lt;关于推进安全生产领域改革发展的意见&gt;》（2016年12月9日印发）；</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关于印发《广东省安全生产监督管理局关于金属非金属矿山和尾矿库建设项目安全设施“三同时”监督管理实施办法》的通知（2016年10月8日，粤安监〔2016〕146号）；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《广东省委 广东省人民政府&lt;关于推进安全生产领域改革发展的实施意见&gt;》（2017年9月7日）；</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《广东省应急管理厅关于印发&lt;广东省应急管理厅关于安全风险分级管控办法（试行）&gt;的通知》（2019年1月23日，粤应急规〔2019〕1号）；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《广东省安委办 广东省应急管理厅关于印发&lt;广东省生产经营单位安全生产“一线三排”工作指引&gt;的通知》（2020年8月4日，粤安办[2020]107号）；</w:t>
      </w:r>
    </w:p>
    <w:p>
      <w:pPr>
        <w:widowControl/>
        <w:numPr>
          <w:ilvl w:val="0"/>
          <w:numId w:val="5"/>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《广东省应急管理厅转发国家矿山安全监察局&lt;关于加强非煤矿山安全生产工作的指导意见&gt;的通知》（粤应急函〔2022〕108号，2022年3月10日转发）；</w:t>
      </w:r>
    </w:p>
    <w:p>
      <w:pPr>
        <w:pStyle w:val="122"/>
        <w:numPr>
          <w:ilvl w:val="0"/>
          <w:numId w:val="5"/>
        </w:numPr>
        <w:topLinePunct/>
        <w:spacing w:line="560" w:lineRule="exact"/>
        <w:ind w:firstLineChars="0"/>
        <w:jc w:val="both"/>
        <w:rPr>
          <w:rFonts w:ascii="宋体" w:hAnsi="宋体"/>
          <w:color w:val="auto"/>
          <w:szCs w:val="28"/>
        </w:rPr>
      </w:pPr>
      <w:r>
        <w:rPr>
          <w:rFonts w:hint="eastAsia" w:ascii="宋体" w:hAnsi="宋体"/>
          <w:color w:val="auto"/>
          <w:szCs w:val="28"/>
        </w:rPr>
        <w:t>《危险化学品目录（2015版）》（国家安全生产监督管理局 国家煤矿安全监察局等10部门公告2015年第5号，根据中华人民共和国应急管理部、中华人民共和国工业和信息化部等10部门公告2022年第8号调整）；</w:t>
      </w:r>
    </w:p>
    <w:p>
      <w:pPr>
        <w:pStyle w:val="122"/>
        <w:numPr>
          <w:ilvl w:val="0"/>
          <w:numId w:val="5"/>
        </w:numPr>
        <w:topLinePunct/>
        <w:spacing w:line="560" w:lineRule="exact"/>
        <w:ind w:firstLineChars="0"/>
        <w:jc w:val="both"/>
        <w:rPr>
          <w:rFonts w:ascii="宋体" w:hAnsi="宋体"/>
          <w:color w:val="auto"/>
          <w:szCs w:val="28"/>
        </w:rPr>
      </w:pPr>
      <w:r>
        <w:rPr>
          <w:rFonts w:hint="eastAsia" w:ascii="宋体" w:hAnsi="宋体"/>
          <w:color w:val="auto"/>
          <w:szCs w:val="28"/>
        </w:rPr>
        <w:t>《应急管理部办公厅关于修改&lt;危险化学品目录（2015版）实施指南（试行）&gt;涉及柴油部分内容的通知》（应急厅函〔2022〕300号）；</w:t>
      </w:r>
    </w:p>
    <w:p>
      <w:pPr>
        <w:pStyle w:val="122"/>
        <w:numPr>
          <w:ilvl w:val="0"/>
          <w:numId w:val="5"/>
        </w:numPr>
        <w:topLinePunct/>
        <w:spacing w:line="560" w:lineRule="exact"/>
        <w:ind w:firstLineChars="0"/>
        <w:jc w:val="both"/>
        <w:rPr>
          <w:rFonts w:ascii="宋体" w:hAnsi="宋体"/>
          <w:color w:val="auto"/>
          <w:szCs w:val="28"/>
        </w:rPr>
      </w:pPr>
      <w:r>
        <w:rPr>
          <w:rFonts w:hint="eastAsia" w:ascii="宋体" w:hAnsi="宋体"/>
          <w:color w:val="auto"/>
          <w:szCs w:val="28"/>
        </w:rPr>
        <w:t>《国家安全监管总局 保监会 财政部关于印发&lt;安全生产责任保险实施办法&gt;的通知》（安监总办〔2017〕140号)。</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1.2.2</w:t>
      </w:r>
      <w:bookmarkEnd w:id="80"/>
      <w:bookmarkEnd w:id="81"/>
      <w:bookmarkEnd w:id="82"/>
      <w:bookmarkEnd w:id="83"/>
      <w:bookmarkEnd w:id="84"/>
      <w:r>
        <w:rPr>
          <w:rFonts w:hint="eastAsia" w:ascii="宋体" w:hAnsi="宋体"/>
          <w:color w:val="auto"/>
          <w:kern w:val="28"/>
          <w:sz w:val="28"/>
          <w:szCs w:val="28"/>
        </w:rPr>
        <w:t>标准规范</w:t>
      </w:r>
      <w:bookmarkEnd w:id="85"/>
    </w:p>
    <w:p>
      <w:pPr>
        <w:widowControl/>
        <w:spacing w:line="500" w:lineRule="exact"/>
        <w:ind w:firstLine="482" w:firstLineChars="200"/>
        <w:rPr>
          <w:rFonts w:ascii="宋体" w:hAnsi="宋体"/>
          <w:b/>
          <w:color w:val="auto"/>
          <w:sz w:val="24"/>
        </w:rPr>
      </w:pPr>
      <w:r>
        <w:rPr>
          <w:rFonts w:hint="eastAsia" w:ascii="宋体" w:hAnsi="宋体"/>
          <w:b/>
          <w:color w:val="auto"/>
          <w:sz w:val="24"/>
        </w:rPr>
        <w:t>（1）国标（GB）</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《企业职工伤亡事故分类》</w:t>
      </w:r>
      <w:r>
        <w:rPr>
          <w:rFonts w:hint="eastAsia" w:ascii="宋体" w:hAnsi="宋体"/>
          <w:color w:val="auto"/>
          <w:sz w:val="24"/>
        </w:rPr>
        <w:t>（</w:t>
      </w:r>
      <w:r>
        <w:rPr>
          <w:rFonts w:ascii="宋体" w:hAnsi="宋体"/>
          <w:color w:val="auto"/>
          <w:sz w:val="24"/>
        </w:rPr>
        <w:t>GB6441-1986</w:t>
      </w:r>
      <w:r>
        <w:rPr>
          <w:rFonts w:hint="eastAsia" w:ascii="宋体" w:hAnsi="宋体"/>
          <w:color w:val="auto"/>
          <w:sz w:val="24"/>
        </w:rPr>
        <w:t>，</w:t>
      </w:r>
      <w:r>
        <w:rPr>
          <w:rFonts w:ascii="宋体" w:hAnsi="宋体"/>
          <w:color w:val="auto"/>
          <w:sz w:val="24"/>
        </w:rPr>
        <w:t>国家标准局1986年5月31日发布</w:t>
      </w:r>
      <w:r>
        <w:rPr>
          <w:rFonts w:hint="eastAsia" w:ascii="宋体" w:hAnsi="宋体"/>
          <w:color w:val="auto"/>
          <w:sz w:val="24"/>
        </w:rPr>
        <w:t>，</w:t>
      </w:r>
      <w:r>
        <w:rPr>
          <w:rFonts w:ascii="宋体" w:hAnsi="宋体"/>
          <w:color w:val="auto"/>
          <w:sz w:val="24"/>
        </w:rPr>
        <w:t>1987年2月1日起实施</w:t>
      </w:r>
      <w:r>
        <w:rPr>
          <w:rFonts w:hint="eastAsia" w:ascii="宋体" w:hAnsi="宋体"/>
          <w:color w:val="auto"/>
          <w:sz w:val="24"/>
        </w:rPr>
        <w:t>）；</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《建筑灭火器配置设计规范》</w:t>
      </w:r>
      <w:r>
        <w:rPr>
          <w:rFonts w:hint="eastAsia" w:ascii="宋体" w:hAnsi="宋体"/>
          <w:color w:val="auto"/>
          <w:sz w:val="24"/>
        </w:rPr>
        <w:t>（</w:t>
      </w:r>
      <w:r>
        <w:rPr>
          <w:rFonts w:ascii="宋体" w:hAnsi="宋体"/>
          <w:color w:val="auto"/>
          <w:sz w:val="24"/>
        </w:rPr>
        <w:t>GB</w:t>
      </w:r>
      <w:r>
        <w:rPr>
          <w:rFonts w:hint="eastAsia" w:ascii="宋体" w:hAnsi="宋体"/>
          <w:color w:val="auto"/>
          <w:sz w:val="24"/>
        </w:rPr>
        <w:t>50</w:t>
      </w:r>
      <w:r>
        <w:rPr>
          <w:rFonts w:ascii="宋体" w:hAnsi="宋体"/>
          <w:color w:val="auto"/>
          <w:sz w:val="24"/>
        </w:rPr>
        <w:t>140-</w:t>
      </w:r>
      <w:r>
        <w:rPr>
          <w:rFonts w:hint="eastAsia" w:ascii="宋体" w:hAnsi="宋体"/>
          <w:color w:val="auto"/>
          <w:sz w:val="24"/>
        </w:rPr>
        <w:t>2005，中华人民共和国建设部，国家质量监督检验检疫总局</w:t>
      </w:r>
      <w:r>
        <w:rPr>
          <w:rFonts w:ascii="宋体" w:hAnsi="宋体"/>
          <w:color w:val="auto"/>
          <w:sz w:val="24"/>
        </w:rPr>
        <w:t>2005</w:t>
      </w:r>
      <w:r>
        <w:rPr>
          <w:rFonts w:hint="eastAsia" w:ascii="宋体" w:hAnsi="宋体"/>
          <w:color w:val="auto"/>
          <w:sz w:val="24"/>
        </w:rPr>
        <w:t>年</w:t>
      </w:r>
      <w:r>
        <w:rPr>
          <w:rFonts w:ascii="宋体" w:hAnsi="宋体"/>
          <w:color w:val="auto"/>
          <w:sz w:val="24"/>
        </w:rPr>
        <w:t>7</w:t>
      </w:r>
      <w:r>
        <w:rPr>
          <w:rFonts w:hint="eastAsia" w:ascii="宋体" w:hAnsi="宋体"/>
          <w:color w:val="auto"/>
          <w:sz w:val="24"/>
        </w:rPr>
        <w:t>月</w:t>
      </w:r>
      <w:r>
        <w:rPr>
          <w:rFonts w:ascii="宋体" w:hAnsi="宋体"/>
          <w:color w:val="auto"/>
          <w:sz w:val="24"/>
        </w:rPr>
        <w:t>15</w:t>
      </w:r>
      <w:r>
        <w:rPr>
          <w:rFonts w:hint="eastAsia" w:ascii="宋体" w:hAnsi="宋体"/>
          <w:color w:val="auto"/>
          <w:sz w:val="24"/>
        </w:rPr>
        <w:t>日发布，</w:t>
      </w:r>
      <w:r>
        <w:rPr>
          <w:rFonts w:ascii="宋体" w:hAnsi="宋体"/>
          <w:color w:val="auto"/>
          <w:sz w:val="24"/>
        </w:rPr>
        <w:t>2005</w:t>
      </w:r>
      <w:r>
        <w:rPr>
          <w:rFonts w:hint="eastAsia" w:ascii="宋体" w:hAnsi="宋体"/>
          <w:color w:val="auto"/>
          <w:sz w:val="24"/>
        </w:rPr>
        <w:t>年</w:t>
      </w:r>
      <w:r>
        <w:rPr>
          <w:rFonts w:ascii="宋体" w:hAnsi="宋体"/>
          <w:color w:val="auto"/>
          <w:sz w:val="24"/>
        </w:rPr>
        <w:t>10</w:t>
      </w:r>
      <w:r>
        <w:rPr>
          <w:rFonts w:hint="eastAsia" w:ascii="宋体" w:hAnsi="宋体"/>
          <w:color w:val="auto"/>
          <w:sz w:val="24"/>
        </w:rPr>
        <w:t>月</w:t>
      </w:r>
      <w:r>
        <w:rPr>
          <w:rFonts w:ascii="宋体" w:hAnsi="宋体"/>
          <w:color w:val="auto"/>
          <w:sz w:val="24"/>
        </w:rPr>
        <w:t>1</w:t>
      </w:r>
      <w:r>
        <w:rPr>
          <w:rFonts w:hint="eastAsia" w:ascii="宋体" w:hAnsi="宋体"/>
          <w:color w:val="auto"/>
          <w:sz w:val="24"/>
        </w:rPr>
        <w:t>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《矿山安全标志》（</w:t>
      </w:r>
      <w:r>
        <w:rPr>
          <w:rFonts w:hint="eastAsia" w:ascii="宋体" w:hAnsi="宋体"/>
          <w:color w:val="auto"/>
          <w:sz w:val="24"/>
        </w:rPr>
        <w:t>GB14161-2008</w:t>
      </w:r>
      <w:r>
        <w:rPr>
          <w:rFonts w:ascii="宋体" w:hAnsi="宋体"/>
          <w:color w:val="auto"/>
          <w:sz w:val="24"/>
        </w:rPr>
        <w:t>，国家质量监督检验检疫总局、国家标准化管理委员会2008年12月11日发布，2009年10月1日实施）</w:t>
      </w:r>
      <w:r>
        <w:rPr>
          <w:rFonts w:hint="eastAsia" w:ascii="宋体" w:hAnsi="宋体"/>
          <w:color w:val="auto"/>
          <w:sz w:val="24"/>
        </w:rPr>
        <w:t>；</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《供配电系统设计规范》（GB50052-2009，中华人民共和国住房和城乡建设部、中华人民共和国国家质量监督检验检疫总局2009年11月11日联合发布，2010年7月1日实施）；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《建筑物防雷设计规范》</w:t>
      </w:r>
      <w:r>
        <w:rPr>
          <w:rFonts w:hint="eastAsia" w:ascii="宋体" w:hAnsi="宋体"/>
          <w:color w:val="auto"/>
          <w:sz w:val="24"/>
        </w:rPr>
        <w:t>（GB50057-2010，中华人民共和国住房和城乡建设部、中华人民共和国国家质量监督检验检疫总局2010年11月3日联合发布，2011年10月1日实施）；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《交流电气装置的接地设计规范》（GB50065-2011，中华人民共和国住房和城乡建设部、中华人民共和国国家质量监督检验检疫总局2011年12月5日联合发布，2012年6月1日实施）；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《低压配电设计规范》</w:t>
      </w:r>
      <w:r>
        <w:rPr>
          <w:rFonts w:hint="eastAsia" w:ascii="宋体" w:hAnsi="宋体"/>
          <w:color w:val="auto"/>
          <w:sz w:val="24"/>
        </w:rPr>
        <w:t>（</w:t>
      </w:r>
      <w:r>
        <w:rPr>
          <w:rFonts w:ascii="宋体" w:hAnsi="宋体"/>
          <w:color w:val="auto"/>
          <w:sz w:val="24"/>
        </w:rPr>
        <w:t>GB50054-</w:t>
      </w:r>
      <w:r>
        <w:rPr>
          <w:rFonts w:hint="eastAsia" w:ascii="宋体" w:hAnsi="宋体"/>
          <w:color w:val="auto"/>
          <w:sz w:val="24"/>
        </w:rPr>
        <w:t>2011，2011</w:t>
      </w:r>
      <w:r>
        <w:rPr>
          <w:rFonts w:ascii="宋体" w:hAnsi="宋体"/>
          <w:color w:val="auto"/>
          <w:sz w:val="24"/>
        </w:rPr>
        <w:t>年</w:t>
      </w:r>
      <w:r>
        <w:rPr>
          <w:rFonts w:hint="eastAsia" w:ascii="宋体" w:hAnsi="宋体"/>
          <w:color w:val="auto"/>
          <w:sz w:val="24"/>
        </w:rPr>
        <w:t>7</w:t>
      </w:r>
      <w:r>
        <w:rPr>
          <w:rFonts w:ascii="宋体" w:hAnsi="宋体"/>
          <w:color w:val="auto"/>
          <w:sz w:val="24"/>
        </w:rPr>
        <w:t>月</w:t>
      </w:r>
      <w:r>
        <w:rPr>
          <w:rFonts w:hint="eastAsia" w:ascii="宋体" w:hAnsi="宋体"/>
          <w:color w:val="auto"/>
          <w:sz w:val="24"/>
        </w:rPr>
        <w:t>26</w:t>
      </w:r>
      <w:r>
        <w:rPr>
          <w:rFonts w:ascii="宋体" w:hAnsi="宋体"/>
          <w:color w:val="auto"/>
          <w:sz w:val="24"/>
        </w:rPr>
        <w:t>日由</w:t>
      </w:r>
      <w:r>
        <w:rPr>
          <w:rFonts w:hint="eastAsia" w:ascii="宋体" w:hAnsi="宋体"/>
          <w:color w:val="auto"/>
          <w:sz w:val="24"/>
        </w:rPr>
        <w:t>中华人民共和国住房和城乡建设部发布</w:t>
      </w:r>
      <w:r>
        <w:rPr>
          <w:rFonts w:ascii="宋体" w:hAnsi="宋体"/>
          <w:color w:val="auto"/>
          <w:sz w:val="24"/>
        </w:rPr>
        <w:t>，于</w:t>
      </w:r>
      <w:r>
        <w:rPr>
          <w:rFonts w:hint="eastAsia" w:ascii="宋体" w:hAnsi="宋体"/>
          <w:color w:val="auto"/>
          <w:sz w:val="24"/>
        </w:rPr>
        <w:t>2012</w:t>
      </w:r>
      <w:r>
        <w:rPr>
          <w:rFonts w:ascii="宋体" w:hAnsi="宋体"/>
          <w:color w:val="auto"/>
          <w:sz w:val="24"/>
        </w:rPr>
        <w:t>年</w:t>
      </w:r>
      <w:r>
        <w:rPr>
          <w:rFonts w:hint="eastAsia" w:ascii="宋体" w:hAnsi="宋体"/>
          <w:color w:val="auto"/>
          <w:sz w:val="24"/>
        </w:rPr>
        <w:t>6</w:t>
      </w:r>
      <w:r>
        <w:rPr>
          <w:rFonts w:ascii="宋体" w:hAnsi="宋体"/>
          <w:color w:val="auto"/>
          <w:sz w:val="24"/>
        </w:rPr>
        <w:t>月1日实施</w:t>
      </w:r>
      <w:r>
        <w:rPr>
          <w:rFonts w:hint="eastAsia" w:ascii="宋体" w:hAnsi="宋体"/>
          <w:color w:val="auto"/>
          <w:sz w:val="24"/>
        </w:rPr>
        <w:t>）；</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《工业企业总平面设计规范》</w:t>
      </w:r>
      <w:r>
        <w:rPr>
          <w:rFonts w:hint="eastAsia" w:ascii="宋体" w:hAnsi="宋体"/>
          <w:color w:val="auto"/>
          <w:sz w:val="24"/>
        </w:rPr>
        <w:t>（</w:t>
      </w:r>
      <w:r>
        <w:rPr>
          <w:rFonts w:ascii="宋体" w:hAnsi="宋体"/>
          <w:color w:val="auto"/>
          <w:sz w:val="24"/>
        </w:rPr>
        <w:t>GB50187-</w:t>
      </w:r>
      <w:r>
        <w:rPr>
          <w:rFonts w:hint="eastAsia" w:ascii="宋体" w:hAnsi="宋体"/>
          <w:color w:val="auto"/>
          <w:sz w:val="24"/>
        </w:rPr>
        <w:t>2012，2012年3月30日中华人民共和国住房和城乡建设部发布，2012年8月1日施行）；</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《建筑设计防火规范》</w:t>
      </w:r>
      <w:r>
        <w:rPr>
          <w:rFonts w:hint="eastAsia" w:ascii="宋体" w:hAnsi="宋体"/>
          <w:color w:val="auto"/>
          <w:sz w:val="24"/>
        </w:rPr>
        <w:t>（</w:t>
      </w:r>
      <w:r>
        <w:rPr>
          <w:rFonts w:ascii="宋体" w:hAnsi="宋体"/>
          <w:color w:val="auto"/>
          <w:sz w:val="24"/>
        </w:rPr>
        <w:t>GB50016-20</w:t>
      </w:r>
      <w:r>
        <w:rPr>
          <w:rFonts w:hint="eastAsia" w:ascii="宋体" w:hAnsi="宋体"/>
          <w:color w:val="auto"/>
          <w:sz w:val="24"/>
        </w:rPr>
        <w:t>1</w:t>
      </w:r>
      <w:r>
        <w:rPr>
          <w:rFonts w:ascii="宋体" w:hAnsi="宋体"/>
          <w:color w:val="auto"/>
          <w:sz w:val="24"/>
        </w:rPr>
        <w:t>4</w:t>
      </w:r>
      <w:r>
        <w:rPr>
          <w:rFonts w:hint="eastAsia" w:ascii="宋体" w:hAnsi="宋体"/>
          <w:color w:val="auto"/>
          <w:sz w:val="24"/>
        </w:rPr>
        <w:t>，</w:t>
      </w:r>
      <w:r>
        <w:rPr>
          <w:rFonts w:ascii="宋体" w:hAnsi="宋体"/>
          <w:color w:val="auto"/>
          <w:sz w:val="24"/>
        </w:rPr>
        <w:t>中华人民共和国住房和城乡建设部</w:t>
      </w:r>
      <w:r>
        <w:rPr>
          <w:rFonts w:hint="eastAsia" w:ascii="宋体" w:hAnsi="宋体"/>
          <w:color w:val="auto"/>
          <w:sz w:val="24"/>
        </w:rPr>
        <w:t>，</w:t>
      </w:r>
      <w:r>
        <w:rPr>
          <w:rFonts w:ascii="宋体" w:hAnsi="宋体"/>
          <w:color w:val="auto"/>
          <w:sz w:val="24"/>
        </w:rPr>
        <w:t>20</w:t>
      </w:r>
      <w:r>
        <w:rPr>
          <w:rFonts w:hint="eastAsia" w:ascii="宋体" w:hAnsi="宋体"/>
          <w:color w:val="auto"/>
          <w:sz w:val="24"/>
        </w:rPr>
        <w:t>1</w:t>
      </w:r>
      <w:r>
        <w:rPr>
          <w:rFonts w:ascii="宋体" w:hAnsi="宋体"/>
          <w:color w:val="auto"/>
          <w:sz w:val="24"/>
        </w:rPr>
        <w:t>8年3月30日</w:t>
      </w:r>
      <w:r>
        <w:rPr>
          <w:rFonts w:hint="eastAsia" w:ascii="宋体" w:hAnsi="宋体"/>
          <w:color w:val="auto"/>
          <w:sz w:val="24"/>
        </w:rPr>
        <w:t>修订，</w:t>
      </w:r>
      <w:r>
        <w:rPr>
          <w:rFonts w:ascii="宋体" w:hAnsi="宋体"/>
          <w:color w:val="auto"/>
          <w:sz w:val="24"/>
        </w:rPr>
        <w:t>施行日期20</w:t>
      </w:r>
      <w:r>
        <w:rPr>
          <w:rFonts w:hint="eastAsia" w:ascii="宋体" w:hAnsi="宋体"/>
          <w:color w:val="auto"/>
          <w:sz w:val="24"/>
        </w:rPr>
        <w:t>15</w:t>
      </w:r>
      <w:r>
        <w:rPr>
          <w:rFonts w:ascii="宋体" w:hAnsi="宋体"/>
          <w:color w:val="auto"/>
          <w:sz w:val="24"/>
        </w:rPr>
        <w:t>年</w:t>
      </w:r>
      <w:r>
        <w:rPr>
          <w:rFonts w:hint="eastAsia" w:ascii="宋体" w:hAnsi="宋体"/>
          <w:color w:val="auto"/>
          <w:sz w:val="24"/>
        </w:rPr>
        <w:t>5</w:t>
      </w:r>
      <w:r>
        <w:rPr>
          <w:rFonts w:ascii="宋体" w:hAnsi="宋体"/>
          <w:color w:val="auto"/>
          <w:sz w:val="24"/>
        </w:rPr>
        <w:t>月1日</w:t>
      </w:r>
      <w:r>
        <w:rPr>
          <w:rFonts w:hint="eastAsia" w:ascii="宋体" w:hAnsi="宋体"/>
          <w:color w:val="auto"/>
          <w:sz w:val="24"/>
        </w:rPr>
        <w:t>）；</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《防洪标准》（GB50201-2014，中华人民共和国住房和城乡建设部、中华人民共和国国家质量监督检验检疫总局2014年6月23日联合发布，2015年5月</w:t>
      </w:r>
      <w:r>
        <w:rPr>
          <w:rFonts w:ascii="宋体" w:hAnsi="宋体"/>
          <w:color w:val="auto"/>
          <w:sz w:val="24"/>
        </w:rPr>
        <w:t>1</w:t>
      </w:r>
      <w:r>
        <w:rPr>
          <w:rFonts w:hint="eastAsia" w:ascii="宋体" w:hAnsi="宋体"/>
          <w:color w:val="auto"/>
          <w:sz w:val="24"/>
        </w:rPr>
        <w:t>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《非煤露天矿边坡工程技术规范》（GB51016-2014，中华人民共和国住房和城乡建设部2014年7月13日发布，2015年5月1日实施）；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《爆破安全规程》</w:t>
      </w:r>
      <w:r>
        <w:rPr>
          <w:rFonts w:hint="eastAsia" w:ascii="宋体" w:hAnsi="宋体"/>
          <w:color w:val="auto"/>
          <w:sz w:val="24"/>
        </w:rPr>
        <w:t>（</w:t>
      </w:r>
      <w:r>
        <w:rPr>
          <w:rFonts w:ascii="宋体" w:hAnsi="宋体"/>
          <w:color w:val="auto"/>
          <w:sz w:val="24"/>
        </w:rPr>
        <w:t>GB6722-20</w:t>
      </w:r>
      <w:r>
        <w:rPr>
          <w:rFonts w:hint="eastAsia" w:ascii="宋体" w:hAnsi="宋体"/>
          <w:color w:val="auto"/>
          <w:sz w:val="24"/>
        </w:rPr>
        <w:t>14，</w:t>
      </w:r>
      <w:r>
        <w:rPr>
          <w:rFonts w:ascii="宋体" w:hAnsi="宋体"/>
          <w:color w:val="auto"/>
          <w:sz w:val="24"/>
        </w:rPr>
        <w:t>20</w:t>
      </w:r>
      <w:r>
        <w:rPr>
          <w:rFonts w:hint="eastAsia" w:ascii="宋体" w:hAnsi="宋体"/>
          <w:color w:val="auto"/>
          <w:sz w:val="24"/>
        </w:rPr>
        <w:t>14</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05</w:t>
      </w:r>
      <w:r>
        <w:rPr>
          <w:rFonts w:ascii="宋体" w:hAnsi="宋体"/>
          <w:color w:val="auto"/>
          <w:sz w:val="24"/>
        </w:rPr>
        <w:t>日由国家质量监督检查检疫总局</w:t>
      </w:r>
      <w:r>
        <w:rPr>
          <w:rFonts w:hint="eastAsia" w:ascii="宋体" w:hAnsi="宋体"/>
          <w:color w:val="auto"/>
          <w:sz w:val="24"/>
        </w:rPr>
        <w:t>和中国国家标准化管理委员会</w:t>
      </w:r>
      <w:r>
        <w:rPr>
          <w:rFonts w:ascii="宋体" w:hAnsi="宋体"/>
          <w:color w:val="auto"/>
          <w:sz w:val="24"/>
        </w:rPr>
        <w:t>发布，并于20</w:t>
      </w:r>
      <w:r>
        <w:rPr>
          <w:rFonts w:hint="eastAsia" w:ascii="宋体" w:hAnsi="宋体"/>
          <w:color w:val="auto"/>
          <w:sz w:val="24"/>
        </w:rPr>
        <w:t>15</w:t>
      </w:r>
      <w:r>
        <w:rPr>
          <w:rFonts w:ascii="宋体" w:hAnsi="宋体"/>
          <w:color w:val="auto"/>
          <w:sz w:val="24"/>
        </w:rPr>
        <w:t>年</w:t>
      </w:r>
      <w:r>
        <w:rPr>
          <w:rFonts w:hint="eastAsia" w:ascii="宋体" w:hAnsi="宋体"/>
          <w:color w:val="auto"/>
          <w:sz w:val="24"/>
        </w:rPr>
        <w:t>7</w:t>
      </w:r>
      <w:r>
        <w:rPr>
          <w:rFonts w:ascii="宋体" w:hAnsi="宋体"/>
          <w:color w:val="auto"/>
          <w:sz w:val="24"/>
        </w:rPr>
        <w:t>月1日实施</w:t>
      </w:r>
      <w:r>
        <w:rPr>
          <w:rFonts w:hint="eastAsia" w:ascii="宋体" w:hAnsi="宋体"/>
          <w:color w:val="auto"/>
          <w:sz w:val="24"/>
        </w:rPr>
        <w:t>）；</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《中国地震动参数区划图》（GB18306-2015，国家质量监督检验检疫总局、国家标准化管理委员会2015年5月15日发布，2016年6月1日实施）；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《危险化学品重大危险源辨识》（GB 18218-2018，国家市场监督管理总局、中国国家标准化管理委员为2018年11月19日发布，2019年3月1日实施）；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《矿山电力设计标准》（GB50070-2020，2020年2月27日由住房和城乡建设部、质量监督检疫总局发布，于2020年10月1日实施）；</w:t>
      </w:r>
    </w:p>
    <w:p>
      <w:pPr>
        <w:widowControl/>
        <w:numPr>
          <w:ilvl w:val="0"/>
          <w:numId w:val="6"/>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《金属非金属矿山安全规程》（GB16423-2020，2020年10月11日发布，2021年9月1日实施）。</w:t>
      </w:r>
    </w:p>
    <w:p>
      <w:pPr>
        <w:widowControl/>
        <w:spacing w:line="500" w:lineRule="exact"/>
        <w:ind w:firstLine="482" w:firstLineChars="200"/>
        <w:rPr>
          <w:rFonts w:ascii="宋体" w:hAnsi="宋体"/>
          <w:b/>
          <w:color w:val="auto"/>
          <w:sz w:val="24"/>
        </w:rPr>
      </w:pPr>
      <w:r>
        <w:rPr>
          <w:rFonts w:hint="eastAsia" w:ascii="宋体" w:hAnsi="宋体"/>
          <w:b/>
          <w:color w:val="auto"/>
          <w:sz w:val="24"/>
        </w:rPr>
        <w:t>（2）推荐性国标（GB/T）</w:t>
      </w:r>
    </w:p>
    <w:p>
      <w:pPr>
        <w:widowControl/>
        <w:numPr>
          <w:ilvl w:val="0"/>
          <w:numId w:val="7"/>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《生产经营单位生产安全事故应急预案编制导则》（</w:t>
      </w:r>
      <w:r>
        <w:rPr>
          <w:rFonts w:ascii="宋体" w:hAnsi="宋体"/>
          <w:color w:val="auto"/>
          <w:sz w:val="24"/>
        </w:rPr>
        <w:t>GB/T</w:t>
      </w:r>
      <w:r>
        <w:rPr>
          <w:rFonts w:hint="eastAsia" w:ascii="宋体" w:hAnsi="宋体"/>
          <w:color w:val="auto"/>
          <w:sz w:val="24"/>
        </w:rPr>
        <w:t>29639</w:t>
      </w:r>
      <w:r>
        <w:rPr>
          <w:rFonts w:ascii="宋体" w:hAnsi="宋体"/>
          <w:color w:val="auto"/>
          <w:sz w:val="24"/>
        </w:rPr>
        <w:t>-</w:t>
      </w:r>
      <w:r>
        <w:rPr>
          <w:rFonts w:hint="eastAsia" w:ascii="宋体" w:hAnsi="宋体"/>
          <w:color w:val="auto"/>
          <w:sz w:val="24"/>
        </w:rPr>
        <w:t>20</w:t>
      </w:r>
      <w:r>
        <w:rPr>
          <w:rFonts w:ascii="宋体" w:hAnsi="宋体"/>
          <w:color w:val="auto"/>
          <w:sz w:val="24"/>
        </w:rPr>
        <w:t>20</w:t>
      </w:r>
      <w:r>
        <w:rPr>
          <w:rFonts w:hint="eastAsia" w:ascii="宋体" w:hAnsi="宋体"/>
          <w:color w:val="auto"/>
          <w:sz w:val="24"/>
        </w:rPr>
        <w:t>，</w:t>
      </w:r>
      <w:r>
        <w:rPr>
          <w:rFonts w:ascii="宋体" w:hAnsi="宋体"/>
          <w:color w:val="auto"/>
          <w:sz w:val="24"/>
        </w:rPr>
        <w:t>国家</w:t>
      </w:r>
      <w:r>
        <w:rPr>
          <w:rFonts w:hint="eastAsia" w:ascii="宋体" w:hAnsi="宋体"/>
          <w:color w:val="auto"/>
          <w:sz w:val="24"/>
        </w:rPr>
        <w:t>市场监督管理</w:t>
      </w:r>
      <w:r>
        <w:rPr>
          <w:rFonts w:ascii="宋体" w:hAnsi="宋体"/>
          <w:color w:val="auto"/>
          <w:sz w:val="24"/>
        </w:rPr>
        <w:t>总局、国家标准化管理委员会2020年9月2</w:t>
      </w:r>
      <w:r>
        <w:rPr>
          <w:rFonts w:hint="eastAsia" w:ascii="宋体" w:hAnsi="宋体"/>
          <w:color w:val="auto"/>
          <w:sz w:val="24"/>
        </w:rPr>
        <w:t>9</w:t>
      </w:r>
      <w:r>
        <w:rPr>
          <w:rFonts w:ascii="宋体" w:hAnsi="宋体"/>
          <w:color w:val="auto"/>
          <w:sz w:val="24"/>
        </w:rPr>
        <w:t>日发布，2021年4月1日实施</w:t>
      </w:r>
      <w:r>
        <w:rPr>
          <w:rFonts w:hint="eastAsia" w:ascii="宋体" w:hAnsi="宋体"/>
          <w:color w:val="auto"/>
          <w:sz w:val="24"/>
        </w:rPr>
        <w:t>）。</w:t>
      </w:r>
    </w:p>
    <w:p>
      <w:pPr>
        <w:widowControl/>
        <w:spacing w:line="500" w:lineRule="exact"/>
        <w:ind w:firstLine="482" w:firstLineChars="200"/>
        <w:rPr>
          <w:rFonts w:ascii="宋体" w:hAnsi="宋体"/>
          <w:b/>
          <w:color w:val="auto"/>
          <w:sz w:val="24"/>
        </w:rPr>
      </w:pPr>
      <w:r>
        <w:rPr>
          <w:rFonts w:hint="eastAsia" w:ascii="宋体" w:hAnsi="宋体"/>
          <w:b/>
          <w:color w:val="auto"/>
          <w:sz w:val="24"/>
        </w:rPr>
        <w:t>（3）国家标准指导性技术文件（GBZ）</w:t>
      </w:r>
    </w:p>
    <w:p>
      <w:pPr>
        <w:widowControl/>
        <w:numPr>
          <w:ilvl w:val="0"/>
          <w:numId w:val="8"/>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《工业企业设计卫生标准》</w:t>
      </w:r>
      <w:r>
        <w:rPr>
          <w:rFonts w:hint="eastAsia" w:ascii="宋体" w:hAnsi="宋体"/>
          <w:color w:val="auto"/>
          <w:sz w:val="24"/>
        </w:rPr>
        <w:t>（</w:t>
      </w:r>
      <w:r>
        <w:rPr>
          <w:rFonts w:ascii="宋体" w:hAnsi="宋体"/>
          <w:color w:val="auto"/>
          <w:sz w:val="24"/>
        </w:rPr>
        <w:t>GBZ1-20</w:t>
      </w:r>
      <w:r>
        <w:rPr>
          <w:rFonts w:hint="eastAsia" w:ascii="宋体" w:hAnsi="宋体"/>
          <w:color w:val="auto"/>
          <w:sz w:val="24"/>
        </w:rPr>
        <w:t>10，2010年1月22日卫生部发布，</w:t>
      </w:r>
      <w:r>
        <w:rPr>
          <w:rFonts w:ascii="宋体" w:hAnsi="宋体"/>
          <w:color w:val="auto"/>
          <w:sz w:val="24"/>
        </w:rPr>
        <w:t>20</w:t>
      </w:r>
      <w:r>
        <w:rPr>
          <w:rFonts w:hint="eastAsia" w:ascii="宋体" w:hAnsi="宋体"/>
          <w:color w:val="auto"/>
          <w:sz w:val="24"/>
        </w:rPr>
        <w:t>10年8月</w:t>
      </w:r>
      <w:r>
        <w:rPr>
          <w:rFonts w:ascii="宋体" w:hAnsi="宋体"/>
          <w:color w:val="auto"/>
          <w:sz w:val="24"/>
        </w:rPr>
        <w:t>1</w:t>
      </w:r>
      <w:r>
        <w:rPr>
          <w:rFonts w:hint="eastAsia" w:ascii="宋体" w:hAnsi="宋体"/>
          <w:color w:val="auto"/>
          <w:sz w:val="24"/>
        </w:rPr>
        <w:t>日实施）。</w:t>
      </w:r>
    </w:p>
    <w:p>
      <w:pPr>
        <w:widowControl/>
        <w:spacing w:line="500" w:lineRule="exact"/>
        <w:ind w:firstLine="482" w:firstLineChars="200"/>
        <w:rPr>
          <w:rFonts w:ascii="宋体" w:hAnsi="宋体"/>
          <w:b/>
          <w:color w:val="auto"/>
          <w:sz w:val="24"/>
        </w:rPr>
      </w:pPr>
      <w:r>
        <w:rPr>
          <w:rFonts w:hint="eastAsia" w:ascii="宋体" w:hAnsi="宋体"/>
          <w:b/>
          <w:color w:val="auto"/>
          <w:sz w:val="24"/>
        </w:rPr>
        <w:t>（4）国</w:t>
      </w:r>
      <w:r>
        <w:rPr>
          <w:rFonts w:ascii="宋体" w:hAnsi="宋体"/>
          <w:b/>
          <w:color w:val="auto"/>
          <w:sz w:val="24"/>
        </w:rPr>
        <w:t>家工程建设标准</w:t>
      </w:r>
      <w:r>
        <w:rPr>
          <w:rFonts w:hint="eastAsia" w:ascii="宋体" w:hAnsi="宋体"/>
          <w:b/>
          <w:color w:val="auto"/>
          <w:sz w:val="24"/>
        </w:rPr>
        <w:t>（GBJ）</w:t>
      </w:r>
    </w:p>
    <w:p>
      <w:pPr>
        <w:widowControl/>
        <w:numPr>
          <w:ilvl w:val="0"/>
          <w:numId w:val="9"/>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《厂矿道路设计规范》</w:t>
      </w:r>
      <w:r>
        <w:rPr>
          <w:rFonts w:hint="eastAsia" w:ascii="宋体" w:hAnsi="宋体"/>
          <w:color w:val="auto"/>
          <w:sz w:val="24"/>
        </w:rPr>
        <w:t>（</w:t>
      </w:r>
      <w:r>
        <w:rPr>
          <w:rFonts w:ascii="宋体" w:hAnsi="宋体"/>
          <w:color w:val="auto"/>
          <w:sz w:val="24"/>
        </w:rPr>
        <w:t>GBJ22-1987</w:t>
      </w:r>
      <w:r>
        <w:rPr>
          <w:rFonts w:hint="eastAsia" w:ascii="宋体" w:hAnsi="宋体"/>
          <w:color w:val="auto"/>
          <w:sz w:val="24"/>
        </w:rPr>
        <w:t>，</w:t>
      </w:r>
      <w:r>
        <w:rPr>
          <w:rFonts w:ascii="宋体" w:hAnsi="宋体"/>
          <w:color w:val="auto"/>
          <w:sz w:val="24"/>
        </w:rPr>
        <w:t>中华人民共和国国家计划委员会1987年12月15日</w:t>
      </w:r>
      <w:r>
        <w:rPr>
          <w:rFonts w:hint="eastAsia" w:ascii="宋体" w:hAnsi="宋体"/>
          <w:color w:val="auto"/>
          <w:sz w:val="24"/>
        </w:rPr>
        <w:t>发布，</w:t>
      </w:r>
      <w:r>
        <w:rPr>
          <w:rFonts w:ascii="宋体" w:hAnsi="宋体"/>
          <w:color w:val="auto"/>
          <w:sz w:val="24"/>
        </w:rPr>
        <w:t>1988年8月1日</w:t>
      </w:r>
      <w:r>
        <w:rPr>
          <w:rFonts w:hint="eastAsia" w:ascii="宋体" w:hAnsi="宋体"/>
          <w:color w:val="auto"/>
          <w:sz w:val="24"/>
        </w:rPr>
        <w:t>实施）。</w:t>
      </w:r>
    </w:p>
    <w:p>
      <w:pPr>
        <w:widowControl/>
        <w:spacing w:line="500" w:lineRule="exact"/>
        <w:ind w:firstLine="482" w:firstLineChars="200"/>
        <w:rPr>
          <w:rFonts w:ascii="宋体" w:hAnsi="宋体"/>
          <w:b/>
          <w:color w:val="auto"/>
          <w:sz w:val="24"/>
        </w:rPr>
      </w:pPr>
      <w:r>
        <w:rPr>
          <w:rFonts w:hint="eastAsia" w:ascii="宋体" w:hAnsi="宋体"/>
          <w:b/>
          <w:color w:val="auto"/>
          <w:sz w:val="24"/>
        </w:rPr>
        <w:t>（5）行业</w:t>
      </w:r>
      <w:r>
        <w:rPr>
          <w:rFonts w:ascii="宋体" w:hAnsi="宋体"/>
          <w:b/>
          <w:color w:val="auto"/>
          <w:sz w:val="24"/>
        </w:rPr>
        <w:t>标准</w:t>
      </w:r>
      <w:r>
        <w:rPr>
          <w:rFonts w:hint="eastAsia" w:ascii="宋体" w:hAnsi="宋体"/>
          <w:b/>
          <w:color w:val="auto"/>
          <w:sz w:val="24"/>
        </w:rPr>
        <w:t>（AQ、GA）</w:t>
      </w:r>
    </w:p>
    <w:p>
      <w:pPr>
        <w:widowControl/>
        <w:numPr>
          <w:ilvl w:val="0"/>
          <w:numId w:val="10"/>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《金属非金属矿山排土场安全生产规则》（AQ2005-2005，国家安全生产监督管理总局）；</w:t>
      </w:r>
    </w:p>
    <w:p>
      <w:pPr>
        <w:widowControl/>
        <w:numPr>
          <w:ilvl w:val="0"/>
          <w:numId w:val="10"/>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《安全预评价导则》</w:t>
      </w:r>
      <w:r>
        <w:rPr>
          <w:rFonts w:hint="eastAsia" w:ascii="宋体" w:hAnsi="宋体"/>
          <w:color w:val="auto"/>
          <w:sz w:val="24"/>
        </w:rPr>
        <w:t>（</w:t>
      </w:r>
      <w:r>
        <w:rPr>
          <w:rFonts w:ascii="宋体" w:hAnsi="宋体"/>
          <w:color w:val="auto"/>
          <w:sz w:val="24"/>
        </w:rPr>
        <w:t>AQ8002-2007</w:t>
      </w:r>
      <w:r>
        <w:rPr>
          <w:rFonts w:hint="eastAsia" w:ascii="宋体" w:hAnsi="宋体"/>
          <w:color w:val="auto"/>
          <w:sz w:val="24"/>
        </w:rPr>
        <w:t>，国家安全生产监督管理总局2007年1月4日发布，2007年4月1日施行）；</w:t>
      </w:r>
    </w:p>
    <w:p>
      <w:pPr>
        <w:widowControl/>
        <w:numPr>
          <w:ilvl w:val="0"/>
          <w:numId w:val="10"/>
        </w:numPr>
        <w:tabs>
          <w:tab w:val="left" w:pos="284"/>
          <w:tab w:val="left" w:pos="567"/>
        </w:tabs>
        <w:spacing w:line="500" w:lineRule="exact"/>
        <w:ind w:firstLine="480" w:firstLineChars="200"/>
        <w:rPr>
          <w:rFonts w:ascii="宋体" w:hAnsi="宋体"/>
          <w:color w:val="auto"/>
          <w:sz w:val="24"/>
        </w:rPr>
      </w:pPr>
      <w:r>
        <w:rPr>
          <w:rFonts w:ascii="宋体" w:hAnsi="宋体"/>
          <w:color w:val="auto"/>
          <w:sz w:val="24"/>
        </w:rPr>
        <w:t>《安全评价通则》</w:t>
      </w:r>
      <w:r>
        <w:rPr>
          <w:rFonts w:hint="eastAsia" w:ascii="宋体" w:hAnsi="宋体"/>
          <w:color w:val="auto"/>
          <w:sz w:val="24"/>
        </w:rPr>
        <w:t>（</w:t>
      </w:r>
      <w:r>
        <w:rPr>
          <w:rFonts w:ascii="宋体" w:hAnsi="宋体"/>
          <w:color w:val="auto"/>
          <w:sz w:val="24"/>
        </w:rPr>
        <w:t>AQ8001-2007</w:t>
      </w:r>
      <w:r>
        <w:rPr>
          <w:rFonts w:hint="eastAsia" w:ascii="宋体" w:hAnsi="宋体"/>
          <w:color w:val="auto"/>
          <w:sz w:val="24"/>
        </w:rPr>
        <w:t>，国家安全生产监督管理总局2007年1月4日发布，2007年4月1日施行）；</w:t>
      </w:r>
    </w:p>
    <w:p>
      <w:pPr>
        <w:widowControl/>
        <w:numPr>
          <w:ilvl w:val="0"/>
          <w:numId w:val="10"/>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《金属非金属矿山在用设备设施安全检测检验目录》（AQ/T2075-2019，2019年8月12日发布，2020年2月1日实施）。</w:t>
      </w:r>
    </w:p>
    <w:p>
      <w:pPr>
        <w:pStyle w:val="122"/>
        <w:widowControl/>
        <w:spacing w:line="500" w:lineRule="exact"/>
        <w:ind w:firstLine="489"/>
        <w:jc w:val="both"/>
        <w:rPr>
          <w:rFonts w:ascii="宋体" w:hAnsi="宋体"/>
          <w:b/>
          <w:color w:val="auto"/>
        </w:rPr>
      </w:pPr>
      <w:r>
        <w:rPr>
          <w:rFonts w:hint="eastAsia" w:ascii="宋体" w:hAnsi="宋体"/>
          <w:b/>
          <w:color w:val="auto"/>
        </w:rPr>
        <w:t>（</w:t>
      </w:r>
      <w:r>
        <w:rPr>
          <w:rFonts w:ascii="宋体" w:hAnsi="宋体"/>
          <w:b/>
          <w:color w:val="auto"/>
        </w:rPr>
        <w:t>6</w:t>
      </w:r>
      <w:r>
        <w:rPr>
          <w:rFonts w:hint="eastAsia" w:ascii="宋体" w:hAnsi="宋体"/>
          <w:b/>
          <w:color w:val="auto"/>
        </w:rPr>
        <w:t>）其他</w:t>
      </w:r>
    </w:p>
    <w:p>
      <w:pPr>
        <w:widowControl/>
        <w:numPr>
          <w:ilvl w:val="0"/>
          <w:numId w:val="11"/>
        </w:numPr>
        <w:tabs>
          <w:tab w:val="left" w:pos="284"/>
          <w:tab w:val="left" w:pos="567"/>
        </w:tabs>
        <w:spacing w:line="500" w:lineRule="exact"/>
        <w:ind w:firstLine="480" w:firstLineChars="200"/>
        <w:rPr>
          <w:rFonts w:ascii="宋体" w:hAnsi="宋体"/>
          <w:color w:val="auto"/>
          <w:sz w:val="24"/>
        </w:rPr>
      </w:pPr>
      <w:r>
        <w:rPr>
          <w:rFonts w:hint="eastAsia" w:ascii="宋体" w:hAnsi="宋体"/>
          <w:color w:val="auto"/>
          <w:sz w:val="24"/>
        </w:rPr>
        <w:t>《采矿设计手册》（中国矿大出版社）。</w:t>
      </w:r>
    </w:p>
    <w:bookmarkEnd w:id="62"/>
    <w:p>
      <w:pPr>
        <w:pStyle w:val="5"/>
        <w:keepLines w:val="0"/>
        <w:widowControl/>
        <w:spacing w:before="120" w:after="120" w:line="500" w:lineRule="exact"/>
        <w:rPr>
          <w:rFonts w:ascii="宋体" w:hAnsi="宋体"/>
          <w:color w:val="auto"/>
          <w:kern w:val="28"/>
          <w:sz w:val="28"/>
          <w:szCs w:val="28"/>
        </w:rPr>
      </w:pPr>
      <w:bookmarkStart w:id="86" w:name="_Toc233881320"/>
      <w:bookmarkStart w:id="87" w:name="_Toc158167830"/>
      <w:bookmarkStart w:id="88" w:name="_Toc298373269"/>
      <w:bookmarkStart w:id="89" w:name="_Toc213727791"/>
      <w:bookmarkStart w:id="90" w:name="_Toc158167943"/>
      <w:r>
        <w:rPr>
          <w:rFonts w:hint="eastAsia" w:ascii="宋体" w:hAnsi="宋体"/>
          <w:color w:val="auto"/>
          <w:kern w:val="28"/>
          <w:sz w:val="28"/>
          <w:szCs w:val="28"/>
        </w:rPr>
        <w:t>1.</w:t>
      </w:r>
      <w:r>
        <w:rPr>
          <w:rFonts w:ascii="宋体" w:hAnsi="宋体"/>
          <w:color w:val="auto"/>
          <w:kern w:val="28"/>
          <w:sz w:val="28"/>
          <w:szCs w:val="28"/>
        </w:rPr>
        <w:t>2</w:t>
      </w:r>
      <w:r>
        <w:rPr>
          <w:rFonts w:hint="eastAsia" w:ascii="宋体" w:hAnsi="宋体"/>
          <w:color w:val="auto"/>
          <w:kern w:val="28"/>
          <w:sz w:val="28"/>
          <w:szCs w:val="28"/>
        </w:rPr>
        <w:t>.</w:t>
      </w:r>
      <w:r>
        <w:rPr>
          <w:rFonts w:ascii="宋体" w:hAnsi="宋体"/>
          <w:color w:val="auto"/>
          <w:kern w:val="28"/>
          <w:sz w:val="28"/>
          <w:szCs w:val="28"/>
        </w:rPr>
        <w:t>3</w:t>
      </w:r>
      <w:r>
        <w:rPr>
          <w:rFonts w:hint="eastAsia" w:ascii="宋体" w:hAnsi="宋体"/>
          <w:color w:val="auto"/>
          <w:kern w:val="28"/>
          <w:sz w:val="28"/>
          <w:szCs w:val="28"/>
        </w:rPr>
        <w:t>建设项目技术资料</w:t>
      </w:r>
    </w:p>
    <w:p>
      <w:pPr>
        <w:widowControl/>
        <w:spacing w:line="500" w:lineRule="exact"/>
        <w:ind w:firstLine="480" w:firstLineChars="200"/>
        <w:rPr>
          <w:rFonts w:ascii="宋体" w:hAnsi="宋体"/>
          <w:color w:val="auto"/>
          <w:sz w:val="24"/>
        </w:rPr>
      </w:pPr>
      <w:r>
        <w:rPr>
          <w:rFonts w:hint="eastAsia" w:ascii="宋体" w:hAnsi="宋体"/>
          <w:color w:val="auto"/>
          <w:sz w:val="24"/>
        </w:rPr>
        <w:t>1）《广东省兴宁市水口镇军营矿区陶瓷用高岭土矿资源储量核实报告》，广东省地质局第八地质大队，2013年3月；</w:t>
      </w:r>
    </w:p>
    <w:p>
      <w:pPr>
        <w:widowControl/>
        <w:spacing w:line="500" w:lineRule="exact"/>
        <w:ind w:firstLine="480" w:firstLineChars="200"/>
        <w:rPr>
          <w:rFonts w:ascii="宋体" w:hAnsi="宋体"/>
          <w:color w:val="auto"/>
          <w:sz w:val="24"/>
        </w:rPr>
      </w:pPr>
      <w:r>
        <w:rPr>
          <w:rFonts w:hint="eastAsia" w:ascii="宋体" w:hAnsi="宋体"/>
          <w:color w:val="auto"/>
          <w:sz w:val="24"/>
        </w:rPr>
        <w:t>2）《&lt;广东省兴宁市水口镇军营矿区陶瓷用高岭土矿矿资源储量核实报告&gt;矿产资源储量评审备案证明》，梅市国土资储备证[</w:t>
      </w:r>
      <w:r>
        <w:rPr>
          <w:rFonts w:ascii="宋体" w:hAnsi="宋体"/>
          <w:color w:val="auto"/>
          <w:sz w:val="24"/>
        </w:rPr>
        <w:t>2013]13</w:t>
      </w:r>
      <w:r>
        <w:rPr>
          <w:rFonts w:hint="eastAsia" w:ascii="宋体" w:hAnsi="宋体"/>
          <w:color w:val="auto"/>
          <w:sz w:val="24"/>
        </w:rPr>
        <w:t>号，梅州市国土资源局，2</w:t>
      </w:r>
      <w:r>
        <w:rPr>
          <w:rFonts w:ascii="宋体" w:hAnsi="宋体"/>
          <w:color w:val="auto"/>
          <w:sz w:val="24"/>
        </w:rPr>
        <w:t>023</w:t>
      </w:r>
      <w:r>
        <w:rPr>
          <w:rFonts w:hint="eastAsia" w:ascii="宋体" w:hAnsi="宋体"/>
          <w:color w:val="auto"/>
          <w:sz w:val="24"/>
        </w:rPr>
        <w:t>年1</w:t>
      </w:r>
      <w:r>
        <w:rPr>
          <w:rFonts w:ascii="宋体" w:hAnsi="宋体"/>
          <w:color w:val="auto"/>
          <w:sz w:val="24"/>
        </w:rPr>
        <w:t>1</w:t>
      </w:r>
      <w:r>
        <w:rPr>
          <w:rFonts w:hint="eastAsia" w:ascii="宋体" w:hAnsi="宋体"/>
          <w:color w:val="auto"/>
          <w:sz w:val="24"/>
        </w:rPr>
        <w:t>月1</w:t>
      </w:r>
      <w:r>
        <w:rPr>
          <w:rFonts w:ascii="宋体" w:hAnsi="宋体"/>
          <w:color w:val="auto"/>
          <w:sz w:val="24"/>
        </w:rPr>
        <w:t>2</w:t>
      </w:r>
      <w:r>
        <w:rPr>
          <w:rFonts w:hint="eastAsia" w:ascii="宋体" w:hAnsi="宋体"/>
          <w:color w:val="auto"/>
          <w:sz w:val="24"/>
        </w:rPr>
        <w:t>日；</w:t>
      </w:r>
    </w:p>
    <w:p>
      <w:pPr>
        <w:widowControl/>
        <w:spacing w:line="5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）《兴宁市守元矿业有限公司军营高岭土矿分公司2022 年度矿山储量动态检测报告》，广东煤炭地质一五二勘探队，2</w:t>
      </w:r>
      <w:r>
        <w:rPr>
          <w:rFonts w:ascii="宋体" w:hAnsi="宋体"/>
          <w:color w:val="auto"/>
          <w:sz w:val="24"/>
        </w:rPr>
        <w:t>023</w:t>
      </w:r>
      <w:r>
        <w:rPr>
          <w:rFonts w:hint="eastAsia" w:ascii="宋体" w:hAnsi="宋体"/>
          <w:color w:val="auto"/>
          <w:sz w:val="24"/>
        </w:rPr>
        <w:t>年5月；</w:t>
      </w:r>
    </w:p>
    <w:p>
      <w:pPr>
        <w:widowControl/>
        <w:spacing w:line="500" w:lineRule="exac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）《&lt;兴宁市守元矿业有限公司军营高岭土矿分公司2</w:t>
      </w:r>
      <w:r>
        <w:rPr>
          <w:rFonts w:ascii="宋体" w:hAnsi="宋体"/>
          <w:color w:val="auto"/>
          <w:sz w:val="24"/>
        </w:rPr>
        <w:t>022</w:t>
      </w:r>
      <w:r>
        <w:rPr>
          <w:rFonts w:hint="eastAsia" w:ascii="宋体" w:hAnsi="宋体"/>
          <w:color w:val="auto"/>
          <w:sz w:val="24"/>
        </w:rPr>
        <w:t>年度矿山储量动态检测报告</w:t>
      </w:r>
      <w:r>
        <w:rPr>
          <w:rFonts w:ascii="宋体" w:hAnsi="宋体"/>
          <w:color w:val="auto"/>
          <w:sz w:val="24"/>
        </w:rPr>
        <w:t>&gt;</w:t>
      </w:r>
      <w:r>
        <w:rPr>
          <w:rFonts w:hint="eastAsia" w:ascii="宋体" w:hAnsi="宋体"/>
          <w:color w:val="auto"/>
          <w:sz w:val="24"/>
        </w:rPr>
        <w:t>核查意见》，广东煤炭地质二O一勘探队，2</w:t>
      </w:r>
      <w:r>
        <w:rPr>
          <w:rFonts w:ascii="宋体" w:hAnsi="宋体"/>
          <w:color w:val="auto"/>
          <w:sz w:val="24"/>
        </w:rPr>
        <w:t>023</w:t>
      </w:r>
      <w:r>
        <w:rPr>
          <w:rFonts w:hint="eastAsia" w:ascii="宋体" w:hAnsi="宋体"/>
          <w:color w:val="auto"/>
          <w:sz w:val="24"/>
        </w:rPr>
        <w:t>年5月；</w:t>
      </w:r>
    </w:p>
    <w:p>
      <w:pPr>
        <w:widowControl/>
        <w:spacing w:line="500" w:lineRule="exac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）《兴宁市守元矿业有限公司军营高岭土矿分公司扩建年产5万吨高岭土露天开采项目可行性研究报告》，兴宁市守元矿业有限公司军营高岭土矿分公司，2023年7月；</w:t>
      </w:r>
    </w:p>
    <w:bookmarkEnd w:id="86"/>
    <w:bookmarkEnd w:id="87"/>
    <w:bookmarkEnd w:id="88"/>
    <w:bookmarkEnd w:id="89"/>
    <w:bookmarkEnd w:id="90"/>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1.2.4</w:t>
      </w:r>
      <w:r>
        <w:rPr>
          <w:rFonts w:hint="eastAsia" w:ascii="宋体" w:hAnsi="宋体"/>
          <w:color w:val="auto"/>
          <w:kern w:val="28"/>
          <w:sz w:val="28"/>
          <w:szCs w:val="28"/>
        </w:rPr>
        <w:t>其他评价依据</w:t>
      </w:r>
    </w:p>
    <w:p>
      <w:pPr>
        <w:widowControl/>
        <w:spacing w:line="5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）企业提供的安全评价委托书；</w:t>
      </w:r>
    </w:p>
    <w:p>
      <w:pPr>
        <w:widowControl/>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）《广东省企业投资项目备案证》（备案</w:t>
      </w:r>
      <w:r>
        <w:rPr>
          <w:rFonts w:ascii="宋体" w:hAnsi="宋体"/>
          <w:color w:val="auto"/>
          <w:sz w:val="24"/>
        </w:rPr>
        <w:t>机关：</w:t>
      </w:r>
      <w:r>
        <w:rPr>
          <w:rFonts w:hint="eastAsia" w:ascii="宋体" w:hAnsi="宋体"/>
          <w:color w:val="auto"/>
          <w:sz w:val="24"/>
        </w:rPr>
        <w:t>兴宁市发展和改革局；备案项目编号：</w:t>
      </w:r>
      <w:r>
        <w:rPr>
          <w:rFonts w:ascii="宋体" w:hAnsi="宋体"/>
          <w:color w:val="auto"/>
          <w:sz w:val="24"/>
        </w:rPr>
        <w:t>2307-441481-16-01-798318</w:t>
      </w:r>
      <w:r>
        <w:rPr>
          <w:rFonts w:hint="eastAsia" w:ascii="宋体" w:hAnsi="宋体"/>
          <w:color w:val="auto"/>
          <w:sz w:val="24"/>
        </w:rPr>
        <w:t>，备案日期：</w:t>
      </w:r>
      <w:r>
        <w:rPr>
          <w:rFonts w:ascii="宋体" w:hAnsi="宋体"/>
          <w:color w:val="auto"/>
          <w:sz w:val="24"/>
        </w:rPr>
        <w:t>2023年10月7日</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w:t>
      </w:r>
      <w:r>
        <w:rPr>
          <w:rFonts w:ascii="宋体" w:hAnsi="宋体"/>
          <w:color w:val="auto"/>
          <w:sz w:val="24"/>
        </w:rPr>
        <w:t>《采矿许可证》（证号：</w:t>
      </w:r>
      <w:r>
        <w:rPr>
          <w:rFonts w:hint="eastAsia" w:ascii="宋体" w:hAnsi="宋体"/>
          <w:color w:val="auto"/>
          <w:sz w:val="24"/>
        </w:rPr>
        <w:t>C4414812014087130135349</w:t>
      </w:r>
      <w:r>
        <w:rPr>
          <w:rFonts w:ascii="宋体" w:hAnsi="宋体"/>
          <w:color w:val="auto"/>
          <w:sz w:val="24"/>
        </w:rPr>
        <w:t>；发证机关：</w:t>
      </w:r>
      <w:r>
        <w:rPr>
          <w:rFonts w:hint="eastAsia" w:ascii="宋体" w:hAnsi="宋体"/>
          <w:color w:val="auto"/>
          <w:sz w:val="24"/>
        </w:rPr>
        <w:t>兴宁市自然资源局</w:t>
      </w:r>
      <w:r>
        <w:rPr>
          <w:rFonts w:ascii="宋体" w:hAnsi="宋体"/>
          <w:color w:val="auto"/>
          <w:sz w:val="24"/>
        </w:rPr>
        <w:t>；</w:t>
      </w:r>
      <w:r>
        <w:rPr>
          <w:rFonts w:hint="eastAsia" w:ascii="宋体" w:hAnsi="宋体"/>
          <w:color w:val="auto"/>
          <w:sz w:val="24"/>
        </w:rPr>
        <w:t>核发时间：2023年9月21日；有效期限至2028年8月29日</w:t>
      </w:r>
      <w:r>
        <w:rPr>
          <w:rFonts w:ascii="宋体" w:hAnsi="宋体"/>
          <w:color w:val="auto"/>
          <w:sz w:val="24"/>
        </w:rPr>
        <w:t>）</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w:t>
      </w:r>
      <w:r>
        <w:rPr>
          <w:rFonts w:ascii="宋体" w:hAnsi="宋体"/>
          <w:color w:val="auto"/>
          <w:sz w:val="24"/>
        </w:rPr>
        <w:t>《营业执照》（</w:t>
      </w:r>
      <w:r>
        <w:rPr>
          <w:rFonts w:hint="eastAsia" w:ascii="宋体" w:hAnsi="宋体"/>
          <w:color w:val="auto"/>
          <w:sz w:val="24"/>
        </w:rPr>
        <w:t>统一社会信用代码：914414816771261589；</w:t>
      </w:r>
      <w:r>
        <w:rPr>
          <w:rFonts w:ascii="宋体" w:hAnsi="宋体"/>
          <w:color w:val="auto"/>
          <w:sz w:val="24"/>
        </w:rPr>
        <w:t>发证机关：</w:t>
      </w:r>
      <w:r>
        <w:rPr>
          <w:rFonts w:hint="eastAsia" w:ascii="宋体" w:hAnsi="宋体"/>
          <w:color w:val="auto"/>
          <w:sz w:val="24"/>
        </w:rPr>
        <w:t>兴宁市市场监督管理局</w:t>
      </w:r>
      <w:r>
        <w:rPr>
          <w:rFonts w:ascii="宋体" w:hAnsi="宋体"/>
          <w:color w:val="auto"/>
          <w:sz w:val="24"/>
        </w:rPr>
        <w:t>；成立日期：2008年7月23日）</w:t>
      </w:r>
      <w:r>
        <w:rPr>
          <w:rFonts w:hint="eastAsia" w:ascii="宋体" w:hAnsi="宋体"/>
          <w:color w:val="auto"/>
          <w:sz w:val="24"/>
        </w:rPr>
        <w:t>。</w:t>
      </w:r>
    </w:p>
    <w:p>
      <w:pPr>
        <w:pStyle w:val="3"/>
        <w:widowControl/>
        <w:spacing w:before="120" w:after="120" w:line="500" w:lineRule="exact"/>
        <w:rPr>
          <w:rFonts w:ascii="宋体" w:hAnsi="宋体" w:eastAsia="宋体"/>
          <w:b/>
          <w:color w:val="auto"/>
          <w:kern w:val="30"/>
          <w:sz w:val="30"/>
          <w:szCs w:val="30"/>
        </w:rPr>
      </w:pPr>
      <w:bookmarkStart w:id="91" w:name="_Toc168484299"/>
      <w:bookmarkStart w:id="92" w:name="_Toc156811361"/>
      <w:bookmarkStart w:id="93" w:name="_Toc229928327"/>
      <w:bookmarkStart w:id="94" w:name="_Toc198106903"/>
      <w:bookmarkStart w:id="95" w:name="_Toc158167948"/>
      <w:bookmarkStart w:id="96" w:name="_Toc158167835"/>
      <w:bookmarkStart w:id="97" w:name="_Toc233881326"/>
      <w:bookmarkStart w:id="98" w:name="_Toc149559783"/>
      <w:bookmarkStart w:id="99" w:name="_Toc109632300"/>
      <w:bookmarkStart w:id="100" w:name="_Toc86222954"/>
      <w:bookmarkStart w:id="101" w:name="_Toc86571210"/>
      <w:bookmarkStart w:id="102" w:name="_Toc97627329"/>
      <w:bookmarkStart w:id="103" w:name="_Toc86571532"/>
      <w:bookmarkStart w:id="104" w:name="_Toc85267438"/>
      <w:bookmarkStart w:id="105" w:name="_Toc85251589"/>
      <w:bookmarkStart w:id="106" w:name="_Toc85251498"/>
      <w:bookmarkStart w:id="107" w:name="_Toc84995643"/>
      <w:bookmarkStart w:id="108" w:name="_Toc85597587"/>
      <w:r>
        <w:rPr>
          <w:rFonts w:ascii="宋体" w:hAnsi="宋体" w:eastAsia="宋体"/>
          <w:b/>
          <w:color w:val="auto"/>
          <w:sz w:val="30"/>
          <w:szCs w:val="30"/>
        </w:rPr>
        <w:br w:type="page"/>
      </w:r>
      <w:bookmarkStart w:id="109" w:name="_Toc150262769"/>
      <w:r>
        <w:rPr>
          <w:rFonts w:hint="eastAsia" w:ascii="宋体" w:hAnsi="宋体" w:eastAsia="宋体"/>
          <w:b/>
          <w:color w:val="auto"/>
          <w:kern w:val="30"/>
          <w:sz w:val="30"/>
          <w:szCs w:val="30"/>
        </w:rPr>
        <w:t>2建设项目</w:t>
      </w:r>
      <w:bookmarkEnd w:id="91"/>
      <w:bookmarkEnd w:id="92"/>
      <w:bookmarkEnd w:id="93"/>
      <w:bookmarkEnd w:id="94"/>
      <w:bookmarkEnd w:id="95"/>
      <w:bookmarkEnd w:id="96"/>
      <w:bookmarkEnd w:id="97"/>
      <w:bookmarkEnd w:id="98"/>
      <w:r>
        <w:rPr>
          <w:rFonts w:hint="eastAsia" w:ascii="宋体" w:hAnsi="宋体" w:eastAsia="宋体"/>
          <w:b/>
          <w:color w:val="auto"/>
          <w:kern w:val="30"/>
          <w:sz w:val="30"/>
          <w:szCs w:val="30"/>
        </w:rPr>
        <w:t>概述</w:t>
      </w:r>
      <w:bookmarkEnd w:id="109"/>
    </w:p>
    <w:bookmarkEnd w:id="99"/>
    <w:bookmarkEnd w:id="100"/>
    <w:bookmarkEnd w:id="101"/>
    <w:bookmarkEnd w:id="102"/>
    <w:bookmarkEnd w:id="103"/>
    <w:bookmarkEnd w:id="104"/>
    <w:bookmarkEnd w:id="105"/>
    <w:bookmarkEnd w:id="106"/>
    <w:bookmarkEnd w:id="107"/>
    <w:bookmarkEnd w:id="108"/>
    <w:p>
      <w:pPr>
        <w:pStyle w:val="4"/>
        <w:keepLines w:val="0"/>
        <w:widowControl/>
        <w:spacing w:before="120" w:after="120" w:line="500" w:lineRule="exact"/>
        <w:rPr>
          <w:rFonts w:ascii="宋体" w:hAnsi="宋体" w:eastAsia="宋体"/>
          <w:b/>
          <w:bCs w:val="0"/>
          <w:color w:val="auto"/>
          <w:kern w:val="28"/>
          <w:sz w:val="28"/>
          <w:szCs w:val="28"/>
        </w:rPr>
      </w:pPr>
      <w:bookmarkStart w:id="110" w:name="_Toc156811362"/>
      <w:bookmarkStart w:id="111" w:name="_Toc198106904"/>
      <w:bookmarkStart w:id="112" w:name="_Toc233881327"/>
      <w:bookmarkStart w:id="113" w:name="_Toc149559784"/>
      <w:bookmarkStart w:id="114" w:name="_Toc158167836"/>
      <w:bookmarkStart w:id="115" w:name="_Toc109632301"/>
      <w:bookmarkStart w:id="116" w:name="_Toc158167949"/>
      <w:bookmarkStart w:id="117" w:name="_Toc168484300"/>
      <w:bookmarkStart w:id="118" w:name="_Toc150262770"/>
      <w:r>
        <w:rPr>
          <w:rFonts w:hint="eastAsia" w:ascii="宋体" w:hAnsi="宋体" w:eastAsia="宋体"/>
          <w:b/>
          <w:bCs w:val="0"/>
          <w:color w:val="auto"/>
          <w:kern w:val="28"/>
          <w:sz w:val="28"/>
          <w:szCs w:val="28"/>
        </w:rPr>
        <w:t>2.1建设单位</w:t>
      </w:r>
      <w:bookmarkEnd w:id="110"/>
      <w:bookmarkEnd w:id="111"/>
      <w:bookmarkEnd w:id="112"/>
      <w:bookmarkEnd w:id="113"/>
      <w:bookmarkEnd w:id="114"/>
      <w:bookmarkEnd w:id="115"/>
      <w:bookmarkEnd w:id="116"/>
      <w:bookmarkEnd w:id="117"/>
      <w:r>
        <w:rPr>
          <w:rFonts w:hint="eastAsia" w:ascii="宋体" w:hAnsi="宋体" w:eastAsia="宋体"/>
          <w:b/>
          <w:bCs w:val="0"/>
          <w:color w:val="auto"/>
          <w:kern w:val="28"/>
          <w:sz w:val="28"/>
          <w:szCs w:val="28"/>
        </w:rPr>
        <w:t>概况</w:t>
      </w:r>
      <w:bookmarkEnd w:id="118"/>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2.1.1</w:t>
      </w:r>
      <w:r>
        <w:rPr>
          <w:rFonts w:hint="eastAsia" w:ascii="宋体" w:hAnsi="宋体"/>
          <w:color w:val="auto"/>
          <w:kern w:val="28"/>
          <w:sz w:val="28"/>
          <w:szCs w:val="28"/>
        </w:rPr>
        <w:t>企业概况</w:t>
      </w:r>
    </w:p>
    <w:p>
      <w:pPr>
        <w:widowControl/>
        <w:spacing w:line="500" w:lineRule="exact"/>
        <w:ind w:firstLine="480" w:firstLineChars="200"/>
        <w:rPr>
          <w:rFonts w:ascii="宋体" w:hAnsi="宋体"/>
          <w:bCs/>
          <w:color w:val="auto"/>
          <w:kern w:val="24"/>
          <w:sz w:val="24"/>
        </w:rPr>
      </w:pPr>
      <w:r>
        <w:rPr>
          <w:rFonts w:hint="eastAsia" w:ascii="宋体" w:hAnsi="宋体"/>
          <w:bCs/>
          <w:color w:val="auto"/>
          <w:kern w:val="24"/>
          <w:sz w:val="24"/>
        </w:rPr>
        <w:t>军营高岭土矿分公司</w:t>
      </w:r>
      <w:r>
        <w:rPr>
          <w:rFonts w:ascii="宋体" w:hAnsi="宋体"/>
          <w:bCs/>
          <w:color w:val="auto"/>
          <w:kern w:val="24"/>
          <w:sz w:val="24"/>
        </w:rPr>
        <w:t>采矿权人为</w:t>
      </w:r>
      <w:r>
        <w:rPr>
          <w:rFonts w:hint="eastAsia" w:ascii="宋体" w:hAnsi="宋体"/>
          <w:bCs/>
          <w:color w:val="auto"/>
          <w:kern w:val="24"/>
          <w:sz w:val="24"/>
        </w:rPr>
        <w:t>兴宁市守元矿业有限公司，</w:t>
      </w:r>
      <w:r>
        <w:rPr>
          <w:rFonts w:ascii="宋体" w:hAnsi="宋体"/>
          <w:bCs/>
          <w:color w:val="auto"/>
          <w:kern w:val="24"/>
          <w:sz w:val="24"/>
        </w:rPr>
        <w:t>是一家开采</w:t>
      </w:r>
      <w:r>
        <w:rPr>
          <w:rFonts w:hint="eastAsia" w:ascii="宋体" w:hAnsi="宋体"/>
          <w:bCs/>
          <w:color w:val="auto"/>
          <w:kern w:val="24"/>
          <w:sz w:val="24"/>
        </w:rPr>
        <w:t>高岭土的矿山</w:t>
      </w:r>
      <w:r>
        <w:rPr>
          <w:rFonts w:ascii="宋体" w:hAnsi="宋体"/>
          <w:bCs/>
          <w:color w:val="auto"/>
          <w:kern w:val="24"/>
          <w:sz w:val="24"/>
        </w:rPr>
        <w:t>企业，行政区划隶属</w:t>
      </w:r>
      <w:r>
        <w:rPr>
          <w:rFonts w:hint="eastAsia" w:ascii="宋体" w:hAnsi="宋体"/>
          <w:bCs/>
          <w:color w:val="auto"/>
          <w:kern w:val="24"/>
          <w:sz w:val="24"/>
        </w:rPr>
        <w:t>梅州市兴宁市新圩镇管辖</w:t>
      </w:r>
      <w:r>
        <w:rPr>
          <w:rFonts w:ascii="宋体" w:hAnsi="宋体"/>
          <w:bCs/>
          <w:color w:val="auto"/>
          <w:kern w:val="24"/>
          <w:sz w:val="24"/>
        </w:rPr>
        <w:t>。</w:t>
      </w:r>
    </w:p>
    <w:p>
      <w:pPr>
        <w:widowControl/>
        <w:spacing w:line="500" w:lineRule="exact"/>
        <w:ind w:firstLine="480" w:firstLineChars="200"/>
        <w:rPr>
          <w:rFonts w:ascii="宋体" w:hAnsi="宋体"/>
          <w:bCs/>
          <w:color w:val="auto"/>
          <w:kern w:val="24"/>
          <w:sz w:val="24"/>
          <w:lang w:bidi="en-US"/>
        </w:rPr>
      </w:pPr>
      <w:r>
        <w:rPr>
          <w:rFonts w:hint="eastAsia" w:ascii="宋体" w:hAnsi="宋体"/>
          <w:bCs/>
          <w:color w:val="auto"/>
          <w:kern w:val="24"/>
          <w:sz w:val="24"/>
          <w:lang w:bidi="en-US"/>
        </w:rPr>
        <w:t>兴宁市守元矿业有限公司于2023年4月13日取得兴宁市市场监督管理局核发的《营业执照》，统一社会信用代码：914414816771261589 ；法定代表人：廖放东；类型：有限责任公司（自然人投资或控股的法人独资）；成立日期：2008年7月23日；企业住所：兴宁市新圩镇石崖村S225线竹塘尾；经营范围：许可项目：非煤矿山矿产资源开采。（依法须经批准的项目，经相关部门批准后方可开展经营活动，具体经营项目以相关部门批准文件或许可证件为准）一般项目：非金属矿及制品销售；金属矿石销售；选矿；非金属废料和碎屑加工处理；矿物洗选加工；稀土功能材料销售；新型陶瓷材料销售；非金属矿物制品制造。（除依法须经批准的项目外，凭营业执照依法自主开展经营活动）。</w:t>
      </w:r>
    </w:p>
    <w:p>
      <w:pPr>
        <w:widowControl/>
        <w:spacing w:line="500" w:lineRule="exact"/>
        <w:ind w:firstLine="480" w:firstLineChars="200"/>
        <w:rPr>
          <w:rFonts w:ascii="宋体" w:hAnsi="宋体"/>
          <w:color w:val="auto"/>
          <w:kern w:val="24"/>
          <w:sz w:val="24"/>
        </w:rPr>
      </w:pPr>
      <w:r>
        <w:rPr>
          <w:rFonts w:hint="eastAsia" w:ascii="宋体" w:hAnsi="宋体"/>
          <w:bCs/>
          <w:color w:val="auto"/>
          <w:kern w:val="24"/>
          <w:sz w:val="24"/>
          <w:lang w:bidi="en-US"/>
        </w:rPr>
        <w:t>矿山于2023年9月21日取得兴宁市自然资源局核发的《采矿许可证》，证号：C4414812014087130135349；开采矿种：高岭土，开采方式：露天开采，生产规模：5万吨/年，矿区面积：0.1522km</w:t>
      </w:r>
      <w:r>
        <w:rPr>
          <w:rFonts w:hint="eastAsia" w:ascii="宋体" w:hAnsi="宋体"/>
          <w:bCs/>
          <w:color w:val="auto"/>
          <w:kern w:val="24"/>
          <w:sz w:val="24"/>
          <w:vertAlign w:val="superscript"/>
          <w:lang w:bidi="en-US"/>
        </w:rPr>
        <w:t>2</w:t>
      </w:r>
      <w:r>
        <w:rPr>
          <w:rFonts w:hint="eastAsia" w:ascii="宋体" w:hAnsi="宋体"/>
          <w:bCs/>
          <w:color w:val="auto"/>
          <w:kern w:val="24"/>
          <w:sz w:val="24"/>
          <w:lang w:bidi="en-US"/>
        </w:rPr>
        <w:t>，允许</w:t>
      </w:r>
      <w:r>
        <w:rPr>
          <w:rFonts w:ascii="宋体" w:hAnsi="宋体"/>
          <w:bCs/>
          <w:color w:val="auto"/>
          <w:kern w:val="24"/>
          <w:sz w:val="24"/>
          <w:lang w:bidi="en-US"/>
        </w:rPr>
        <w:t>开采</w:t>
      </w:r>
      <w:r>
        <w:rPr>
          <w:rFonts w:hint="eastAsia" w:ascii="宋体" w:hAnsi="宋体"/>
          <w:bCs/>
          <w:color w:val="auto"/>
          <w:kern w:val="24"/>
          <w:sz w:val="24"/>
          <w:lang w:bidi="en-US"/>
        </w:rPr>
        <w:t>标高+375m～+250m；有效期限2023年8月29日至2028年8月29日。</w:t>
      </w:r>
    </w:p>
    <w:p>
      <w:pPr>
        <w:widowControl/>
        <w:spacing w:line="500" w:lineRule="exact"/>
        <w:ind w:firstLine="480" w:firstLineChars="200"/>
        <w:rPr>
          <w:rFonts w:ascii="宋体" w:hAnsi="宋体"/>
          <w:color w:val="auto"/>
          <w:sz w:val="24"/>
        </w:rPr>
      </w:pPr>
      <w:r>
        <w:rPr>
          <w:rFonts w:hint="eastAsia" w:ascii="宋体" w:hAnsi="宋体"/>
          <w:color w:val="auto"/>
          <w:sz w:val="24"/>
        </w:rPr>
        <w:t>兴宁市守元矿业有限公司军营高岭土矿分公司于2023年</w:t>
      </w:r>
      <w:r>
        <w:rPr>
          <w:rFonts w:ascii="宋体" w:hAnsi="宋体"/>
          <w:color w:val="auto"/>
          <w:sz w:val="24"/>
        </w:rPr>
        <w:t>7</w:t>
      </w:r>
      <w:r>
        <w:rPr>
          <w:rFonts w:hint="eastAsia" w:ascii="宋体" w:hAnsi="宋体"/>
          <w:color w:val="auto"/>
          <w:sz w:val="24"/>
        </w:rPr>
        <w:t>月编制了《兴宁市守元矿业有限公司军营高岭土矿分公司扩建年产5万立方米高岭土露天开采项目可行性研究报告》。</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2.1.2</w:t>
      </w:r>
      <w:r>
        <w:rPr>
          <w:rFonts w:hint="eastAsia" w:ascii="宋体" w:hAnsi="宋体"/>
          <w:color w:val="auto"/>
          <w:kern w:val="28"/>
          <w:sz w:val="28"/>
          <w:szCs w:val="28"/>
        </w:rPr>
        <w:t>地理位置及交通</w:t>
      </w:r>
    </w:p>
    <w:p>
      <w:pPr>
        <w:widowControl/>
        <w:spacing w:line="500" w:lineRule="exact"/>
        <w:ind w:firstLine="480" w:firstLineChars="200"/>
        <w:rPr>
          <w:rFonts w:ascii="宋体" w:hAnsi="宋体"/>
          <w:color w:val="auto"/>
          <w:sz w:val="24"/>
        </w:rPr>
      </w:pPr>
      <w:r>
        <w:rPr>
          <w:rFonts w:hint="eastAsia" w:ascii="宋体" w:hAnsi="宋体"/>
          <w:color w:val="auto"/>
          <w:sz w:val="24"/>
        </w:rPr>
        <w:t>矿区</w:t>
      </w:r>
      <w:r>
        <w:rPr>
          <w:rFonts w:ascii="宋体" w:hAnsi="宋体"/>
          <w:color w:val="auto"/>
          <w:sz w:val="24"/>
        </w:rPr>
        <w:t>兴宁市146°方向，直距约31.0km，属兴宁市水口镇管辖。矿区范围地理坐标：东经115°54′34″～115°54′51″，北纬23°54′28″～23°54′45″，面积0.152km</w:t>
      </w:r>
      <w:r>
        <w:rPr>
          <w:rFonts w:ascii="宋体" w:hAnsi="宋体"/>
          <w:color w:val="auto"/>
          <w:sz w:val="24"/>
          <w:vertAlign w:val="superscript"/>
        </w:rPr>
        <w:t>2</w:t>
      </w:r>
      <w:r>
        <w:rPr>
          <w:rFonts w:ascii="宋体" w:hAnsi="宋体"/>
          <w:color w:val="auto"/>
          <w:sz w:val="24"/>
        </w:rPr>
        <w:t>。矿区有一简易公路约10km到兴宁市水口镇，水口镇往北约25km到兴宁市与国道205相通，往东约10km与国道206相通，交通极为便利</w:t>
      </w:r>
      <w:r>
        <w:rPr>
          <w:rFonts w:hint="eastAsia" w:ascii="宋体" w:hAnsi="宋体"/>
          <w:color w:val="auto"/>
          <w:sz w:val="24"/>
        </w:rPr>
        <w:t>，详见下图</w:t>
      </w:r>
      <w:r>
        <w:rPr>
          <w:rFonts w:ascii="宋体" w:hAnsi="宋体"/>
          <w:color w:val="auto"/>
          <w:sz w:val="24"/>
        </w:rPr>
        <w:t>。</w:t>
      </w:r>
    </w:p>
    <w:p>
      <w:pPr>
        <w:adjustRightInd w:val="0"/>
        <w:snapToGrid w:val="0"/>
        <w:jc w:val="center"/>
        <w:rPr>
          <w:rFonts w:ascii="宋体" w:hAnsi="宋体"/>
          <w:color w:val="auto"/>
          <w:sz w:val="28"/>
          <w:szCs w:val="28"/>
        </w:rPr>
      </w:pPr>
      <w:r>
        <w:rPr>
          <w:color w:val="auto"/>
          <w:sz w:val="28"/>
          <w:szCs w:val="28"/>
        </w:rPr>
        <w:drawing>
          <wp:inline distT="0" distB="0" distL="0" distR="0">
            <wp:extent cx="4699000" cy="3733800"/>
            <wp:effectExtent l="0" t="0" r="0" b="0"/>
            <wp:docPr id="1" name="图片 1" descr="未标题-1"/>
            <wp:cNvGraphicFramePr/>
            <a:graphic xmlns:a="http://schemas.openxmlformats.org/drawingml/2006/main">
              <a:graphicData uri="http://schemas.openxmlformats.org/drawingml/2006/picture">
                <pic:pic xmlns:pic="http://schemas.openxmlformats.org/drawingml/2006/picture">
                  <pic:nvPicPr>
                    <pic:cNvPr id="1" name="图片 1" descr="未标题-1"/>
                    <pic:cNvPicPr/>
                  </pic:nvPicPr>
                  <pic:blipFill>
                    <a:blip r:embed="rId14">
                      <a:extLst>
                        <a:ext uri="{28A0092B-C50C-407E-A947-70E740481C1C}">
                          <a14:useLocalDpi xmlns:a14="http://schemas.microsoft.com/office/drawing/2010/main" val="0"/>
                        </a:ext>
                      </a:extLst>
                    </a:blip>
                    <a:srcRect/>
                    <a:stretch>
                      <a:fillRect/>
                    </a:stretch>
                  </pic:blipFill>
                  <pic:spPr>
                    <a:xfrm>
                      <a:off x="0" y="0"/>
                      <a:ext cx="4699000" cy="3733800"/>
                    </a:xfrm>
                    <a:prstGeom prst="rect">
                      <a:avLst/>
                    </a:prstGeom>
                    <a:noFill/>
                    <a:ln>
                      <a:noFill/>
                    </a:ln>
                    <a:effectLst/>
                  </pic:spPr>
                </pic:pic>
              </a:graphicData>
            </a:graphic>
          </wp:inline>
        </w:drawing>
      </w:r>
    </w:p>
    <w:p>
      <w:pPr>
        <w:widowControl/>
        <w:jc w:val="center"/>
        <w:outlineLvl w:val="4"/>
        <w:rPr>
          <w:color w:val="auto"/>
        </w:rPr>
      </w:pPr>
      <w:r>
        <w:rPr>
          <w:rFonts w:ascii="宋体" w:hAnsi="宋体"/>
          <w:b/>
          <w:bCs/>
          <w:color w:val="auto"/>
          <w:kern w:val="24"/>
          <w:sz w:val="24"/>
        </w:rPr>
        <w:t>图2-1 交通位置图</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2.1.3</w:t>
      </w:r>
      <w:r>
        <w:rPr>
          <w:rFonts w:hint="eastAsia" w:ascii="宋体" w:hAnsi="宋体"/>
          <w:color w:val="auto"/>
          <w:kern w:val="28"/>
          <w:sz w:val="28"/>
          <w:szCs w:val="28"/>
        </w:rPr>
        <w:t>周边环境</w:t>
      </w:r>
    </w:p>
    <w:p>
      <w:pPr>
        <w:widowControl/>
        <w:spacing w:line="500" w:lineRule="exact"/>
        <w:ind w:firstLine="480" w:firstLineChars="200"/>
        <w:rPr>
          <w:rFonts w:ascii="宋体" w:hAnsi="宋体"/>
          <w:color w:val="auto"/>
          <w:sz w:val="24"/>
        </w:rPr>
      </w:pPr>
      <w:r>
        <w:rPr>
          <w:rFonts w:ascii="宋体" w:hAnsi="宋体"/>
          <w:color w:val="auto"/>
          <w:sz w:val="24"/>
        </w:rPr>
        <w:t>在矿山开采影响范围内无大的河流、水库等地表水体。矿区范围内汇水量与降雨相关，矿区地形有利于自然排水。</w:t>
      </w:r>
    </w:p>
    <w:p>
      <w:pPr>
        <w:widowControl/>
        <w:spacing w:line="500" w:lineRule="exact"/>
        <w:ind w:firstLine="480" w:firstLineChars="200"/>
        <w:rPr>
          <w:rFonts w:ascii="宋体" w:hAnsi="宋体"/>
          <w:color w:val="auto"/>
          <w:sz w:val="24"/>
        </w:rPr>
      </w:pPr>
      <w:r>
        <w:rPr>
          <w:rFonts w:hint="eastAsia" w:ascii="宋体" w:hAnsi="宋体"/>
          <w:color w:val="auto"/>
          <w:sz w:val="24"/>
        </w:rPr>
        <w:t>矿区地理位置较为隐僻，矿区东部、南部、西部均为山坡地，北部约8</w:t>
      </w:r>
      <w:r>
        <w:rPr>
          <w:rFonts w:ascii="宋体" w:hAnsi="宋体"/>
          <w:color w:val="auto"/>
          <w:sz w:val="24"/>
        </w:rPr>
        <w:t>0</w:t>
      </w:r>
      <w:r>
        <w:rPr>
          <w:rFonts w:hint="eastAsia" w:ascii="宋体" w:hAnsi="宋体"/>
          <w:color w:val="auto"/>
          <w:sz w:val="24"/>
        </w:rPr>
        <w:t>m有几户居民点，约200m处有一条由西向北东流的小山沟，山沟平时有小流量的泉水流淌，遇降水时流量增大。周边500m范围内无工矿企业、外部输电线路、大型水源地、重点保护名胜古迹、铁路及重要公路或桥梁。</w:t>
      </w:r>
    </w:p>
    <w:p>
      <w:pPr>
        <w:pStyle w:val="4"/>
        <w:keepLines w:val="0"/>
        <w:widowControl/>
        <w:spacing w:before="120" w:after="120" w:line="500" w:lineRule="exact"/>
        <w:rPr>
          <w:rFonts w:ascii="宋体" w:hAnsi="宋体" w:eastAsia="宋体"/>
          <w:b/>
          <w:bCs w:val="0"/>
          <w:color w:val="auto"/>
          <w:kern w:val="28"/>
          <w:sz w:val="28"/>
          <w:szCs w:val="28"/>
        </w:rPr>
      </w:pPr>
      <w:bookmarkStart w:id="119" w:name="_Toc194551638"/>
      <w:bookmarkStart w:id="120" w:name="_Toc194481346"/>
      <w:bookmarkStart w:id="121" w:name="_Toc193789357"/>
      <w:bookmarkStart w:id="122" w:name="_Toc193792447"/>
      <w:bookmarkStart w:id="123" w:name="_Toc193792556"/>
      <w:bookmarkStart w:id="124" w:name="_Toc233881329"/>
      <w:bookmarkStart w:id="125" w:name="_Toc150262771"/>
      <w:bookmarkStart w:id="126" w:name="_Toc125175210"/>
      <w:bookmarkStart w:id="127" w:name="_Toc125175311"/>
      <w:bookmarkStart w:id="128" w:name="_Toc138748273"/>
      <w:bookmarkStart w:id="129" w:name="_Toc138748468"/>
      <w:bookmarkStart w:id="130" w:name="_Toc141526925"/>
      <w:bookmarkStart w:id="131" w:name="_Toc138748695"/>
      <w:bookmarkStart w:id="132" w:name="_Toc141582218"/>
      <w:r>
        <w:rPr>
          <w:rFonts w:hint="eastAsia" w:ascii="宋体" w:hAnsi="宋体" w:eastAsia="宋体"/>
          <w:b/>
          <w:bCs w:val="0"/>
          <w:color w:val="auto"/>
          <w:kern w:val="28"/>
          <w:sz w:val="28"/>
          <w:szCs w:val="28"/>
        </w:rPr>
        <w:t>2.2自然</w:t>
      </w:r>
      <w:bookmarkEnd w:id="119"/>
      <w:bookmarkEnd w:id="120"/>
      <w:bookmarkEnd w:id="121"/>
      <w:bookmarkEnd w:id="122"/>
      <w:bookmarkEnd w:id="123"/>
      <w:bookmarkEnd w:id="124"/>
      <w:r>
        <w:rPr>
          <w:rFonts w:hint="eastAsia" w:ascii="宋体" w:hAnsi="宋体" w:eastAsia="宋体"/>
          <w:b/>
          <w:bCs w:val="0"/>
          <w:color w:val="auto"/>
          <w:kern w:val="28"/>
          <w:sz w:val="28"/>
          <w:szCs w:val="28"/>
        </w:rPr>
        <w:t>环境概况</w:t>
      </w:r>
      <w:bookmarkEnd w:id="125"/>
    </w:p>
    <w:p>
      <w:pPr>
        <w:widowControl/>
        <w:spacing w:line="500" w:lineRule="exact"/>
        <w:ind w:firstLine="480" w:firstLineChars="200"/>
        <w:rPr>
          <w:rFonts w:ascii="宋体" w:hAnsi="宋体"/>
          <w:bCs/>
          <w:color w:val="auto"/>
          <w:sz w:val="24"/>
          <w:lang w:bidi="en-US"/>
        </w:rPr>
      </w:pPr>
      <w:bookmarkStart w:id="133" w:name="_Toc233881337"/>
      <w:r>
        <w:rPr>
          <w:rFonts w:hint="eastAsia" w:ascii="宋体" w:hAnsi="宋体"/>
          <w:bCs/>
          <w:color w:val="auto"/>
          <w:sz w:val="24"/>
          <w:lang w:bidi="en-US"/>
        </w:rPr>
        <w:t>1）区域地理概况</w:t>
      </w:r>
    </w:p>
    <w:p>
      <w:pPr>
        <w:widowControl/>
        <w:spacing w:line="500" w:lineRule="exact"/>
        <w:ind w:firstLine="480" w:firstLineChars="200"/>
        <w:rPr>
          <w:rFonts w:ascii="宋体" w:hAnsi="宋体"/>
          <w:bCs/>
          <w:color w:val="auto"/>
          <w:sz w:val="24"/>
          <w:lang w:bidi="en-US"/>
        </w:rPr>
      </w:pPr>
      <w:r>
        <w:rPr>
          <w:rFonts w:hint="eastAsia" w:ascii="宋体" w:hAnsi="宋体"/>
          <w:bCs/>
          <w:color w:val="auto"/>
          <w:sz w:val="24"/>
          <w:lang w:bidi="en-US"/>
        </w:rPr>
        <w:t>兴宁位于广东省东北部,地形地貌复杂,四面环山,北部有南岭山脉,南部有莲花山脉,一江始北向南交汇流入梅江,形成了一个典型的内陆盆地。</w:t>
      </w:r>
    </w:p>
    <w:p>
      <w:pPr>
        <w:widowControl/>
        <w:spacing w:line="500" w:lineRule="exact"/>
        <w:ind w:firstLine="480" w:firstLineChars="200"/>
        <w:rPr>
          <w:rFonts w:ascii="宋体" w:hAnsi="宋体"/>
          <w:bCs/>
          <w:color w:val="auto"/>
          <w:sz w:val="24"/>
          <w:lang w:bidi="en-US"/>
        </w:rPr>
      </w:pPr>
      <w:r>
        <w:rPr>
          <w:rFonts w:hint="eastAsia" w:ascii="宋体" w:hAnsi="宋体"/>
          <w:bCs/>
          <w:color w:val="auto"/>
          <w:sz w:val="24"/>
          <w:lang w:bidi="en-US"/>
        </w:rPr>
        <w:t>矿区位于兴宁市境内，属丘陵地貌。地势西南高东北低，图幅内矿区周边最高峰海拔+475m，最低+175m。最大相对高差300m。</w:t>
      </w:r>
    </w:p>
    <w:p>
      <w:pPr>
        <w:widowControl/>
        <w:spacing w:line="500" w:lineRule="exact"/>
        <w:ind w:firstLine="480" w:firstLineChars="200"/>
        <w:rPr>
          <w:rFonts w:ascii="宋体" w:hAnsi="宋体"/>
          <w:bCs/>
          <w:color w:val="auto"/>
          <w:sz w:val="24"/>
          <w:lang w:bidi="en-US"/>
        </w:rPr>
      </w:pPr>
      <w:r>
        <w:rPr>
          <w:rFonts w:hint="eastAsia" w:ascii="宋体" w:hAnsi="宋体"/>
          <w:bCs/>
          <w:color w:val="auto"/>
          <w:sz w:val="24"/>
          <w:lang w:bidi="en-US"/>
        </w:rPr>
        <w:t>本区属亚热带季风气候，具有冷热悬殊、干湿季分明的气候特点，夏季炎热多雨，冬季寒冷干燥，有霜冻，年最高气温39.5℃，最低气温-2℃，1月均温11.4°C，7月均温28.5°C，年平均气温21℃左右；雨水多集中在4～9月，年降雨量在1400mm～1700mm之间，枯水期为10月至次年3月。年蒸发量1500mm，年均相对湿度65%。常见有春季的低温阴雨，晚秋的寒露风，夏秋时节的台风暴雨。</w:t>
      </w:r>
    </w:p>
    <w:p>
      <w:pPr>
        <w:widowControl/>
        <w:spacing w:line="500" w:lineRule="exact"/>
        <w:ind w:firstLine="480" w:firstLineChars="200"/>
        <w:rPr>
          <w:rFonts w:ascii="宋体" w:hAnsi="宋体"/>
          <w:bCs/>
          <w:color w:val="auto"/>
          <w:sz w:val="24"/>
          <w:lang w:bidi="en-US"/>
        </w:rPr>
      </w:pPr>
      <w:r>
        <w:rPr>
          <w:rFonts w:hint="eastAsia" w:ascii="宋体" w:hAnsi="宋体"/>
          <w:bCs/>
          <w:color w:val="auto"/>
          <w:sz w:val="24"/>
          <w:lang w:bidi="en-US"/>
        </w:rPr>
        <w:t>2）经济地理概况</w:t>
      </w:r>
    </w:p>
    <w:p>
      <w:pPr>
        <w:widowControl/>
        <w:spacing w:line="500" w:lineRule="exact"/>
        <w:ind w:firstLine="480" w:firstLineChars="200"/>
        <w:rPr>
          <w:rFonts w:ascii="宋体" w:hAnsi="宋体"/>
          <w:bCs/>
          <w:color w:val="auto"/>
          <w:sz w:val="24"/>
          <w:lang w:bidi="en-US"/>
        </w:rPr>
      </w:pPr>
      <w:r>
        <w:rPr>
          <w:rFonts w:hint="eastAsia" w:ascii="宋体" w:hAnsi="宋体"/>
          <w:bCs/>
          <w:color w:val="auto"/>
          <w:sz w:val="24"/>
          <w:lang w:bidi="en-US"/>
        </w:rPr>
        <w:t>本区粮食作物以水稻、番薯为主。经济作物有甘蔗、花生、木薯、黄豆、茶叶、烤烟和水果等。境内资源丰富，矿产资源有煤、铁、锰、钛、钴、铜、硫、钨、铀、石膏、萤石、石灰石、高岭土等。</w:t>
      </w:r>
    </w:p>
    <w:p>
      <w:pPr>
        <w:widowControl/>
        <w:spacing w:line="500" w:lineRule="exact"/>
        <w:ind w:firstLine="480" w:firstLineChars="200"/>
        <w:rPr>
          <w:rFonts w:ascii="宋体" w:hAnsi="宋体"/>
          <w:color w:val="auto"/>
          <w:sz w:val="24"/>
        </w:rPr>
      </w:pPr>
      <w:r>
        <w:rPr>
          <w:rFonts w:hint="eastAsia" w:ascii="宋体" w:hAnsi="宋体"/>
          <w:bCs/>
          <w:color w:val="auto"/>
          <w:sz w:val="24"/>
          <w:lang w:bidi="en-US"/>
        </w:rPr>
        <w:t>当地居民主要为汉族，人口分布稠密，劳动力充裕，水电资源充盈，可供工农业生产、居民生活需求。</w:t>
      </w:r>
    </w:p>
    <w:p>
      <w:pPr>
        <w:pStyle w:val="4"/>
        <w:keepLines w:val="0"/>
        <w:widowControl/>
        <w:spacing w:before="120" w:after="120" w:line="500" w:lineRule="exact"/>
        <w:rPr>
          <w:rFonts w:ascii="宋体" w:hAnsi="宋体" w:eastAsia="宋体"/>
          <w:b/>
          <w:bCs w:val="0"/>
          <w:color w:val="auto"/>
          <w:kern w:val="28"/>
          <w:sz w:val="28"/>
          <w:szCs w:val="28"/>
        </w:rPr>
      </w:pPr>
      <w:bookmarkStart w:id="134" w:name="_Toc150262772"/>
      <w:r>
        <w:rPr>
          <w:rFonts w:hint="eastAsia" w:ascii="宋体" w:hAnsi="宋体" w:eastAsia="宋体"/>
          <w:b/>
          <w:bCs w:val="0"/>
          <w:color w:val="auto"/>
          <w:kern w:val="28"/>
          <w:sz w:val="28"/>
          <w:szCs w:val="28"/>
        </w:rPr>
        <w:t>2.3地质概况</w:t>
      </w:r>
      <w:bookmarkEnd w:id="133"/>
      <w:bookmarkEnd w:id="134"/>
    </w:p>
    <w:p>
      <w:pPr>
        <w:pStyle w:val="5"/>
        <w:keepLines w:val="0"/>
        <w:widowControl/>
        <w:spacing w:before="120" w:after="120" w:line="500" w:lineRule="exact"/>
        <w:rPr>
          <w:rFonts w:ascii="宋体" w:hAnsi="宋体"/>
          <w:color w:val="auto"/>
          <w:kern w:val="28"/>
          <w:sz w:val="28"/>
          <w:szCs w:val="28"/>
        </w:rPr>
      </w:pPr>
      <w:bookmarkStart w:id="135" w:name="_Toc158167965"/>
      <w:bookmarkStart w:id="136" w:name="_Toc158167852"/>
      <w:bookmarkStart w:id="137" w:name="_Toc213727810"/>
      <w:bookmarkStart w:id="138" w:name="_Toc233881341"/>
      <w:r>
        <w:rPr>
          <w:rFonts w:ascii="宋体" w:hAnsi="宋体"/>
          <w:color w:val="auto"/>
          <w:kern w:val="28"/>
          <w:sz w:val="28"/>
          <w:szCs w:val="28"/>
        </w:rPr>
        <w:t>2.3.1</w:t>
      </w:r>
      <w:r>
        <w:rPr>
          <w:rFonts w:hint="eastAsia" w:ascii="宋体" w:hAnsi="宋体"/>
          <w:color w:val="auto"/>
          <w:kern w:val="28"/>
          <w:sz w:val="28"/>
          <w:szCs w:val="28"/>
        </w:rPr>
        <w:t>区域地质概况</w:t>
      </w:r>
    </w:p>
    <w:p>
      <w:pPr>
        <w:widowControl/>
        <w:spacing w:line="500" w:lineRule="exact"/>
        <w:ind w:firstLine="480" w:firstLineChars="200"/>
        <w:rPr>
          <w:rFonts w:ascii="宋体" w:hAnsi="宋体"/>
          <w:bCs/>
          <w:color w:val="auto"/>
          <w:sz w:val="24"/>
        </w:rPr>
      </w:pPr>
      <w:r>
        <w:rPr>
          <w:rFonts w:hint="eastAsia" w:ascii="宋体" w:hAnsi="宋体"/>
          <w:bCs/>
          <w:color w:val="auto"/>
          <w:sz w:val="24"/>
        </w:rPr>
        <w:t>矿区位于华南褶皱系粤东隆起区的留隍火山岩盆地，地处莲花山NE向深断裂带与佛冈-丰良EW向断裂带交汇部位，区域上的构造-岩浆大面积出露。出露地层为一套海陆交互相碎屑沉积岩组成与陆相喷发的流纹质-英安质建造的酸性及中酸性火山碎屑岩、熔岩等构成，两者呈不整合接触。其岩性自下而上主要有：</w:t>
      </w:r>
    </w:p>
    <w:p>
      <w:pPr>
        <w:widowControl/>
        <w:spacing w:line="500" w:lineRule="exact"/>
        <w:ind w:firstLine="480" w:firstLineChars="200"/>
        <w:rPr>
          <w:rFonts w:ascii="宋体" w:hAnsi="宋体"/>
          <w:bCs/>
          <w:color w:val="auto"/>
          <w:sz w:val="24"/>
        </w:rPr>
      </w:pPr>
      <w:r>
        <w:rPr>
          <w:rFonts w:hint="eastAsia" w:ascii="宋体" w:hAnsi="宋体"/>
          <w:bCs/>
          <w:color w:val="auto"/>
          <w:sz w:val="24"/>
        </w:rPr>
        <w:t>上三叠统-下侏罗统蓝塘群（T</w:t>
      </w:r>
      <w:r>
        <w:rPr>
          <w:rFonts w:hint="eastAsia" w:ascii="宋体" w:hAnsi="宋体"/>
          <w:bCs/>
          <w:i/>
          <w:color w:val="auto"/>
          <w:sz w:val="24"/>
          <w:vertAlign w:val="subscript"/>
        </w:rPr>
        <w:t>3</w:t>
      </w:r>
      <w:r>
        <w:rPr>
          <w:rFonts w:hint="eastAsia" w:ascii="宋体" w:hAnsi="宋体"/>
          <w:bCs/>
          <w:color w:val="auto"/>
          <w:sz w:val="24"/>
        </w:rPr>
        <w:t>-J</w:t>
      </w:r>
      <w:r>
        <w:rPr>
          <w:rFonts w:hint="eastAsia" w:ascii="宋体" w:hAnsi="宋体"/>
          <w:bCs/>
          <w:i/>
          <w:color w:val="auto"/>
          <w:sz w:val="24"/>
          <w:vertAlign w:val="subscript"/>
        </w:rPr>
        <w:t>1</w:t>
      </w:r>
      <w:r>
        <w:rPr>
          <w:rFonts w:hint="eastAsia" w:ascii="宋体" w:hAnsi="宋体"/>
          <w:bCs/>
          <w:i/>
          <w:color w:val="auto"/>
          <w:sz w:val="24"/>
        </w:rPr>
        <w:t>l</w:t>
      </w:r>
      <w:r>
        <w:rPr>
          <w:rFonts w:hint="eastAsia" w:ascii="宋体" w:hAnsi="宋体"/>
          <w:bCs/>
          <w:color w:val="auto"/>
          <w:sz w:val="24"/>
        </w:rPr>
        <w:t>）：岩性主要为灰白色-灰色或深灰色砂岩、粉砂岩和泥岩、砂质页岩。</w:t>
      </w:r>
    </w:p>
    <w:p>
      <w:pPr>
        <w:widowControl/>
        <w:spacing w:line="500" w:lineRule="exact"/>
        <w:ind w:firstLine="480" w:firstLineChars="200"/>
        <w:rPr>
          <w:rFonts w:ascii="宋体" w:hAnsi="宋体"/>
          <w:bCs/>
          <w:color w:val="auto"/>
          <w:sz w:val="24"/>
        </w:rPr>
      </w:pPr>
      <w:r>
        <w:rPr>
          <w:rFonts w:hint="eastAsia" w:ascii="宋体" w:hAnsi="宋体"/>
          <w:bCs/>
          <w:color w:val="auto"/>
          <w:sz w:val="24"/>
        </w:rPr>
        <w:t>早侏罗世长埔组（J</w:t>
      </w:r>
      <w:r>
        <w:rPr>
          <w:rFonts w:hint="eastAsia" w:ascii="宋体" w:hAnsi="宋体"/>
          <w:bCs/>
          <w:color w:val="auto"/>
          <w:sz w:val="24"/>
          <w:vertAlign w:val="subscript"/>
        </w:rPr>
        <w:t>1</w:t>
      </w:r>
      <w:r>
        <w:rPr>
          <w:rFonts w:hint="eastAsia" w:ascii="宋体" w:hAnsi="宋体"/>
          <w:bCs/>
          <w:i/>
          <w:color w:val="auto"/>
          <w:sz w:val="24"/>
        </w:rPr>
        <w:t>ch</w:t>
      </w:r>
      <w:r>
        <w:rPr>
          <w:rFonts w:hint="eastAsia" w:ascii="宋体" w:hAnsi="宋体"/>
          <w:bCs/>
          <w:color w:val="auto"/>
          <w:sz w:val="24"/>
        </w:rPr>
        <w:t>）：厚层状细粒长石石英砂岩夹石英砂岩、粉砂岩底部夹砾岩和泥岩。</w:t>
      </w:r>
    </w:p>
    <w:p>
      <w:pPr>
        <w:widowControl/>
        <w:spacing w:line="500" w:lineRule="exact"/>
        <w:ind w:firstLine="480" w:firstLineChars="200"/>
        <w:rPr>
          <w:rFonts w:ascii="宋体" w:hAnsi="宋体"/>
          <w:bCs/>
          <w:color w:val="auto"/>
          <w:sz w:val="24"/>
        </w:rPr>
      </w:pPr>
      <w:r>
        <w:rPr>
          <w:rFonts w:hint="eastAsia" w:ascii="宋体" w:hAnsi="宋体"/>
          <w:bCs/>
          <w:color w:val="auto"/>
          <w:sz w:val="24"/>
        </w:rPr>
        <w:t>下-中侏罗统桥源组（J</w:t>
      </w:r>
      <w:r>
        <w:rPr>
          <w:rFonts w:hint="eastAsia" w:ascii="宋体" w:hAnsi="宋体"/>
          <w:bCs/>
          <w:i/>
          <w:color w:val="auto"/>
          <w:sz w:val="24"/>
          <w:vertAlign w:val="subscript"/>
        </w:rPr>
        <w:t>1-2qy</w:t>
      </w:r>
      <w:r>
        <w:rPr>
          <w:rFonts w:hint="eastAsia" w:ascii="宋体" w:hAnsi="宋体"/>
          <w:bCs/>
          <w:color w:val="auto"/>
          <w:sz w:val="24"/>
        </w:rPr>
        <w:t>）：岩性主要为灰黑色中细粒长石石英砂岩、粉砂岩和泥岩互层，夹少量粗砂岩。</w:t>
      </w:r>
    </w:p>
    <w:p>
      <w:pPr>
        <w:widowControl/>
        <w:spacing w:line="500" w:lineRule="exact"/>
        <w:ind w:firstLine="480" w:firstLineChars="200"/>
        <w:rPr>
          <w:rFonts w:ascii="宋体" w:hAnsi="宋体"/>
          <w:bCs/>
          <w:color w:val="auto"/>
          <w:sz w:val="24"/>
        </w:rPr>
      </w:pPr>
      <w:r>
        <w:rPr>
          <w:rFonts w:hint="eastAsia" w:ascii="宋体" w:hAnsi="宋体"/>
          <w:bCs/>
          <w:color w:val="auto"/>
          <w:sz w:val="24"/>
        </w:rPr>
        <w:t>中侏罗统漳坪群（J</w:t>
      </w:r>
      <w:r>
        <w:rPr>
          <w:rFonts w:hint="eastAsia" w:ascii="宋体" w:hAnsi="宋体"/>
          <w:bCs/>
          <w:i/>
          <w:color w:val="auto"/>
          <w:sz w:val="24"/>
          <w:vertAlign w:val="subscript"/>
        </w:rPr>
        <w:t>2zh</w:t>
      </w:r>
      <w:r>
        <w:rPr>
          <w:rFonts w:hint="eastAsia" w:ascii="宋体" w:hAnsi="宋体"/>
          <w:bCs/>
          <w:color w:val="auto"/>
          <w:sz w:val="24"/>
        </w:rPr>
        <w:t>）：岩性主要为紫红、灰白、灰绿色砂岩、粉砂岩和泥岩，夹少量含砾砂岩和砂砾岩。</w:t>
      </w:r>
    </w:p>
    <w:p>
      <w:pPr>
        <w:widowControl/>
        <w:spacing w:line="500" w:lineRule="exact"/>
        <w:ind w:firstLine="480" w:firstLineChars="200"/>
        <w:rPr>
          <w:rFonts w:ascii="宋体" w:hAnsi="宋体"/>
          <w:bCs/>
          <w:color w:val="auto"/>
          <w:sz w:val="24"/>
        </w:rPr>
      </w:pPr>
      <w:r>
        <w:rPr>
          <w:rFonts w:hint="eastAsia" w:ascii="宋体" w:hAnsi="宋体"/>
          <w:bCs/>
          <w:color w:val="auto"/>
          <w:sz w:val="24"/>
        </w:rPr>
        <w:t>上侏罗统热水洞组（J</w:t>
      </w:r>
      <w:r>
        <w:rPr>
          <w:rFonts w:hint="eastAsia" w:ascii="宋体" w:hAnsi="宋体"/>
          <w:bCs/>
          <w:i/>
          <w:color w:val="auto"/>
          <w:sz w:val="24"/>
          <w:vertAlign w:val="subscript"/>
        </w:rPr>
        <w:t>3r</w:t>
      </w:r>
      <w:r>
        <w:rPr>
          <w:rFonts w:hint="eastAsia" w:ascii="宋体" w:hAnsi="宋体"/>
          <w:bCs/>
          <w:color w:val="auto"/>
          <w:sz w:val="24"/>
        </w:rPr>
        <w:t>）：岩性主要为流纹（英安）质火山碎屑岩，夹少量火山碎屑沉积岩。</w:t>
      </w:r>
    </w:p>
    <w:p>
      <w:pPr>
        <w:widowControl/>
        <w:spacing w:line="500" w:lineRule="exact"/>
        <w:ind w:firstLine="480" w:firstLineChars="200"/>
        <w:rPr>
          <w:rFonts w:ascii="宋体" w:hAnsi="宋体"/>
          <w:bCs/>
          <w:color w:val="auto"/>
          <w:sz w:val="24"/>
        </w:rPr>
      </w:pPr>
      <w:r>
        <w:rPr>
          <w:rFonts w:hint="eastAsia" w:ascii="宋体" w:hAnsi="宋体"/>
          <w:bCs/>
          <w:color w:val="auto"/>
          <w:sz w:val="24"/>
        </w:rPr>
        <w:t>上侏罗统-下白垩统南山村组（J</w:t>
      </w:r>
      <w:r>
        <w:rPr>
          <w:rFonts w:hint="eastAsia" w:ascii="宋体" w:hAnsi="宋体"/>
          <w:bCs/>
          <w:i/>
          <w:color w:val="auto"/>
          <w:sz w:val="24"/>
          <w:vertAlign w:val="subscript"/>
        </w:rPr>
        <w:t>3</w:t>
      </w:r>
      <w:r>
        <w:rPr>
          <w:rFonts w:hint="eastAsia" w:ascii="宋体" w:hAnsi="宋体"/>
          <w:bCs/>
          <w:color w:val="auto"/>
          <w:sz w:val="24"/>
        </w:rPr>
        <w:t>-K</w:t>
      </w:r>
      <w:r>
        <w:rPr>
          <w:rFonts w:hint="eastAsia" w:ascii="宋体" w:hAnsi="宋体"/>
          <w:bCs/>
          <w:i/>
          <w:color w:val="auto"/>
          <w:sz w:val="24"/>
          <w:vertAlign w:val="subscript"/>
        </w:rPr>
        <w:t>1n</w:t>
      </w:r>
      <w:r>
        <w:rPr>
          <w:rFonts w:hint="eastAsia" w:ascii="宋体" w:hAnsi="宋体"/>
          <w:bCs/>
          <w:color w:val="auto"/>
          <w:sz w:val="24"/>
        </w:rPr>
        <w:t>）：岩性主要为英安-流纹质火山碎屑岩，夹少量火山碎屑沉积岩。</w:t>
      </w:r>
    </w:p>
    <w:p>
      <w:pPr>
        <w:widowControl/>
        <w:spacing w:line="500" w:lineRule="exact"/>
        <w:ind w:firstLine="480" w:firstLineChars="200"/>
        <w:rPr>
          <w:rFonts w:ascii="宋体" w:hAnsi="宋体"/>
          <w:bCs/>
          <w:color w:val="auto"/>
          <w:sz w:val="24"/>
        </w:rPr>
      </w:pPr>
      <w:r>
        <w:rPr>
          <w:rFonts w:hint="eastAsia" w:ascii="宋体" w:hAnsi="宋体"/>
          <w:bCs/>
          <w:color w:val="auto"/>
          <w:sz w:val="24"/>
        </w:rPr>
        <w:t>区断裂构造广泛发育，以NE向为主，EW向、NW向次之。NE向莲花山深断裂带和潮安-普宁深断裂带以及伴随的NW向断裂组成了区域构造骨架；EW向断裂断续展露。受燕山期和喜山期构造运动影响，各类构造叠加、交接复合，具多期活动特征。总体来说，断裂构造发育，褶皱构造较弱。</w:t>
      </w:r>
    </w:p>
    <w:p>
      <w:pPr>
        <w:widowControl/>
        <w:spacing w:line="500" w:lineRule="exact"/>
        <w:ind w:firstLine="480" w:firstLineChars="200"/>
        <w:rPr>
          <w:rFonts w:ascii="宋体" w:hAnsi="宋体"/>
          <w:bCs/>
          <w:color w:val="auto"/>
          <w:sz w:val="24"/>
        </w:rPr>
      </w:pPr>
      <w:r>
        <w:rPr>
          <w:rFonts w:hint="eastAsia" w:ascii="宋体" w:hAnsi="宋体"/>
          <w:bCs/>
          <w:color w:val="auto"/>
          <w:sz w:val="24"/>
        </w:rPr>
        <w:t>区域上岩浆岩大面积分布，是为留隍岩体的一部分，主要有晚侏罗世（γβJ</w:t>
      </w:r>
      <w:r>
        <w:rPr>
          <w:rFonts w:hint="eastAsia" w:ascii="宋体" w:hAnsi="宋体"/>
          <w:bCs/>
          <w:i/>
          <w:color w:val="auto"/>
          <w:sz w:val="24"/>
          <w:vertAlign w:val="subscript"/>
        </w:rPr>
        <w:t>3</w:t>
      </w:r>
      <w:r>
        <w:rPr>
          <w:rFonts w:hint="eastAsia" w:ascii="宋体" w:hAnsi="宋体"/>
          <w:bCs/>
          <w:color w:val="auto"/>
          <w:sz w:val="24"/>
        </w:rPr>
        <w:t>）黑云母花岗岩、细粒花岗岩、二长花岗岩和花岗闪长岩；早白垩世（γβK</w:t>
      </w:r>
      <w:r>
        <w:rPr>
          <w:rFonts w:hint="eastAsia" w:ascii="宋体" w:hAnsi="宋体"/>
          <w:bCs/>
          <w:i/>
          <w:color w:val="auto"/>
          <w:sz w:val="24"/>
          <w:vertAlign w:val="subscript"/>
        </w:rPr>
        <w:t>1</w:t>
      </w:r>
      <w:r>
        <w:rPr>
          <w:rFonts w:hint="eastAsia" w:ascii="宋体" w:hAnsi="宋体"/>
          <w:bCs/>
          <w:color w:val="auto"/>
          <w:sz w:val="24"/>
        </w:rPr>
        <w:t>）黑云母花岗岩。晚侏罗世（γβJ</w:t>
      </w:r>
      <w:r>
        <w:rPr>
          <w:rFonts w:hint="eastAsia" w:ascii="宋体" w:hAnsi="宋体"/>
          <w:bCs/>
          <w:i/>
          <w:color w:val="auto"/>
          <w:sz w:val="24"/>
          <w:vertAlign w:val="subscript"/>
        </w:rPr>
        <w:t>3</w:t>
      </w:r>
      <w:r>
        <w:rPr>
          <w:rFonts w:hint="eastAsia" w:ascii="宋体" w:hAnsi="宋体"/>
          <w:bCs/>
          <w:color w:val="auto"/>
          <w:sz w:val="24"/>
        </w:rPr>
        <w:t>）黑云母花岗岩岩性为中粗粒（斑状）黑云母花岗岩、中粗粒黑云母二长花岗岩，呈岩基、岩墙、岩株产出。</w:t>
      </w:r>
    </w:p>
    <w:p>
      <w:pPr>
        <w:widowControl/>
        <w:spacing w:line="500" w:lineRule="exact"/>
        <w:ind w:firstLine="480" w:firstLineChars="200"/>
        <w:rPr>
          <w:rFonts w:ascii="宋体" w:hAnsi="宋体"/>
          <w:bCs/>
          <w:color w:val="auto"/>
          <w:sz w:val="24"/>
        </w:rPr>
      </w:pPr>
      <w:r>
        <w:rPr>
          <w:rFonts w:hint="eastAsia" w:ascii="宋体" w:hAnsi="宋体"/>
          <w:bCs/>
          <w:color w:val="auto"/>
          <w:sz w:val="24"/>
        </w:rPr>
        <w:t>区域矿产资源丰富，矿点较多，以铜、锡、铅、锌、银、金、铁、锰、铌、钽、锆、铍、铬、镉金属资源和高岭土、钾长石、热水等非金属矿为主。主要矿点有马图、铅山、乌阴山铅锌多金属矿点，大塘肚高岭土矿点等。</w:t>
      </w:r>
    </w:p>
    <w:p>
      <w:pPr>
        <w:widowControl/>
        <w:spacing w:line="500" w:lineRule="exact"/>
        <w:ind w:firstLine="480" w:firstLineChars="200"/>
        <w:rPr>
          <w:rFonts w:ascii="宋体" w:hAnsi="宋体"/>
          <w:bCs/>
          <w:color w:val="auto"/>
          <w:sz w:val="24"/>
        </w:rPr>
      </w:pPr>
      <w:r>
        <w:rPr>
          <w:rFonts w:ascii="宋体" w:hAnsi="宋体"/>
          <w:bCs/>
          <w:color w:val="auto"/>
          <w:sz w:val="24"/>
        </w:rPr>
        <w:t>区域上矿区处于莲花山断裂带北西侧，主要地层为东南部的侏罗系热水洞组（Jr），中、东部的大面积侏罗系漳平组（JZ^），西北部少量的白垩系叶塘组（Kyt）；岩浆岩为中、西南部的燕山三期花岗岩（</w:t>
      </w:r>
      <w:r>
        <w:rPr>
          <w:rFonts w:hint="eastAsia" w:ascii="宋体" w:hAnsi="宋体"/>
          <w:bCs/>
          <w:color w:val="auto"/>
          <w:sz w:val="24"/>
        </w:rPr>
        <w:t>γ</w:t>
      </w:r>
      <w:r>
        <w:rPr>
          <w:rFonts w:hint="eastAsia" w:ascii="宋体" w:hAnsi="宋体"/>
          <w:bCs/>
          <w:color w:val="auto"/>
          <w:sz w:val="24"/>
          <w:vertAlign w:val="subscript"/>
        </w:rPr>
        <w:t>5</w:t>
      </w:r>
      <w:r>
        <w:rPr>
          <w:rFonts w:hint="eastAsia" w:ascii="宋体" w:hAnsi="宋体"/>
          <w:bCs/>
          <w:color w:val="auto"/>
          <w:sz w:val="24"/>
          <w:vertAlign w:val="superscript"/>
        </w:rPr>
        <w:t>2（3）</w:t>
      </w:r>
      <w:r>
        <w:rPr>
          <w:rFonts w:ascii="宋体" w:hAnsi="宋体"/>
          <w:bCs/>
          <w:color w:val="auto"/>
          <w:sz w:val="24"/>
        </w:rPr>
        <w:t>）。构造为两组北东向断裂、两组北北西向断裂、一组东西向的断裂。</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2.3.</w:t>
      </w:r>
      <w:r>
        <w:rPr>
          <w:rFonts w:hint="eastAsia" w:ascii="宋体" w:hAnsi="宋体"/>
          <w:color w:val="auto"/>
          <w:kern w:val="28"/>
          <w:sz w:val="28"/>
          <w:szCs w:val="28"/>
        </w:rPr>
        <w:t>2矿区</w:t>
      </w:r>
      <w:r>
        <w:rPr>
          <w:rFonts w:ascii="宋体" w:hAnsi="宋体"/>
          <w:color w:val="auto"/>
          <w:kern w:val="28"/>
          <w:sz w:val="28"/>
          <w:szCs w:val="28"/>
        </w:rPr>
        <w:t>地质概况</w:t>
      </w:r>
    </w:p>
    <w:p>
      <w:pPr>
        <w:widowControl/>
        <w:spacing w:line="500" w:lineRule="exact"/>
        <w:ind w:firstLine="480" w:firstLineChars="200"/>
        <w:rPr>
          <w:rFonts w:ascii="宋体" w:hAnsi="宋体"/>
          <w:bCs/>
          <w:color w:val="auto"/>
          <w:sz w:val="24"/>
        </w:rPr>
      </w:pPr>
      <w:r>
        <w:rPr>
          <w:rFonts w:ascii="宋体" w:hAnsi="宋体"/>
          <w:bCs/>
          <w:color w:val="auto"/>
          <w:sz w:val="24"/>
        </w:rPr>
        <w:t>矿区内出露地层为侏罗纪漳平组（J</w:t>
      </w:r>
      <w:r>
        <w:rPr>
          <w:rFonts w:ascii="宋体" w:hAnsi="宋体"/>
          <w:bCs/>
          <w:i/>
          <w:color w:val="auto"/>
          <w:sz w:val="24"/>
        </w:rPr>
        <w:t>Z</w:t>
      </w:r>
      <w:r>
        <w:rPr>
          <w:rFonts w:ascii="宋体" w:hAnsi="宋体"/>
          <w:bCs/>
          <w:i/>
          <w:iCs/>
          <w:color w:val="auto"/>
          <w:sz w:val="24"/>
          <w:vertAlign w:val="superscript"/>
        </w:rPr>
        <w:t>^</w:t>
      </w:r>
      <w:r>
        <w:rPr>
          <w:rFonts w:ascii="宋体" w:hAnsi="宋体"/>
          <w:bCs/>
          <w:iCs/>
          <w:color w:val="auto"/>
          <w:sz w:val="24"/>
        </w:rPr>
        <w:t>）</w:t>
      </w:r>
      <w:r>
        <w:rPr>
          <w:rFonts w:ascii="宋体" w:hAnsi="宋体"/>
          <w:bCs/>
          <w:color w:val="auto"/>
          <w:sz w:val="24"/>
        </w:rPr>
        <w:t>及第四系冲洪积层(Q)，岩浆岩为燕山三期花岗岩及局部有后期侵入的石英斑岩脉。石英斑岩风化成的高岭土矿为</w:t>
      </w:r>
      <w:r>
        <w:rPr>
          <w:rFonts w:hint="eastAsia" w:ascii="宋体" w:hAnsi="宋体"/>
          <w:bCs/>
          <w:color w:val="auto"/>
          <w:sz w:val="24"/>
        </w:rPr>
        <w:t>储量核实</w:t>
      </w:r>
      <w:r>
        <w:rPr>
          <w:rFonts w:ascii="宋体" w:hAnsi="宋体"/>
          <w:bCs/>
          <w:color w:val="auto"/>
          <w:sz w:val="24"/>
        </w:rPr>
        <w:t>工作的主要对象。</w:t>
      </w:r>
    </w:p>
    <w:p>
      <w:pPr>
        <w:widowControl/>
        <w:spacing w:line="500" w:lineRule="exact"/>
        <w:ind w:firstLine="482" w:firstLineChars="200"/>
        <w:rPr>
          <w:rFonts w:ascii="宋体" w:hAnsi="宋体"/>
          <w:b/>
          <w:bCs/>
          <w:color w:val="auto"/>
          <w:sz w:val="24"/>
        </w:rPr>
      </w:pPr>
      <w:bookmarkStart w:id="139" w:name="_Toc226966747"/>
      <w:bookmarkStart w:id="140" w:name="_Toc217961712"/>
      <w:bookmarkStart w:id="141" w:name="_Toc210098600"/>
      <w:bookmarkStart w:id="142" w:name="_Toc217961849"/>
      <w:r>
        <w:rPr>
          <w:rFonts w:ascii="宋体" w:hAnsi="宋体"/>
          <w:b/>
          <w:bCs/>
          <w:color w:val="auto"/>
          <w:sz w:val="24"/>
        </w:rPr>
        <w:t>1</w:t>
      </w:r>
      <w:r>
        <w:rPr>
          <w:rFonts w:hint="eastAsia" w:ascii="宋体" w:hAnsi="宋体"/>
          <w:b/>
          <w:bCs/>
          <w:color w:val="auto"/>
          <w:sz w:val="24"/>
        </w:rPr>
        <w:t>）地层</w:t>
      </w:r>
    </w:p>
    <w:p>
      <w:pPr>
        <w:widowControl/>
        <w:spacing w:line="500" w:lineRule="exact"/>
        <w:ind w:firstLine="480" w:firstLineChars="200"/>
        <w:rPr>
          <w:rFonts w:ascii="宋体" w:hAnsi="宋体"/>
          <w:bCs/>
          <w:color w:val="auto"/>
          <w:sz w:val="24"/>
        </w:rPr>
      </w:pPr>
      <w:r>
        <w:rPr>
          <w:rFonts w:ascii="宋体" w:hAnsi="宋体"/>
          <w:bCs/>
          <w:color w:val="auto"/>
          <w:sz w:val="24"/>
        </w:rPr>
        <w:t>矿区内出露地层为侏罗纪漳平组（J</w:t>
      </w:r>
      <w:r>
        <w:rPr>
          <w:rFonts w:ascii="宋体" w:hAnsi="宋体"/>
          <w:bCs/>
          <w:i/>
          <w:color w:val="auto"/>
          <w:sz w:val="24"/>
        </w:rPr>
        <w:t>Z</w:t>
      </w:r>
      <w:r>
        <w:rPr>
          <w:rFonts w:ascii="宋体" w:hAnsi="宋体"/>
          <w:bCs/>
          <w:i/>
          <w:iCs/>
          <w:color w:val="auto"/>
          <w:sz w:val="24"/>
          <w:vertAlign w:val="superscript"/>
        </w:rPr>
        <w:t>^</w:t>
      </w:r>
      <w:r>
        <w:rPr>
          <w:rFonts w:ascii="宋体" w:hAnsi="宋体"/>
          <w:bCs/>
          <w:iCs/>
          <w:color w:val="auto"/>
          <w:sz w:val="24"/>
        </w:rPr>
        <w:t>）</w:t>
      </w:r>
      <w:r>
        <w:rPr>
          <w:rFonts w:ascii="宋体" w:hAnsi="宋体"/>
          <w:bCs/>
          <w:color w:val="auto"/>
          <w:sz w:val="24"/>
        </w:rPr>
        <w:t>及第四系冲洪积层(Q)。</w:t>
      </w:r>
    </w:p>
    <w:p>
      <w:pPr>
        <w:widowControl/>
        <w:spacing w:line="500" w:lineRule="exact"/>
        <w:ind w:firstLine="480" w:firstLineChars="200"/>
        <w:rPr>
          <w:rFonts w:ascii="宋体" w:hAnsi="宋体"/>
          <w:bCs/>
          <w:iCs/>
          <w:color w:val="auto"/>
          <w:sz w:val="24"/>
        </w:rPr>
      </w:pPr>
      <w:r>
        <w:rPr>
          <w:rFonts w:ascii="宋体" w:hAnsi="宋体"/>
          <w:bCs/>
          <w:color w:val="auto"/>
          <w:sz w:val="24"/>
        </w:rPr>
        <w:t>（1）侏罗纪漳平组（J</w:t>
      </w:r>
      <w:r>
        <w:rPr>
          <w:rFonts w:ascii="宋体" w:hAnsi="宋体"/>
          <w:bCs/>
          <w:i/>
          <w:color w:val="auto"/>
          <w:sz w:val="24"/>
        </w:rPr>
        <w:t>Z</w:t>
      </w:r>
      <w:r>
        <w:rPr>
          <w:rFonts w:ascii="宋体" w:hAnsi="宋体"/>
          <w:bCs/>
          <w:i/>
          <w:iCs/>
          <w:color w:val="auto"/>
          <w:sz w:val="24"/>
          <w:vertAlign w:val="superscript"/>
        </w:rPr>
        <w:t>^</w:t>
      </w:r>
      <w:r>
        <w:rPr>
          <w:rFonts w:ascii="宋体" w:hAnsi="宋体"/>
          <w:bCs/>
          <w:iCs/>
          <w:color w:val="auto"/>
          <w:sz w:val="24"/>
        </w:rPr>
        <w:t>）：位于矿区北部，出露面积约1.10km</w:t>
      </w:r>
      <w:r>
        <w:rPr>
          <w:rFonts w:ascii="宋体" w:hAnsi="宋体"/>
          <w:bCs/>
          <w:iCs/>
          <w:color w:val="auto"/>
          <w:sz w:val="24"/>
          <w:vertAlign w:val="superscript"/>
        </w:rPr>
        <w:t>2</w:t>
      </w:r>
      <w:r>
        <w:rPr>
          <w:rFonts w:ascii="宋体" w:hAnsi="宋体"/>
          <w:bCs/>
          <w:iCs/>
          <w:color w:val="auto"/>
          <w:sz w:val="24"/>
        </w:rPr>
        <w:t>，为一套杂色碎屑岩。由紫色、灰白、灰绿色砂岩及粉砂岩和泥岩夹少量含砾砂岩和砾岩组成。</w:t>
      </w:r>
    </w:p>
    <w:p>
      <w:pPr>
        <w:widowControl/>
        <w:spacing w:line="500" w:lineRule="exact"/>
        <w:ind w:firstLine="480" w:firstLineChars="200"/>
        <w:rPr>
          <w:rFonts w:ascii="宋体" w:hAnsi="宋体"/>
          <w:bCs/>
          <w:color w:val="auto"/>
          <w:sz w:val="24"/>
        </w:rPr>
      </w:pPr>
      <w:r>
        <w:rPr>
          <w:rFonts w:ascii="宋体" w:hAnsi="宋体"/>
          <w:bCs/>
          <w:color w:val="auto"/>
          <w:sz w:val="24"/>
        </w:rPr>
        <w:t>（2）第四系冲洪积层（Q）：分布在地表低洼处（冲沟和小溪两侧），同时也为地表山体覆盖层。岩性为褐黄色砂砾、砂、粘土质砂、砂质粘土。</w:t>
      </w:r>
    </w:p>
    <w:p>
      <w:pPr>
        <w:widowControl/>
        <w:spacing w:line="500" w:lineRule="exact"/>
        <w:ind w:firstLine="482" w:firstLineChars="200"/>
        <w:rPr>
          <w:rFonts w:ascii="宋体" w:hAnsi="宋体"/>
          <w:b/>
          <w:bCs/>
          <w:color w:val="auto"/>
          <w:sz w:val="24"/>
        </w:rPr>
      </w:pPr>
      <w:r>
        <w:rPr>
          <w:rFonts w:ascii="宋体" w:hAnsi="宋体"/>
          <w:b/>
          <w:bCs/>
          <w:color w:val="auto"/>
          <w:sz w:val="24"/>
        </w:rPr>
        <w:t>2</w:t>
      </w:r>
      <w:r>
        <w:rPr>
          <w:rFonts w:hint="eastAsia" w:ascii="宋体" w:hAnsi="宋体"/>
          <w:b/>
          <w:bCs/>
          <w:color w:val="auto"/>
          <w:sz w:val="24"/>
        </w:rPr>
        <w:t>）构造</w:t>
      </w:r>
    </w:p>
    <w:p>
      <w:pPr>
        <w:widowControl/>
        <w:spacing w:line="500" w:lineRule="exact"/>
        <w:ind w:firstLine="480" w:firstLineChars="200"/>
        <w:rPr>
          <w:rFonts w:ascii="宋体" w:hAnsi="宋体"/>
          <w:bCs/>
          <w:color w:val="auto"/>
          <w:sz w:val="24"/>
        </w:rPr>
      </w:pPr>
      <w:r>
        <w:rPr>
          <w:rFonts w:ascii="宋体" w:hAnsi="宋体"/>
          <w:bCs/>
          <w:color w:val="auto"/>
          <w:sz w:val="24"/>
        </w:rPr>
        <w:t>矿区范围内未发现有断裂构造现象。</w:t>
      </w:r>
    </w:p>
    <w:p>
      <w:pPr>
        <w:widowControl/>
        <w:spacing w:line="500" w:lineRule="exact"/>
        <w:ind w:firstLine="482" w:firstLineChars="200"/>
        <w:rPr>
          <w:rFonts w:ascii="宋体" w:hAnsi="宋体"/>
          <w:b/>
          <w:bCs/>
          <w:color w:val="auto"/>
          <w:sz w:val="24"/>
        </w:rPr>
      </w:pPr>
      <w:r>
        <w:rPr>
          <w:rFonts w:ascii="宋体" w:hAnsi="宋体"/>
          <w:b/>
          <w:bCs/>
          <w:color w:val="auto"/>
          <w:sz w:val="24"/>
        </w:rPr>
        <w:t>3</w:t>
      </w:r>
      <w:r>
        <w:rPr>
          <w:rFonts w:hint="eastAsia" w:ascii="宋体" w:hAnsi="宋体"/>
          <w:b/>
          <w:bCs/>
          <w:color w:val="auto"/>
          <w:sz w:val="24"/>
        </w:rPr>
        <w:t>）岩浆岩</w:t>
      </w:r>
    </w:p>
    <w:bookmarkEnd w:id="139"/>
    <w:bookmarkEnd w:id="140"/>
    <w:bookmarkEnd w:id="141"/>
    <w:bookmarkEnd w:id="142"/>
    <w:p>
      <w:pPr>
        <w:widowControl/>
        <w:spacing w:line="500" w:lineRule="exact"/>
        <w:ind w:firstLine="480" w:firstLineChars="200"/>
        <w:rPr>
          <w:rFonts w:ascii="宋体" w:hAnsi="宋体"/>
          <w:bCs/>
          <w:color w:val="auto"/>
          <w:sz w:val="24"/>
        </w:rPr>
      </w:pPr>
      <w:r>
        <w:rPr>
          <w:rFonts w:ascii="宋体" w:hAnsi="宋体"/>
          <w:bCs/>
          <w:color w:val="auto"/>
          <w:sz w:val="24"/>
        </w:rPr>
        <w:t>（1）燕山三期花岗岩（γ</w:t>
      </w:r>
      <w:r>
        <w:rPr>
          <w:rFonts w:ascii="宋体" w:hAnsi="宋体"/>
          <w:bCs/>
          <w:color w:val="auto"/>
          <w:sz w:val="24"/>
          <w:vertAlign w:val="subscript"/>
        </w:rPr>
        <w:t>5</w:t>
      </w:r>
      <w:r>
        <w:rPr>
          <w:rFonts w:ascii="宋体" w:hAnsi="宋体"/>
          <w:bCs/>
          <w:color w:val="auto"/>
          <w:sz w:val="24"/>
          <w:vertAlign w:val="superscript"/>
        </w:rPr>
        <w:t>2（3）</w:t>
      </w:r>
      <w:r>
        <w:rPr>
          <w:rFonts w:ascii="宋体" w:hAnsi="宋体"/>
          <w:bCs/>
          <w:color w:val="auto"/>
          <w:sz w:val="24"/>
        </w:rPr>
        <w:t>）：分布于矿区南部和西部，面积约2km</w:t>
      </w:r>
      <w:r>
        <w:rPr>
          <w:rFonts w:ascii="宋体" w:hAnsi="宋体"/>
          <w:bCs/>
          <w:color w:val="auto"/>
          <w:sz w:val="24"/>
          <w:vertAlign w:val="superscript"/>
        </w:rPr>
        <w:t>2</w:t>
      </w:r>
      <w:r>
        <w:rPr>
          <w:rFonts w:ascii="宋体" w:hAnsi="宋体"/>
          <w:bCs/>
          <w:color w:val="auto"/>
          <w:sz w:val="24"/>
        </w:rPr>
        <w:t>。主要由灰白色中细粒黑云母花岗岩组成。新鲜岩石呈白色、灰白色，中细粒花岗结构，块状构造。主要矿物成分有：长石、石英。其中长石约占60%、石英约占30%、其他成分约占10%。</w:t>
      </w:r>
    </w:p>
    <w:p>
      <w:pPr>
        <w:widowControl/>
        <w:spacing w:line="500" w:lineRule="exact"/>
        <w:ind w:firstLine="480" w:firstLineChars="200"/>
        <w:rPr>
          <w:rFonts w:ascii="宋体" w:hAnsi="宋体"/>
          <w:bCs/>
          <w:color w:val="auto"/>
          <w:sz w:val="24"/>
        </w:rPr>
      </w:pPr>
      <w:r>
        <w:rPr>
          <w:rFonts w:ascii="宋体" w:hAnsi="宋体"/>
          <w:bCs/>
          <w:color w:val="auto"/>
          <w:sz w:val="24"/>
        </w:rPr>
        <w:t>（2）石英斑岩(λπ)：在矿区西、东部各有一条，属后期侵入的岩脉，岩脉与围岩接触界面较稳定。西部一条呈南北向产于花岗岩中，东部为新发现的岩脉，平面上似长透镜状，走向北西-南东向，倾向北东，倾角较缓，在43°～47°之间。岩脉出露长828.0m，平均宽度75.0m，中部最宽处达94.0m。新鲜岩石呈灰白色，斑状结构，块状构造。成分主要由：长石、石英组成。斑晶以石英为主，其次为长石，粒径大小不甚均一，一般在1.0～3.0mm之间。</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2.3.</w:t>
      </w:r>
      <w:r>
        <w:rPr>
          <w:rFonts w:hint="eastAsia" w:ascii="宋体" w:hAnsi="宋体"/>
          <w:color w:val="auto"/>
          <w:kern w:val="28"/>
          <w:sz w:val="28"/>
          <w:szCs w:val="28"/>
        </w:rPr>
        <w:t>3矿体</w:t>
      </w:r>
      <w:r>
        <w:rPr>
          <w:rFonts w:ascii="宋体" w:hAnsi="宋体"/>
          <w:color w:val="auto"/>
          <w:kern w:val="28"/>
          <w:sz w:val="28"/>
          <w:szCs w:val="28"/>
        </w:rPr>
        <w:t>地质特征</w:t>
      </w:r>
    </w:p>
    <w:p>
      <w:pPr>
        <w:widowControl/>
        <w:spacing w:line="500" w:lineRule="exact"/>
        <w:ind w:firstLine="480" w:firstLineChars="200"/>
        <w:rPr>
          <w:rFonts w:ascii="宋体" w:hAnsi="宋体"/>
          <w:bCs/>
          <w:color w:val="auto"/>
          <w:sz w:val="24"/>
        </w:rPr>
      </w:pPr>
      <w:r>
        <w:rPr>
          <w:rFonts w:hint="eastAsia" w:ascii="宋体" w:hAnsi="宋体"/>
          <w:bCs/>
          <w:color w:val="auto"/>
          <w:sz w:val="24"/>
        </w:rPr>
        <w:t>1）</w:t>
      </w:r>
      <w:r>
        <w:rPr>
          <w:rFonts w:ascii="宋体" w:hAnsi="宋体"/>
          <w:bCs/>
          <w:color w:val="auto"/>
          <w:sz w:val="24"/>
        </w:rPr>
        <w:t>矿石成份、结构、构造</w:t>
      </w:r>
    </w:p>
    <w:p>
      <w:pPr>
        <w:widowControl/>
        <w:spacing w:line="500" w:lineRule="exact"/>
        <w:ind w:firstLine="480" w:firstLineChars="200"/>
        <w:rPr>
          <w:rFonts w:ascii="宋体" w:hAnsi="宋体"/>
          <w:bCs/>
          <w:color w:val="auto"/>
          <w:sz w:val="24"/>
        </w:rPr>
      </w:pPr>
      <w:r>
        <w:rPr>
          <w:rFonts w:ascii="宋体" w:hAnsi="宋体"/>
          <w:bCs/>
          <w:color w:val="auto"/>
          <w:sz w:val="24"/>
        </w:rPr>
        <w:t>试采面上见高岭土矿呈白色，土状，块状，结构较松散。主要由斑晶和基质组成，斑晶以石英为主，约占7%，其次长石＜1%。粒径大小不甚均一，一般在1.0～3.0mm之间。基质为长英质占27%，高岭石族粘土矿物66%，及微量重矿物、磁铁矿等。矿石具吸水性，弱可塑性。</w:t>
      </w:r>
    </w:p>
    <w:p>
      <w:pPr>
        <w:widowControl/>
        <w:spacing w:line="500" w:lineRule="exact"/>
        <w:ind w:firstLine="480" w:firstLineChars="200"/>
        <w:rPr>
          <w:rFonts w:ascii="宋体" w:hAnsi="宋体"/>
          <w:bCs/>
          <w:color w:val="auto"/>
          <w:sz w:val="24"/>
        </w:rPr>
      </w:pPr>
      <w:r>
        <w:rPr>
          <w:rFonts w:hint="eastAsia" w:ascii="宋体" w:hAnsi="宋体"/>
          <w:bCs/>
          <w:color w:val="auto"/>
          <w:sz w:val="24"/>
        </w:rPr>
        <w:t>2）</w:t>
      </w:r>
      <w:r>
        <w:rPr>
          <w:rFonts w:ascii="宋体" w:hAnsi="宋体"/>
          <w:bCs/>
          <w:color w:val="auto"/>
          <w:sz w:val="24"/>
        </w:rPr>
        <w:t>矿石化学成份</w:t>
      </w:r>
    </w:p>
    <w:p>
      <w:pPr>
        <w:widowControl/>
        <w:spacing w:line="500" w:lineRule="exact"/>
        <w:ind w:firstLine="480" w:firstLineChars="200"/>
        <w:rPr>
          <w:rFonts w:ascii="宋体" w:hAnsi="宋体"/>
          <w:bCs/>
          <w:color w:val="auto"/>
          <w:sz w:val="24"/>
        </w:rPr>
      </w:pPr>
      <w:r>
        <w:rPr>
          <w:rFonts w:hint="eastAsia" w:ascii="宋体" w:hAnsi="宋体"/>
          <w:bCs/>
          <w:color w:val="auto"/>
          <w:sz w:val="24"/>
        </w:rPr>
        <w:t>（1）</w:t>
      </w:r>
      <w:r>
        <w:rPr>
          <w:rFonts w:ascii="宋体" w:hAnsi="宋体"/>
          <w:bCs/>
          <w:color w:val="auto"/>
          <w:sz w:val="24"/>
        </w:rPr>
        <w:t>基本分析：SiO</w:t>
      </w:r>
      <w:r>
        <w:rPr>
          <w:rFonts w:ascii="宋体" w:hAnsi="宋体"/>
          <w:bCs/>
          <w:color w:val="auto"/>
          <w:sz w:val="24"/>
          <w:vertAlign w:val="subscript"/>
        </w:rPr>
        <w:t>2</w:t>
      </w:r>
      <w:r>
        <w:rPr>
          <w:rFonts w:ascii="宋体" w:hAnsi="宋体"/>
          <w:bCs/>
          <w:color w:val="auto"/>
          <w:sz w:val="24"/>
        </w:rPr>
        <w:t>最小71.69%，最大75.68%，平均73.71%。Al</w:t>
      </w:r>
      <w:r>
        <w:rPr>
          <w:rFonts w:ascii="宋体" w:hAnsi="宋体"/>
          <w:bCs/>
          <w:color w:val="auto"/>
          <w:sz w:val="24"/>
          <w:vertAlign w:val="subscript"/>
        </w:rPr>
        <w:t>2</w:t>
      </w:r>
      <w:r>
        <w:rPr>
          <w:rFonts w:ascii="宋体" w:hAnsi="宋体"/>
          <w:bCs/>
          <w:color w:val="auto"/>
          <w:sz w:val="24"/>
        </w:rPr>
        <w:t>O</w:t>
      </w:r>
      <w:r>
        <w:rPr>
          <w:rFonts w:ascii="宋体" w:hAnsi="宋体"/>
          <w:bCs/>
          <w:color w:val="auto"/>
          <w:sz w:val="24"/>
          <w:vertAlign w:val="subscript"/>
        </w:rPr>
        <w:t>3</w:t>
      </w:r>
      <w:r>
        <w:rPr>
          <w:rFonts w:ascii="宋体" w:hAnsi="宋体"/>
          <w:bCs/>
          <w:color w:val="auto"/>
          <w:sz w:val="24"/>
        </w:rPr>
        <w:t>最小15.31%，最大19.49%，平均17.46%。Fe</w:t>
      </w:r>
      <w:r>
        <w:rPr>
          <w:rFonts w:ascii="宋体" w:hAnsi="宋体"/>
          <w:bCs/>
          <w:color w:val="auto"/>
          <w:sz w:val="24"/>
          <w:vertAlign w:val="subscript"/>
        </w:rPr>
        <w:t>2</w:t>
      </w:r>
      <w:r>
        <w:rPr>
          <w:rFonts w:ascii="宋体" w:hAnsi="宋体"/>
          <w:bCs/>
          <w:color w:val="auto"/>
          <w:sz w:val="24"/>
        </w:rPr>
        <w:t>O</w:t>
      </w:r>
      <w:r>
        <w:rPr>
          <w:rFonts w:ascii="宋体" w:hAnsi="宋体"/>
          <w:bCs/>
          <w:color w:val="auto"/>
          <w:sz w:val="24"/>
          <w:vertAlign w:val="subscript"/>
        </w:rPr>
        <w:t>3</w:t>
      </w:r>
      <w:r>
        <w:rPr>
          <w:rFonts w:ascii="宋体" w:hAnsi="宋体"/>
          <w:bCs/>
          <w:color w:val="auto"/>
          <w:sz w:val="24"/>
        </w:rPr>
        <w:t>最小0.48%，最大0.95%，平均0.66%。TiO</w:t>
      </w:r>
      <w:r>
        <w:rPr>
          <w:rFonts w:ascii="宋体" w:hAnsi="宋体"/>
          <w:bCs/>
          <w:color w:val="auto"/>
          <w:sz w:val="24"/>
          <w:vertAlign w:val="subscript"/>
        </w:rPr>
        <w:t>2</w:t>
      </w:r>
      <w:r>
        <w:rPr>
          <w:rFonts w:ascii="宋体" w:hAnsi="宋体"/>
          <w:bCs/>
          <w:color w:val="auto"/>
          <w:sz w:val="24"/>
        </w:rPr>
        <w:t>最小0.038%，最大0.11%，平均0.073%。</w:t>
      </w:r>
    </w:p>
    <w:p>
      <w:pPr>
        <w:widowControl/>
        <w:spacing w:line="500" w:lineRule="exact"/>
        <w:ind w:firstLine="480" w:firstLineChars="200"/>
        <w:rPr>
          <w:rFonts w:ascii="宋体" w:hAnsi="宋体"/>
          <w:bCs/>
          <w:color w:val="auto"/>
          <w:sz w:val="24"/>
        </w:rPr>
      </w:pPr>
      <w:r>
        <w:rPr>
          <w:rFonts w:hint="eastAsia" w:ascii="宋体" w:hAnsi="宋体"/>
          <w:bCs/>
          <w:color w:val="auto"/>
          <w:sz w:val="24"/>
        </w:rPr>
        <w:t>（2）</w:t>
      </w:r>
      <w:r>
        <w:rPr>
          <w:rFonts w:ascii="宋体" w:hAnsi="宋体"/>
          <w:bCs/>
          <w:color w:val="auto"/>
          <w:sz w:val="24"/>
        </w:rPr>
        <w:t>组合分析：SiO</w:t>
      </w:r>
      <w:r>
        <w:rPr>
          <w:rFonts w:ascii="宋体" w:hAnsi="宋体"/>
          <w:bCs/>
          <w:color w:val="auto"/>
          <w:sz w:val="24"/>
          <w:vertAlign w:val="subscript"/>
        </w:rPr>
        <w:t>2</w:t>
      </w:r>
      <w:r>
        <w:rPr>
          <w:rFonts w:ascii="宋体" w:hAnsi="宋体"/>
          <w:bCs/>
          <w:color w:val="auto"/>
          <w:sz w:val="24"/>
        </w:rPr>
        <w:t>最小73.83%，最大75.46%，平均74.42%,CaO最小0.11%，最大0.17%，平均0.14%。MgO最小0.19%，最大0.31%，平均0.25%。K</w:t>
      </w:r>
      <w:r>
        <w:rPr>
          <w:rFonts w:ascii="宋体" w:hAnsi="宋体"/>
          <w:bCs/>
          <w:color w:val="auto"/>
          <w:sz w:val="24"/>
          <w:vertAlign w:val="subscript"/>
        </w:rPr>
        <w:t>2</w:t>
      </w:r>
      <w:r>
        <w:rPr>
          <w:rFonts w:ascii="宋体" w:hAnsi="宋体"/>
          <w:bCs/>
          <w:color w:val="auto"/>
          <w:sz w:val="24"/>
        </w:rPr>
        <w:t>O最小2.76%，最大3.18%，平均2.99%,Na</w:t>
      </w:r>
      <w:r>
        <w:rPr>
          <w:rFonts w:ascii="宋体" w:hAnsi="宋体"/>
          <w:bCs/>
          <w:color w:val="auto"/>
          <w:sz w:val="24"/>
          <w:vertAlign w:val="subscript"/>
        </w:rPr>
        <w:t>2</w:t>
      </w:r>
      <w:r>
        <w:rPr>
          <w:rFonts w:ascii="宋体" w:hAnsi="宋体"/>
          <w:bCs/>
          <w:color w:val="auto"/>
          <w:sz w:val="24"/>
        </w:rPr>
        <w:t>O最小0.082%，最大0.105%，平均0.095%,SO</w:t>
      </w:r>
      <w:r>
        <w:rPr>
          <w:rFonts w:ascii="宋体" w:hAnsi="宋体"/>
          <w:bCs/>
          <w:color w:val="auto"/>
          <w:sz w:val="24"/>
          <w:vertAlign w:val="subscript"/>
        </w:rPr>
        <w:t>3</w:t>
      </w:r>
      <w:r>
        <w:rPr>
          <w:rFonts w:ascii="宋体" w:hAnsi="宋体"/>
          <w:bCs/>
          <w:color w:val="auto"/>
          <w:sz w:val="24"/>
        </w:rPr>
        <w:t>最小0.002%，最大0.003%，平均0.003%。灼矢量最小2.31%，最大2.75%，平均2.57%，淘洗率最小36.13%，最大37.88%，平均36.91%。</w:t>
      </w:r>
    </w:p>
    <w:p>
      <w:pPr>
        <w:widowControl/>
        <w:spacing w:line="500" w:lineRule="exact"/>
        <w:ind w:firstLine="480" w:firstLineChars="200"/>
        <w:rPr>
          <w:rFonts w:ascii="宋体" w:hAnsi="宋体"/>
          <w:bCs/>
          <w:color w:val="auto"/>
          <w:sz w:val="24"/>
        </w:rPr>
      </w:pPr>
      <w:r>
        <w:rPr>
          <w:rFonts w:ascii="宋体" w:hAnsi="宋体"/>
          <w:bCs/>
          <w:color w:val="auto"/>
          <w:sz w:val="24"/>
        </w:rPr>
        <w:t>上述情况表明，矿石质量均达到工业指标要求，而有害组分含量较低。</w:t>
      </w:r>
    </w:p>
    <w:p>
      <w:pPr>
        <w:widowControl/>
        <w:spacing w:line="500" w:lineRule="exact"/>
        <w:ind w:firstLine="480" w:firstLineChars="200"/>
        <w:rPr>
          <w:rFonts w:ascii="宋体" w:hAnsi="宋体"/>
          <w:bCs/>
          <w:color w:val="auto"/>
          <w:sz w:val="24"/>
        </w:rPr>
      </w:pPr>
      <w:r>
        <w:rPr>
          <w:rFonts w:hint="eastAsia" w:ascii="宋体" w:hAnsi="宋体"/>
          <w:bCs/>
          <w:color w:val="auto"/>
          <w:sz w:val="24"/>
        </w:rPr>
        <w:t>3）</w:t>
      </w:r>
      <w:r>
        <w:rPr>
          <w:rFonts w:ascii="宋体" w:hAnsi="宋体"/>
          <w:bCs/>
          <w:color w:val="auto"/>
          <w:sz w:val="24"/>
        </w:rPr>
        <w:t>矿石放射性含量测定</w:t>
      </w:r>
    </w:p>
    <w:p>
      <w:pPr>
        <w:widowControl/>
        <w:spacing w:line="500" w:lineRule="exact"/>
        <w:ind w:firstLine="480" w:firstLineChars="200"/>
        <w:rPr>
          <w:rFonts w:ascii="宋体" w:hAnsi="宋体"/>
          <w:bCs/>
          <w:color w:val="auto"/>
          <w:sz w:val="24"/>
        </w:rPr>
      </w:pPr>
      <w:r>
        <w:rPr>
          <w:rFonts w:ascii="宋体" w:hAnsi="宋体"/>
          <w:bCs/>
          <w:color w:val="auto"/>
          <w:sz w:val="24"/>
        </w:rPr>
        <w:t>本次工作采取的放射性样品送国土资源部放射性矿产资源监督检测中心进行放射性含量检测，检验结果为：C</w:t>
      </w:r>
      <w:r>
        <w:rPr>
          <w:rFonts w:ascii="宋体" w:hAnsi="宋体"/>
          <w:bCs/>
          <w:color w:val="auto"/>
          <w:sz w:val="24"/>
          <w:vertAlign w:val="subscript"/>
        </w:rPr>
        <w:t>Ra</w:t>
      </w:r>
      <w:r>
        <w:rPr>
          <w:rFonts w:ascii="宋体" w:hAnsi="宋体"/>
          <w:bCs/>
          <w:color w:val="auto"/>
          <w:sz w:val="24"/>
        </w:rPr>
        <w:t>=62.70Bq∕kg，C</w:t>
      </w:r>
      <w:r>
        <w:rPr>
          <w:rFonts w:ascii="宋体" w:hAnsi="宋体"/>
          <w:bCs/>
          <w:color w:val="auto"/>
          <w:sz w:val="24"/>
          <w:vertAlign w:val="subscript"/>
        </w:rPr>
        <w:t>Th</w:t>
      </w:r>
      <w:r>
        <w:rPr>
          <w:rFonts w:ascii="宋体" w:hAnsi="宋体"/>
          <w:bCs/>
          <w:color w:val="auto"/>
          <w:sz w:val="24"/>
        </w:rPr>
        <w:t>=128.80Bq∕kg，C</w:t>
      </w:r>
      <w:r>
        <w:rPr>
          <w:rFonts w:ascii="宋体" w:hAnsi="宋体"/>
          <w:bCs/>
          <w:color w:val="auto"/>
          <w:sz w:val="24"/>
          <w:vertAlign w:val="subscript"/>
        </w:rPr>
        <w:t>k</w:t>
      </w:r>
      <w:r>
        <w:rPr>
          <w:rFonts w:ascii="宋体" w:hAnsi="宋体"/>
          <w:bCs/>
          <w:color w:val="auto"/>
          <w:sz w:val="24"/>
        </w:rPr>
        <w:t>=912.0Bq∕kg，I</w:t>
      </w:r>
      <w:r>
        <w:rPr>
          <w:rFonts w:ascii="宋体" w:hAnsi="宋体"/>
          <w:bCs/>
          <w:color w:val="auto"/>
          <w:sz w:val="24"/>
          <w:vertAlign w:val="subscript"/>
        </w:rPr>
        <w:t>Ra</w:t>
      </w:r>
      <w:r>
        <w:rPr>
          <w:rFonts w:ascii="宋体" w:hAnsi="宋体"/>
          <w:bCs/>
          <w:color w:val="auto"/>
          <w:sz w:val="24"/>
        </w:rPr>
        <w:t>=0.30，I</w:t>
      </w:r>
      <w:r>
        <w:rPr>
          <w:rFonts w:ascii="宋体" w:hAnsi="宋体"/>
          <w:bCs/>
          <w:color w:val="auto"/>
          <w:sz w:val="24"/>
          <w:vertAlign w:val="subscript"/>
        </w:rPr>
        <w:t>r</w:t>
      </w:r>
      <w:r>
        <w:rPr>
          <w:rFonts w:ascii="宋体" w:hAnsi="宋体"/>
          <w:bCs/>
          <w:color w:val="auto"/>
          <w:sz w:val="24"/>
        </w:rPr>
        <w:t>=0.90。其比活度同时满足I</w:t>
      </w:r>
      <w:r>
        <w:rPr>
          <w:rFonts w:ascii="宋体" w:hAnsi="宋体"/>
          <w:bCs/>
          <w:color w:val="auto"/>
          <w:sz w:val="24"/>
          <w:vertAlign w:val="subscript"/>
        </w:rPr>
        <w:t>Ra</w:t>
      </w:r>
      <w:r>
        <w:rPr>
          <w:rFonts w:ascii="宋体" w:hAnsi="宋体"/>
          <w:bCs/>
          <w:color w:val="auto"/>
          <w:sz w:val="24"/>
        </w:rPr>
        <w:t>≤1.0和I</w:t>
      </w:r>
      <w:r>
        <w:rPr>
          <w:rFonts w:ascii="宋体" w:hAnsi="宋体"/>
          <w:bCs/>
          <w:color w:val="auto"/>
          <w:sz w:val="24"/>
          <w:vertAlign w:val="subscript"/>
        </w:rPr>
        <w:t>r</w:t>
      </w:r>
      <w:r>
        <w:rPr>
          <w:rFonts w:ascii="宋体" w:hAnsi="宋体"/>
          <w:bCs/>
          <w:color w:val="auto"/>
          <w:sz w:val="24"/>
        </w:rPr>
        <w:t>≤1.0。属A类，其产销和使用范围不受限制。</w:t>
      </w:r>
    </w:p>
    <w:p>
      <w:pPr>
        <w:widowControl/>
        <w:spacing w:line="500" w:lineRule="exact"/>
        <w:ind w:firstLine="480" w:firstLineChars="200"/>
        <w:rPr>
          <w:rFonts w:ascii="宋体" w:hAnsi="宋体"/>
          <w:bCs/>
          <w:color w:val="auto"/>
          <w:sz w:val="24"/>
        </w:rPr>
      </w:pPr>
      <w:r>
        <w:rPr>
          <w:rFonts w:hint="eastAsia" w:ascii="宋体" w:hAnsi="宋体"/>
          <w:bCs/>
          <w:color w:val="auto"/>
          <w:sz w:val="24"/>
        </w:rPr>
        <w:t>4）</w:t>
      </w:r>
      <w:r>
        <w:rPr>
          <w:rFonts w:ascii="宋体" w:hAnsi="宋体"/>
          <w:bCs/>
          <w:color w:val="auto"/>
          <w:sz w:val="24"/>
        </w:rPr>
        <w:t>矿石体重</w:t>
      </w:r>
    </w:p>
    <w:p>
      <w:pPr>
        <w:widowControl/>
        <w:spacing w:line="500" w:lineRule="exact"/>
        <w:ind w:firstLine="480" w:firstLineChars="200"/>
        <w:rPr>
          <w:rFonts w:ascii="宋体" w:hAnsi="宋体"/>
          <w:bCs/>
          <w:color w:val="auto"/>
          <w:sz w:val="24"/>
        </w:rPr>
      </w:pPr>
      <w:r>
        <w:rPr>
          <w:rFonts w:ascii="宋体" w:hAnsi="宋体"/>
          <w:bCs/>
          <w:color w:val="auto"/>
          <w:sz w:val="24"/>
        </w:rPr>
        <w:t>经检验，小体重：值为1.60、1.55、1.70g/cm</w:t>
      </w:r>
      <w:r>
        <w:rPr>
          <w:rFonts w:ascii="宋体" w:hAnsi="宋体"/>
          <w:bCs/>
          <w:color w:val="auto"/>
          <w:sz w:val="24"/>
          <w:vertAlign w:val="superscript"/>
        </w:rPr>
        <w:t>3</w:t>
      </w:r>
      <w:r>
        <w:rPr>
          <w:rFonts w:ascii="宋体" w:hAnsi="宋体"/>
          <w:bCs/>
          <w:color w:val="auto"/>
          <w:sz w:val="24"/>
        </w:rPr>
        <w:t>，平均值为1.60g/cm</w:t>
      </w:r>
      <w:r>
        <w:rPr>
          <w:rFonts w:ascii="宋体" w:hAnsi="宋体"/>
          <w:bCs/>
          <w:color w:val="auto"/>
          <w:sz w:val="24"/>
          <w:vertAlign w:val="superscript"/>
        </w:rPr>
        <w:t>3</w:t>
      </w:r>
      <w:r>
        <w:rPr>
          <w:rFonts w:ascii="宋体" w:hAnsi="宋体"/>
          <w:bCs/>
          <w:color w:val="auto"/>
          <w:sz w:val="24"/>
        </w:rPr>
        <w:t>。</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2.3.4水文地质条件</w:t>
      </w:r>
    </w:p>
    <w:p>
      <w:pPr>
        <w:widowControl/>
        <w:spacing w:line="500" w:lineRule="exact"/>
        <w:ind w:firstLine="480" w:firstLineChars="200"/>
        <w:rPr>
          <w:rFonts w:ascii="宋体" w:hAnsi="宋体"/>
          <w:bCs/>
          <w:color w:val="auto"/>
          <w:sz w:val="24"/>
        </w:rPr>
      </w:pPr>
      <w:r>
        <w:rPr>
          <w:rFonts w:ascii="宋体" w:hAnsi="宋体"/>
          <w:bCs/>
          <w:color w:val="auto"/>
          <w:sz w:val="24"/>
        </w:rPr>
        <w:t>矿体两侧各有一条北西向小山沟，山沟平时有小流量的泉水流淌，遇降水时流量增大。矿体开采底板标高最低处高出山沟洪水水位线，降雨不会在露天开采场地形成大的积水面。矿区地表水补充主要为大气降雨，如有大的降雨均可注入矿体两侧山沟后自然排泄。矿区水文地质属简单类型。</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2.3.5工程地质条件</w:t>
      </w:r>
    </w:p>
    <w:p>
      <w:pPr>
        <w:widowControl/>
        <w:spacing w:line="500" w:lineRule="exact"/>
        <w:ind w:firstLine="480" w:firstLineChars="200"/>
        <w:rPr>
          <w:rFonts w:ascii="宋体" w:hAnsi="宋体"/>
          <w:bCs/>
          <w:color w:val="auto"/>
          <w:sz w:val="24"/>
        </w:rPr>
      </w:pPr>
      <w:r>
        <w:rPr>
          <w:rFonts w:hint="eastAsia" w:ascii="宋体" w:hAnsi="宋体"/>
          <w:bCs/>
          <w:color w:val="auto"/>
          <w:sz w:val="24"/>
        </w:rPr>
        <w:t>高岭土矿埋藏相对较浅，便于露天开采，矿体两侧围岩为花岗岩，未风化围岩致密坚硬，不易垮塌，但因其表层花岗岩风化程度普遍达4～6m厚，故应分阶段剥离表层，且坡度角应≤45°，剥离物应堆入在山坡下方。采矿过程中，应特别注意花岗岩风化层的观察，尤其在雨天过后更应认真检查，确无险情才可采挖，以确保安全生产。</w:t>
      </w:r>
    </w:p>
    <w:p>
      <w:pPr>
        <w:widowControl/>
        <w:spacing w:line="500" w:lineRule="exact"/>
        <w:ind w:firstLine="480" w:firstLineChars="200"/>
        <w:rPr>
          <w:rFonts w:ascii="宋体" w:hAnsi="宋体"/>
          <w:bCs/>
          <w:color w:val="auto"/>
          <w:sz w:val="24"/>
        </w:rPr>
      </w:pPr>
      <w:r>
        <w:rPr>
          <w:rFonts w:hint="eastAsia" w:ascii="宋体" w:hAnsi="宋体"/>
          <w:bCs/>
          <w:color w:val="auto"/>
          <w:sz w:val="24"/>
        </w:rPr>
        <w:t>本区矿床属于浅埋型矿床，矿体没有断层通过。矿体及围岩顶部为花岗岩风化而成的第四系土层，覆盖厚度不大，矿体露天开采时采取从上而下的台阶式开采；矿体及围岩强风化岩层厚度不均，普遍厚度较小；弱风化岩层的岩石强度较高，稳定性较好，后续开采为削山头式的露天开采，严格按开采规范进行开采，影响较小，综合评定矿区工程地质条件简单。</w:t>
      </w:r>
    </w:p>
    <w:bookmarkEnd w:id="126"/>
    <w:bookmarkEnd w:id="127"/>
    <w:bookmarkEnd w:id="128"/>
    <w:bookmarkEnd w:id="129"/>
    <w:bookmarkEnd w:id="130"/>
    <w:bookmarkEnd w:id="131"/>
    <w:bookmarkEnd w:id="132"/>
    <w:bookmarkEnd w:id="135"/>
    <w:bookmarkEnd w:id="136"/>
    <w:bookmarkEnd w:id="137"/>
    <w:bookmarkEnd w:id="138"/>
    <w:p>
      <w:pPr>
        <w:pStyle w:val="4"/>
        <w:keepLines w:val="0"/>
        <w:widowControl/>
        <w:spacing w:before="120" w:after="120" w:line="500" w:lineRule="exact"/>
        <w:rPr>
          <w:rFonts w:ascii="宋体" w:hAnsi="宋体" w:eastAsia="宋体"/>
          <w:b/>
          <w:bCs w:val="0"/>
          <w:color w:val="auto"/>
          <w:kern w:val="28"/>
          <w:sz w:val="28"/>
          <w:szCs w:val="28"/>
        </w:rPr>
      </w:pPr>
      <w:bookmarkStart w:id="143" w:name="_Toc194551639"/>
      <w:bookmarkStart w:id="144" w:name="_Toc193789358"/>
      <w:bookmarkStart w:id="145" w:name="_Toc233881334"/>
      <w:bookmarkStart w:id="146" w:name="_Toc194481347"/>
      <w:bookmarkStart w:id="147" w:name="_Toc193792557"/>
      <w:bookmarkStart w:id="148" w:name="_Toc193792448"/>
      <w:bookmarkStart w:id="149" w:name="_Toc150262773"/>
      <w:bookmarkStart w:id="150" w:name="_Toc86571535"/>
      <w:bookmarkStart w:id="151" w:name="_Toc168484305"/>
      <w:bookmarkStart w:id="152" w:name="_Toc109632304"/>
      <w:bookmarkStart w:id="153" w:name="_Toc85597590"/>
      <w:bookmarkStart w:id="154" w:name="_Toc84995646"/>
      <w:bookmarkStart w:id="155" w:name="_Toc97627333"/>
      <w:bookmarkStart w:id="156" w:name="_Toc85267442"/>
      <w:bookmarkStart w:id="157" w:name="_Toc198106909"/>
      <w:bookmarkStart w:id="158" w:name="_Toc86222957"/>
      <w:bookmarkStart w:id="159" w:name="_Toc85251501"/>
      <w:bookmarkStart w:id="160" w:name="_Toc158167842"/>
      <w:bookmarkStart w:id="161" w:name="_Toc156811366"/>
      <w:bookmarkStart w:id="162" w:name="_Toc158167955"/>
      <w:bookmarkStart w:id="163" w:name="_Toc149559788"/>
      <w:bookmarkStart w:id="164" w:name="_Toc86571213"/>
      <w:bookmarkStart w:id="165" w:name="_Toc85251592"/>
      <w:r>
        <w:rPr>
          <w:rFonts w:hint="eastAsia" w:ascii="宋体" w:hAnsi="宋体" w:eastAsia="宋体"/>
          <w:b/>
          <w:bCs w:val="0"/>
          <w:color w:val="auto"/>
          <w:kern w:val="28"/>
          <w:sz w:val="28"/>
          <w:szCs w:val="28"/>
        </w:rPr>
        <w:t>2.4工程建设</w:t>
      </w:r>
      <w:bookmarkEnd w:id="143"/>
      <w:bookmarkEnd w:id="144"/>
      <w:bookmarkEnd w:id="145"/>
      <w:bookmarkEnd w:id="146"/>
      <w:bookmarkEnd w:id="147"/>
      <w:bookmarkEnd w:id="148"/>
      <w:r>
        <w:rPr>
          <w:rFonts w:hint="eastAsia" w:ascii="宋体" w:hAnsi="宋体" w:eastAsia="宋体"/>
          <w:b/>
          <w:bCs w:val="0"/>
          <w:color w:val="auto"/>
          <w:kern w:val="28"/>
          <w:sz w:val="28"/>
          <w:szCs w:val="28"/>
        </w:rPr>
        <w:t>方案概况</w:t>
      </w:r>
      <w:bookmarkEnd w:id="149"/>
    </w:p>
    <w:p>
      <w:pPr>
        <w:pStyle w:val="5"/>
        <w:keepLines w:val="0"/>
        <w:widowControl/>
        <w:spacing w:before="120" w:after="120" w:line="500" w:lineRule="exact"/>
        <w:rPr>
          <w:rFonts w:ascii="宋体" w:hAnsi="宋体"/>
          <w:color w:val="auto"/>
          <w:kern w:val="28"/>
          <w:sz w:val="28"/>
          <w:szCs w:val="28"/>
        </w:rPr>
      </w:pPr>
      <w:bookmarkStart w:id="166" w:name="_Toc233881336"/>
      <w:bookmarkStart w:id="167" w:name="_Toc213727804"/>
      <w:r>
        <w:rPr>
          <w:rFonts w:ascii="宋体" w:hAnsi="宋体"/>
          <w:color w:val="auto"/>
          <w:kern w:val="28"/>
          <w:sz w:val="28"/>
          <w:szCs w:val="28"/>
        </w:rPr>
        <w:t>2.4.1矿山开采现状</w:t>
      </w:r>
    </w:p>
    <w:p>
      <w:pPr>
        <w:widowControl/>
        <w:spacing w:line="500" w:lineRule="exact"/>
        <w:ind w:firstLine="480" w:firstLineChars="200"/>
        <w:rPr>
          <w:rFonts w:ascii="宋体" w:hAnsi="宋体"/>
          <w:color w:val="auto"/>
          <w:sz w:val="24"/>
        </w:rPr>
      </w:pPr>
      <w:r>
        <w:rPr>
          <w:rFonts w:hint="eastAsia" w:ascii="宋体" w:hAnsi="宋体"/>
          <w:color w:val="auto"/>
          <w:sz w:val="24"/>
        </w:rPr>
        <w:t>矿山在2014年8月获颁采矿许可证前，对矿区范围东南部进行过探采活动。采用露天台阶开采方式，采用挖掘机剥离覆盖层，用挖掘机、铲车直接装车运至堆场。目前，矿区东南部已基本剥离，剥离高度由标高+297m至+336m，并形成了高度约5m的多级台阶，边坡基本稳定。另外，企业在矿区东北部3号勘探线以北的采场内布置了数座水池，压占了东北部的矿石储量。</w:t>
      </w:r>
    </w:p>
    <w:p>
      <w:pPr>
        <w:widowControl/>
        <w:spacing w:line="500" w:lineRule="exact"/>
        <w:ind w:firstLine="480" w:firstLineChars="200"/>
        <w:rPr>
          <w:rFonts w:ascii="宋体" w:hAnsi="宋体"/>
          <w:color w:val="auto"/>
          <w:sz w:val="24"/>
        </w:rPr>
      </w:pPr>
      <w:r>
        <w:rPr>
          <w:rFonts w:hint="eastAsia" w:ascii="宋体" w:hAnsi="宋体"/>
          <w:color w:val="auto"/>
          <w:sz w:val="24"/>
        </w:rPr>
        <w:t>矿山原开采面、简易道路、排土场、办公生活区均可利旧。</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2</w:t>
      </w:r>
      <w:r>
        <w:rPr>
          <w:rFonts w:hint="eastAsia" w:ascii="宋体" w:hAnsi="宋体"/>
          <w:color w:val="auto"/>
          <w:kern w:val="28"/>
          <w:sz w:val="28"/>
          <w:szCs w:val="28"/>
        </w:rPr>
        <w:t>建设规模及工作制度</w:t>
      </w:r>
    </w:p>
    <w:p>
      <w:pPr>
        <w:widowControl/>
        <w:spacing w:line="500" w:lineRule="exact"/>
        <w:ind w:firstLine="482" w:firstLineChars="200"/>
        <w:rPr>
          <w:rFonts w:ascii="宋体" w:hAnsi="宋体"/>
          <w:b/>
          <w:color w:val="auto"/>
          <w:sz w:val="24"/>
        </w:rPr>
      </w:pPr>
      <w:r>
        <w:rPr>
          <w:rFonts w:hint="eastAsia" w:ascii="宋体" w:hAnsi="宋体"/>
          <w:b/>
          <w:color w:val="auto"/>
          <w:sz w:val="24"/>
        </w:rPr>
        <w:t>1）</w:t>
      </w:r>
      <w:r>
        <w:rPr>
          <w:rFonts w:ascii="宋体" w:hAnsi="宋体"/>
          <w:b/>
          <w:color w:val="auto"/>
          <w:sz w:val="24"/>
        </w:rPr>
        <w:t>地质储量及范围</w:t>
      </w:r>
    </w:p>
    <w:p>
      <w:pPr>
        <w:widowControl/>
        <w:spacing w:line="500" w:lineRule="exact"/>
        <w:ind w:firstLine="480" w:firstLineChars="200"/>
        <w:rPr>
          <w:rFonts w:ascii="宋体" w:hAnsi="宋体"/>
          <w:color w:val="auto"/>
          <w:sz w:val="24"/>
        </w:rPr>
      </w:pPr>
      <w:r>
        <w:rPr>
          <w:rFonts w:hint="eastAsia" w:ascii="宋体" w:hAnsi="宋体" w:cs="宋体"/>
          <w:color w:val="auto"/>
          <w:sz w:val="24"/>
        </w:rPr>
        <w:t>根据《兴宁市守元矿业有限公司军营高岭土矿分公司2022年度矿山储量动态检测报告》（广东煤炭地质一五二勘探队，2023年5月），截止2023年2月26日，本次矿区范围内累计查明陶瓷用高岭土矿资源储量294.29kt，历年采耗资源量为65.25kt；矿山保有资源量229.04kt，其中：保有控制资源量150.44kt，保有推断资源量78.60kt。</w:t>
      </w:r>
    </w:p>
    <w:p>
      <w:pPr>
        <w:widowControl/>
        <w:spacing w:line="500" w:lineRule="exact"/>
        <w:ind w:firstLine="482" w:firstLineChars="200"/>
        <w:rPr>
          <w:rFonts w:ascii="宋体" w:hAnsi="宋体"/>
          <w:b/>
          <w:color w:val="auto"/>
          <w:sz w:val="24"/>
        </w:rPr>
      </w:pPr>
      <w:r>
        <w:rPr>
          <w:rFonts w:hint="eastAsia" w:ascii="宋体" w:hAnsi="宋体"/>
          <w:b/>
          <w:color w:val="auto"/>
          <w:sz w:val="24"/>
        </w:rPr>
        <w:t>2）设计利用储量</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根据可行性研究报告，矿山可利用资源量为</w:t>
      </w:r>
      <w:r>
        <w:rPr>
          <w:rFonts w:ascii="宋体" w:hAnsi="宋体"/>
          <w:color w:val="auto"/>
          <w:sz w:val="24"/>
        </w:rPr>
        <w:t>22.9</w:t>
      </w:r>
      <w:r>
        <w:rPr>
          <w:rFonts w:hint="eastAsia" w:ascii="宋体" w:hAnsi="宋体"/>
          <w:color w:val="auto"/>
          <w:sz w:val="24"/>
        </w:rPr>
        <w:t>万t。</w:t>
      </w:r>
    </w:p>
    <w:p>
      <w:pPr>
        <w:widowControl/>
        <w:spacing w:line="500" w:lineRule="exact"/>
        <w:ind w:firstLine="482" w:firstLineChars="200"/>
        <w:rPr>
          <w:rFonts w:ascii="宋体" w:hAnsi="宋体"/>
          <w:b/>
          <w:color w:val="auto"/>
          <w:sz w:val="24"/>
        </w:rPr>
      </w:pPr>
      <w:r>
        <w:rPr>
          <w:rFonts w:ascii="宋体" w:hAnsi="宋体"/>
          <w:b/>
          <w:color w:val="auto"/>
          <w:sz w:val="24"/>
        </w:rPr>
        <w:t>3</w:t>
      </w:r>
      <w:r>
        <w:rPr>
          <w:rFonts w:hint="eastAsia" w:ascii="宋体" w:hAnsi="宋体"/>
          <w:b/>
          <w:color w:val="auto"/>
          <w:sz w:val="24"/>
        </w:rPr>
        <w:t>）设计采出储量</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根据可行性研究报告，矿山可采储量为20.71万t。</w:t>
      </w:r>
    </w:p>
    <w:p>
      <w:pPr>
        <w:widowControl/>
        <w:spacing w:line="500" w:lineRule="exact"/>
        <w:ind w:firstLine="482" w:firstLineChars="200"/>
        <w:rPr>
          <w:rFonts w:ascii="宋体" w:hAnsi="宋体"/>
          <w:b/>
          <w:color w:val="auto"/>
          <w:sz w:val="24"/>
        </w:rPr>
      </w:pPr>
      <w:r>
        <w:rPr>
          <w:rFonts w:ascii="宋体" w:hAnsi="宋体"/>
          <w:b/>
          <w:color w:val="auto"/>
          <w:sz w:val="24"/>
        </w:rPr>
        <w:t>4</w:t>
      </w:r>
      <w:r>
        <w:rPr>
          <w:rFonts w:hint="eastAsia" w:ascii="宋体" w:hAnsi="宋体"/>
          <w:b/>
          <w:color w:val="auto"/>
          <w:sz w:val="24"/>
        </w:rPr>
        <w:t>）建设规模</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根据可行性研究报告及</w:t>
      </w:r>
      <w:r>
        <w:rPr>
          <w:rFonts w:ascii="宋体" w:hAnsi="宋体"/>
          <w:color w:val="auto"/>
          <w:sz w:val="24"/>
        </w:rPr>
        <w:t>《采矿许可证》</w:t>
      </w:r>
      <w:r>
        <w:rPr>
          <w:rFonts w:hint="eastAsia" w:ascii="宋体" w:hAnsi="宋体"/>
          <w:color w:val="auto"/>
          <w:sz w:val="24"/>
        </w:rPr>
        <w:t>，矿山建设规模为5万t/年。</w:t>
      </w:r>
    </w:p>
    <w:p>
      <w:pPr>
        <w:widowControl/>
        <w:spacing w:line="500" w:lineRule="exact"/>
        <w:ind w:firstLine="482" w:firstLineChars="200"/>
        <w:rPr>
          <w:rFonts w:ascii="宋体" w:hAnsi="宋体"/>
          <w:b/>
          <w:color w:val="auto"/>
          <w:sz w:val="24"/>
        </w:rPr>
      </w:pPr>
      <w:r>
        <w:rPr>
          <w:rFonts w:ascii="宋体" w:hAnsi="宋体"/>
          <w:b/>
          <w:color w:val="auto"/>
          <w:sz w:val="24"/>
        </w:rPr>
        <w:t>5</w:t>
      </w:r>
      <w:r>
        <w:rPr>
          <w:rFonts w:hint="eastAsia" w:ascii="宋体" w:hAnsi="宋体"/>
          <w:b/>
          <w:color w:val="auto"/>
          <w:sz w:val="24"/>
        </w:rPr>
        <w:t>）服务年限</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根据可行性研究报告，矿山总服务年限约</w:t>
      </w:r>
      <w:r>
        <w:rPr>
          <w:rFonts w:ascii="宋体" w:hAnsi="宋体"/>
          <w:color w:val="auto"/>
          <w:sz w:val="24"/>
        </w:rPr>
        <w:t>5.6</w:t>
      </w:r>
      <w:r>
        <w:rPr>
          <w:rFonts w:hint="eastAsia" w:ascii="宋体" w:hAnsi="宋体"/>
          <w:color w:val="auto"/>
          <w:sz w:val="24"/>
        </w:rPr>
        <w:t>年。</w:t>
      </w:r>
    </w:p>
    <w:p>
      <w:pPr>
        <w:widowControl/>
        <w:spacing w:line="500" w:lineRule="exact"/>
        <w:ind w:firstLine="482" w:firstLineChars="200"/>
        <w:rPr>
          <w:rFonts w:ascii="宋体" w:hAnsi="宋体"/>
          <w:b/>
          <w:color w:val="auto"/>
          <w:sz w:val="24"/>
        </w:rPr>
      </w:pPr>
      <w:r>
        <w:rPr>
          <w:rFonts w:ascii="宋体" w:hAnsi="宋体"/>
          <w:b/>
          <w:color w:val="auto"/>
          <w:sz w:val="24"/>
        </w:rPr>
        <w:t>6</w:t>
      </w:r>
      <w:r>
        <w:rPr>
          <w:rFonts w:hint="eastAsia" w:ascii="宋体" w:hAnsi="宋体"/>
          <w:b/>
          <w:color w:val="auto"/>
          <w:sz w:val="24"/>
        </w:rPr>
        <w:t>）产品方案</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根据可行性研究报告，矿山产品方案为石英斑岩经风化形成的陶瓷用高岭土。</w:t>
      </w:r>
    </w:p>
    <w:p>
      <w:pPr>
        <w:widowControl/>
        <w:spacing w:line="500" w:lineRule="exact"/>
        <w:ind w:firstLine="482" w:firstLineChars="200"/>
        <w:rPr>
          <w:rFonts w:ascii="宋体" w:hAnsi="宋体"/>
          <w:b/>
          <w:color w:val="auto"/>
          <w:sz w:val="24"/>
        </w:rPr>
      </w:pPr>
      <w:r>
        <w:rPr>
          <w:rFonts w:ascii="宋体" w:hAnsi="宋体"/>
          <w:b/>
          <w:color w:val="auto"/>
          <w:sz w:val="24"/>
        </w:rPr>
        <w:t>7</w:t>
      </w:r>
      <w:r>
        <w:rPr>
          <w:rFonts w:hint="eastAsia" w:ascii="宋体" w:hAnsi="宋体"/>
          <w:b/>
          <w:color w:val="auto"/>
          <w:sz w:val="24"/>
        </w:rPr>
        <w:t>）工作制度</w:t>
      </w:r>
    </w:p>
    <w:p>
      <w:pPr>
        <w:widowControl/>
        <w:spacing w:line="500" w:lineRule="exact"/>
        <w:ind w:firstLine="456" w:firstLineChars="200"/>
        <w:rPr>
          <w:rFonts w:ascii="宋体" w:hAnsi="宋体"/>
          <w:color w:val="auto"/>
          <w:sz w:val="24"/>
        </w:rPr>
      </w:pPr>
      <w:r>
        <w:rPr>
          <w:rFonts w:hint="eastAsia" w:ascii="宋体" w:hAnsi="宋体"/>
          <w:color w:val="auto"/>
          <w:spacing w:val="-6"/>
          <w:sz w:val="24"/>
        </w:rPr>
        <w:t>根据可行性研究报告，矿山采用间断工作制度，年工作280d，每天1班，每班工作8h。</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bookmarkEnd w:id="166"/>
      <w:bookmarkEnd w:id="167"/>
      <w:r>
        <w:rPr>
          <w:rFonts w:ascii="宋体" w:hAnsi="宋体"/>
          <w:color w:val="auto"/>
          <w:kern w:val="28"/>
          <w:sz w:val="28"/>
          <w:szCs w:val="28"/>
        </w:rPr>
        <w:t>3</w:t>
      </w:r>
      <w:r>
        <w:rPr>
          <w:rFonts w:hint="eastAsia" w:ascii="宋体" w:hAnsi="宋体"/>
          <w:color w:val="auto"/>
          <w:kern w:val="28"/>
          <w:sz w:val="28"/>
          <w:szCs w:val="28"/>
        </w:rPr>
        <w:t>总图运输</w:t>
      </w:r>
    </w:p>
    <w:p>
      <w:pPr>
        <w:widowControl/>
        <w:spacing w:line="500" w:lineRule="exact"/>
        <w:ind w:firstLine="480" w:firstLineChars="200"/>
        <w:rPr>
          <w:rFonts w:ascii="宋体" w:hAnsi="宋体"/>
          <w:color w:val="auto"/>
          <w:sz w:val="24"/>
        </w:rPr>
      </w:pPr>
      <w:r>
        <w:rPr>
          <w:rFonts w:hint="eastAsia" w:ascii="宋体" w:hAnsi="宋体"/>
          <w:color w:val="auto"/>
          <w:sz w:val="24"/>
        </w:rPr>
        <w:t>本次矿山总体布置与原有矿山总体布置一致；本次工程利用原有工程已开拓的简易道路以及采场进行布置，具体如下：</w:t>
      </w:r>
    </w:p>
    <w:p>
      <w:pPr>
        <w:widowControl/>
        <w:spacing w:line="500" w:lineRule="exact"/>
        <w:ind w:firstLine="482" w:firstLineChars="200"/>
        <w:rPr>
          <w:rFonts w:ascii="宋体" w:hAnsi="宋体"/>
          <w:b/>
          <w:color w:val="auto"/>
          <w:sz w:val="24"/>
        </w:rPr>
      </w:pPr>
      <w:r>
        <w:rPr>
          <w:rFonts w:hint="eastAsia" w:ascii="宋体" w:hAnsi="宋体"/>
          <w:b/>
          <w:color w:val="auto"/>
          <w:sz w:val="24"/>
        </w:rPr>
        <w:t>1）总体布置</w:t>
      </w:r>
    </w:p>
    <w:p>
      <w:pPr>
        <w:widowControl/>
        <w:spacing w:line="500" w:lineRule="exact"/>
        <w:ind w:firstLine="480" w:firstLineChars="200"/>
        <w:rPr>
          <w:rFonts w:ascii="宋体" w:hAnsi="宋体"/>
          <w:color w:val="auto"/>
          <w:sz w:val="24"/>
        </w:rPr>
      </w:pPr>
      <w:r>
        <w:rPr>
          <w:rFonts w:hint="eastAsia" w:ascii="宋体" w:hAnsi="宋体"/>
          <w:color w:val="auto"/>
          <w:sz w:val="24"/>
        </w:rPr>
        <w:t>企业为单一露天开采的采矿场，整个厂址平面布局围绕露天开采境界及开拓运输道路展开，分为生产设施、辅助生产设施、行政及生活福利设施等。</w:t>
      </w:r>
    </w:p>
    <w:p>
      <w:pPr>
        <w:widowControl/>
        <w:spacing w:line="500" w:lineRule="exact"/>
        <w:ind w:firstLine="482" w:firstLineChars="200"/>
        <w:rPr>
          <w:rFonts w:ascii="宋体" w:hAnsi="宋体"/>
          <w:b/>
          <w:color w:val="auto"/>
          <w:sz w:val="24"/>
        </w:rPr>
      </w:pPr>
      <w:r>
        <w:rPr>
          <w:rFonts w:hint="eastAsia" w:ascii="宋体" w:hAnsi="宋体"/>
          <w:b/>
          <w:color w:val="auto"/>
          <w:sz w:val="24"/>
        </w:rPr>
        <w:t>2）总平面布置</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根据可行性研究报告的总平面布置图对矿山的总平面布置及设施情况详述如下：</w:t>
      </w:r>
    </w:p>
    <w:p>
      <w:pPr>
        <w:widowControl/>
        <w:spacing w:line="500" w:lineRule="exact"/>
        <w:ind w:firstLine="480" w:firstLineChars="200"/>
        <w:rPr>
          <w:rFonts w:ascii="宋体" w:hAnsi="宋体"/>
          <w:color w:val="auto"/>
          <w:sz w:val="24"/>
        </w:rPr>
      </w:pPr>
      <w:r>
        <w:rPr>
          <w:rFonts w:hint="eastAsia" w:ascii="宋体" w:hAnsi="宋体"/>
          <w:color w:val="auto"/>
          <w:sz w:val="24"/>
        </w:rPr>
        <w:t>（1）露天采场</w:t>
      </w:r>
    </w:p>
    <w:p>
      <w:pPr>
        <w:widowControl/>
        <w:spacing w:line="500" w:lineRule="exact"/>
        <w:ind w:firstLine="480" w:firstLineChars="200"/>
        <w:rPr>
          <w:rFonts w:ascii="宋体" w:hAnsi="宋体"/>
          <w:color w:val="auto"/>
          <w:sz w:val="24"/>
        </w:rPr>
      </w:pPr>
      <w:r>
        <w:rPr>
          <w:rFonts w:hint="eastAsia" w:ascii="宋体" w:hAnsi="宋体"/>
          <w:color w:val="auto"/>
          <w:sz w:val="24"/>
        </w:rPr>
        <w:t>矿区范围面积为0.1522km</w:t>
      </w:r>
      <w:r>
        <w:rPr>
          <w:rFonts w:hint="eastAsia" w:ascii="宋体" w:hAnsi="宋体"/>
          <w:color w:val="auto"/>
          <w:sz w:val="24"/>
          <w:vertAlign w:val="superscript"/>
        </w:rPr>
        <w:t>2</w:t>
      </w:r>
      <w:r>
        <w:rPr>
          <w:rFonts w:hint="eastAsia" w:ascii="宋体" w:hAnsi="宋体"/>
          <w:color w:val="auto"/>
          <w:sz w:val="24"/>
        </w:rPr>
        <w:t>，实际开采深度为+324m～+275m标高。</w:t>
      </w:r>
    </w:p>
    <w:p>
      <w:pPr>
        <w:widowControl/>
        <w:spacing w:line="500" w:lineRule="exact"/>
        <w:ind w:firstLine="480" w:firstLineChars="200"/>
        <w:rPr>
          <w:rFonts w:ascii="宋体" w:hAnsi="宋体"/>
          <w:color w:val="auto"/>
          <w:sz w:val="24"/>
        </w:rPr>
      </w:pPr>
      <w:r>
        <w:rPr>
          <w:rFonts w:hint="eastAsia" w:ascii="宋体" w:hAnsi="宋体"/>
          <w:color w:val="auto"/>
          <w:sz w:val="24"/>
        </w:rPr>
        <w:t>露天采场挖损地均为林地。</w:t>
      </w:r>
    </w:p>
    <w:p>
      <w:pPr>
        <w:widowControl/>
        <w:spacing w:line="500" w:lineRule="exact"/>
        <w:ind w:firstLine="480" w:firstLineChars="200"/>
        <w:rPr>
          <w:rFonts w:ascii="宋体" w:hAnsi="宋体"/>
          <w:color w:val="auto"/>
          <w:sz w:val="24"/>
        </w:rPr>
      </w:pPr>
      <w:r>
        <w:rPr>
          <w:rFonts w:hint="eastAsia" w:ascii="宋体" w:hAnsi="宋体"/>
          <w:color w:val="auto"/>
          <w:sz w:val="24"/>
        </w:rPr>
        <w:t>（2）排土场</w:t>
      </w:r>
    </w:p>
    <w:p>
      <w:pPr>
        <w:widowControl/>
        <w:spacing w:line="500" w:lineRule="exact"/>
        <w:ind w:firstLine="480" w:firstLineChars="200"/>
        <w:rPr>
          <w:rFonts w:ascii="宋体" w:hAnsi="宋体"/>
          <w:color w:val="auto"/>
          <w:sz w:val="24"/>
        </w:rPr>
      </w:pPr>
      <w:r>
        <w:rPr>
          <w:rFonts w:hint="eastAsia" w:ascii="宋体" w:hAnsi="宋体"/>
          <w:color w:val="auto"/>
          <w:sz w:val="24"/>
        </w:rPr>
        <w:t>排土场拟设在矿区采场东北翼沟谷，排土场压占面积约1.32万m</w:t>
      </w:r>
      <w:r>
        <w:rPr>
          <w:rFonts w:hint="eastAsia" w:ascii="宋体" w:hAnsi="宋体"/>
          <w:color w:val="auto"/>
          <w:sz w:val="24"/>
          <w:vertAlign w:val="superscript"/>
        </w:rPr>
        <w:t>2</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hint="eastAsia" w:ascii="宋体" w:hAnsi="宋体"/>
          <w:color w:val="auto"/>
          <w:sz w:val="24"/>
        </w:rPr>
        <w:t>（3）办公生活区</w:t>
      </w:r>
    </w:p>
    <w:p>
      <w:pPr>
        <w:widowControl/>
        <w:spacing w:line="500" w:lineRule="exact"/>
        <w:ind w:firstLine="480" w:firstLineChars="200"/>
        <w:rPr>
          <w:rFonts w:ascii="宋体" w:hAnsi="宋体"/>
          <w:color w:val="auto"/>
          <w:sz w:val="24"/>
        </w:rPr>
      </w:pPr>
      <w:r>
        <w:rPr>
          <w:rFonts w:hint="eastAsia" w:ascii="宋体" w:hAnsi="宋体"/>
          <w:color w:val="auto"/>
          <w:sz w:val="24"/>
        </w:rPr>
        <w:t>矿区北面约60m的征用民居作办公生活区，位于进矿道路的西侧。办公生活区内设置行政办公楼、员工宿舍、医务室、食堂、文娱设施等，同时设置了总调度及监控室。</w:t>
      </w:r>
    </w:p>
    <w:p>
      <w:pPr>
        <w:widowControl/>
        <w:spacing w:line="500" w:lineRule="exact"/>
        <w:ind w:firstLine="480" w:firstLineChars="200"/>
        <w:rPr>
          <w:rFonts w:ascii="宋体" w:hAnsi="宋体"/>
          <w:color w:val="auto"/>
          <w:sz w:val="24"/>
        </w:rPr>
      </w:pPr>
      <w:r>
        <w:rPr>
          <w:rFonts w:hint="eastAsia" w:ascii="宋体" w:hAnsi="宋体"/>
          <w:color w:val="auto"/>
          <w:sz w:val="24"/>
        </w:rPr>
        <w:t>（4）机修车间</w:t>
      </w:r>
    </w:p>
    <w:p>
      <w:pPr>
        <w:widowControl/>
        <w:spacing w:line="500" w:lineRule="exact"/>
        <w:ind w:firstLine="480" w:firstLineChars="200"/>
        <w:rPr>
          <w:rFonts w:ascii="宋体" w:hAnsi="宋体"/>
          <w:color w:val="auto"/>
          <w:sz w:val="24"/>
        </w:rPr>
      </w:pPr>
      <w:r>
        <w:rPr>
          <w:rFonts w:hint="eastAsia" w:ascii="宋体" w:hAnsi="宋体"/>
          <w:color w:val="auto"/>
          <w:sz w:val="24"/>
        </w:rPr>
        <w:t>位于办公生活区北面，直线距离办公生活区仅约20m。其布置了小型机修、汽修设施。负责矿山机械设备、汽车等日常维护及修理工作。同时还设置仓库，便于设备零件库存，存取方便。另外，利用车间一角，设壁挂式配电箱，全矿配电。</w:t>
      </w:r>
    </w:p>
    <w:p>
      <w:pPr>
        <w:widowControl/>
        <w:spacing w:line="500" w:lineRule="exact"/>
        <w:ind w:firstLine="480" w:firstLineChars="200"/>
        <w:rPr>
          <w:rFonts w:ascii="宋体" w:hAnsi="宋体"/>
          <w:color w:val="auto"/>
          <w:sz w:val="24"/>
        </w:rPr>
      </w:pPr>
      <w:r>
        <w:rPr>
          <w:rFonts w:hint="eastAsia" w:ascii="宋体" w:hAnsi="宋体"/>
          <w:color w:val="auto"/>
          <w:sz w:val="24"/>
        </w:rPr>
        <w:t>（5）储油罐</w:t>
      </w:r>
    </w:p>
    <w:p>
      <w:pPr>
        <w:widowControl/>
        <w:spacing w:line="500" w:lineRule="exact"/>
        <w:ind w:firstLine="480" w:firstLineChars="200"/>
        <w:rPr>
          <w:rFonts w:ascii="宋体" w:hAnsi="宋体"/>
          <w:color w:val="auto"/>
          <w:sz w:val="24"/>
        </w:rPr>
      </w:pPr>
      <w:r>
        <w:rPr>
          <w:rFonts w:hint="eastAsia" w:ascii="宋体" w:hAnsi="宋体"/>
          <w:color w:val="auto"/>
          <w:sz w:val="24"/>
        </w:rPr>
        <w:t>由于该矿用油设备较多，挖掘机、汽车、铲运机、推土机等均采用柴油驱动，因此，为了保证矿山的正常运行，拟设容量不大于10吨的储油罐布置在进矿道路的西侧，办公及生活区的正北方向，距办公及生活区最近距离大于50m。</w:t>
      </w:r>
    </w:p>
    <w:p>
      <w:pPr>
        <w:widowControl/>
        <w:spacing w:line="500" w:lineRule="exact"/>
        <w:ind w:firstLine="482" w:firstLineChars="200"/>
        <w:rPr>
          <w:rFonts w:ascii="宋体" w:hAnsi="宋体"/>
          <w:b/>
          <w:color w:val="auto"/>
          <w:sz w:val="24"/>
        </w:rPr>
      </w:pPr>
      <w:r>
        <w:rPr>
          <w:rFonts w:hint="eastAsia" w:ascii="宋体" w:hAnsi="宋体"/>
          <w:b/>
          <w:color w:val="auto"/>
          <w:sz w:val="24"/>
        </w:rPr>
        <w:t>3）内外部运输</w:t>
      </w:r>
    </w:p>
    <w:p>
      <w:pPr>
        <w:widowControl/>
        <w:spacing w:line="500" w:lineRule="exact"/>
        <w:ind w:firstLine="480" w:firstLineChars="200"/>
        <w:rPr>
          <w:rFonts w:ascii="宋体" w:hAnsi="宋体"/>
          <w:color w:val="auto"/>
          <w:sz w:val="24"/>
        </w:rPr>
      </w:pPr>
      <w:r>
        <w:rPr>
          <w:rFonts w:hint="eastAsia" w:ascii="宋体" w:hAnsi="宋体"/>
          <w:color w:val="auto"/>
          <w:sz w:val="24"/>
        </w:rPr>
        <w:t>本矿场采用挖掘机采剥、公路开拓、汽车运输的开拓运输方案，矿石在采场装车后直接由自卸汽车运至堆场。</w:t>
      </w:r>
    </w:p>
    <w:p>
      <w:pPr>
        <w:widowControl/>
        <w:spacing w:line="500" w:lineRule="exact"/>
        <w:ind w:firstLine="480" w:firstLineChars="200"/>
        <w:rPr>
          <w:rFonts w:ascii="宋体" w:hAnsi="宋体"/>
          <w:color w:val="auto"/>
          <w:sz w:val="24"/>
        </w:rPr>
      </w:pPr>
      <w:r>
        <w:rPr>
          <w:rFonts w:hint="eastAsia" w:ascii="宋体" w:hAnsi="宋体"/>
          <w:color w:val="auto"/>
          <w:sz w:val="24"/>
        </w:rPr>
        <w:t>矿区内道路进行修整时应达到以下矿山道路标准：平曲线半径不小于15m，纵坡不大于10%，采用泥结碎石等面层类型的路面标准，路面宽度3m，汽车拐弯处设置不小于20m的缓坡段。道路内侧设截水沟，高边坡路段外侧砌筑挡车垛。道路施工及维护应根据矿山三级道路标准进行施工及维护。对以公路开拓－汽车运输的露天矿来说，矿山道路影响着矿山的工作效率，因此必须配备专门的人员进行道路安全及维护，配备相关的设备（例如洒水车、平路机等），一般单班作业。</w:t>
      </w:r>
    </w:p>
    <w:p>
      <w:pPr>
        <w:widowControl/>
        <w:spacing w:line="500" w:lineRule="exact"/>
        <w:ind w:firstLine="480" w:firstLineChars="200"/>
        <w:rPr>
          <w:rFonts w:ascii="宋体" w:hAnsi="宋体"/>
          <w:color w:val="auto"/>
          <w:sz w:val="24"/>
        </w:rPr>
      </w:pPr>
      <w:r>
        <w:rPr>
          <w:rFonts w:hint="eastAsia" w:ascii="宋体" w:hAnsi="宋体"/>
          <w:color w:val="auto"/>
          <w:sz w:val="24"/>
        </w:rPr>
        <w:t>正常生产期矿岩运输采用20t自卸汽车，矿山生产所需的设备、材料的运输，全部由社会运力承担。</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4</w:t>
      </w:r>
      <w:r>
        <w:rPr>
          <w:rFonts w:hint="eastAsia" w:ascii="宋体" w:hAnsi="宋体"/>
          <w:color w:val="auto"/>
          <w:kern w:val="28"/>
          <w:sz w:val="28"/>
          <w:szCs w:val="28"/>
        </w:rPr>
        <w:t>开采范围</w:t>
      </w:r>
    </w:p>
    <w:p>
      <w:pPr>
        <w:widowControl/>
        <w:spacing w:line="500" w:lineRule="exact"/>
        <w:ind w:firstLine="480" w:firstLineChars="200"/>
        <w:rPr>
          <w:rFonts w:ascii="宋体" w:hAnsi="宋体"/>
          <w:color w:val="auto"/>
          <w:sz w:val="24"/>
        </w:rPr>
      </w:pPr>
      <w:r>
        <w:rPr>
          <w:rFonts w:hint="eastAsia" w:ascii="宋体" w:hAnsi="宋体"/>
          <w:color w:val="auto"/>
          <w:sz w:val="24"/>
        </w:rPr>
        <w:t>矿山采用自上而下，分台阶露天开采，首采平台位于矿区东部，</w:t>
      </w:r>
      <w:r>
        <w:rPr>
          <w:rFonts w:ascii="宋体" w:hAnsi="宋体"/>
          <w:color w:val="auto"/>
          <w:sz w:val="24"/>
        </w:rPr>
        <w:t>矿区范围拐点坐标如下</w:t>
      </w:r>
      <w:r>
        <w:rPr>
          <w:rFonts w:hint="eastAsia" w:ascii="宋体" w:hAnsi="宋体"/>
          <w:color w:val="auto"/>
          <w:sz w:val="24"/>
        </w:rPr>
        <w:t>表</w:t>
      </w:r>
      <w:r>
        <w:rPr>
          <w:rFonts w:ascii="宋体" w:hAnsi="宋体"/>
          <w:color w:val="auto"/>
          <w:sz w:val="24"/>
        </w:rPr>
        <w:t>2.4-1：</w:t>
      </w:r>
    </w:p>
    <w:p>
      <w:pPr>
        <w:widowControl/>
        <w:spacing w:line="500" w:lineRule="exact"/>
        <w:jc w:val="center"/>
        <w:outlineLvl w:val="4"/>
        <w:rPr>
          <w:rFonts w:ascii="宋体" w:hAnsi="宋体"/>
          <w:b/>
          <w:color w:val="auto"/>
          <w:sz w:val="24"/>
        </w:rPr>
      </w:pPr>
      <w:r>
        <w:rPr>
          <w:rFonts w:ascii="宋体" w:hAnsi="宋体"/>
          <w:b/>
          <w:color w:val="auto"/>
          <w:sz w:val="24"/>
        </w:rPr>
        <w:t>表2.4-1 矿区范围拐点直角坐标表</w:t>
      </w:r>
      <w:r>
        <w:rPr>
          <w:rFonts w:hint="eastAsia" w:ascii="宋体" w:hAnsi="宋体"/>
          <w:b/>
          <w:color w:val="auto"/>
          <w:sz w:val="24"/>
        </w:rPr>
        <w:t>（2000国家大地坐标系）</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34"/>
        <w:gridCol w:w="1934"/>
        <w:gridCol w:w="876"/>
        <w:gridCol w:w="15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hint="eastAsia" w:ascii="宋体" w:hAnsi="宋体"/>
                <w:color w:val="auto"/>
                <w:szCs w:val="21"/>
              </w:rPr>
              <w:t>点号</w:t>
            </w:r>
          </w:p>
        </w:tc>
        <w:tc>
          <w:tcPr>
            <w:tcW w:w="17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X</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Y</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hint="eastAsia" w:ascii="宋体" w:hAnsi="宋体"/>
                <w:color w:val="auto"/>
                <w:szCs w:val="21"/>
              </w:rPr>
              <w:t>点号</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X</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1</w:t>
            </w:r>
          </w:p>
        </w:tc>
        <w:tc>
          <w:tcPr>
            <w:tcW w:w="17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2645942.00</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39388974.00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2</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2646044.00</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39389222.00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3</w:t>
            </w:r>
          </w:p>
        </w:tc>
        <w:tc>
          <w:tcPr>
            <w:tcW w:w="17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2645784.00</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39389444.00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4</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2645664.00</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39389290.00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hint="eastAsia" w:ascii="宋体" w:hAnsi="宋体"/>
                <w:color w:val="auto"/>
                <w:szCs w:val="21"/>
              </w:rPr>
              <w:t>5</w:t>
            </w:r>
          </w:p>
        </w:tc>
        <w:tc>
          <w:tcPr>
            <w:tcW w:w="17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2645510.00</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ascii="宋体" w:hAnsi="宋体"/>
                <w:color w:val="auto"/>
                <w:szCs w:val="21"/>
              </w:rPr>
              <w:t>39388974.00</w:t>
            </w:r>
          </w:p>
        </w:tc>
        <w:tc>
          <w:tcPr>
            <w:tcW w:w="8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auto"/>
                <w:szCs w:val="21"/>
              </w:rPr>
            </w:pPr>
            <w:r>
              <w:rPr>
                <w:rFonts w:hint="eastAsia" w:ascii="宋体" w:hAnsi="宋体"/>
                <w:color w:val="auto"/>
                <w:kern w:val="21"/>
                <w:szCs w:val="21"/>
              </w:rPr>
              <w:t>实际开采深度：由+324m至+275m，矿区面积：0.1522km</w:t>
            </w:r>
            <w:r>
              <w:rPr>
                <w:rFonts w:hint="eastAsia" w:ascii="宋体" w:hAnsi="宋体"/>
                <w:color w:val="auto"/>
                <w:kern w:val="21"/>
                <w:szCs w:val="21"/>
                <w:vertAlign w:val="superscript"/>
              </w:rPr>
              <w:t>2</w:t>
            </w:r>
          </w:p>
        </w:tc>
      </w:tr>
    </w:tbl>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5</w:t>
      </w:r>
      <w:r>
        <w:rPr>
          <w:rFonts w:hint="eastAsia" w:ascii="宋体" w:hAnsi="宋体"/>
          <w:color w:val="auto"/>
          <w:kern w:val="28"/>
          <w:sz w:val="28"/>
          <w:szCs w:val="28"/>
        </w:rPr>
        <w:t>开拓运输</w:t>
      </w:r>
    </w:p>
    <w:p>
      <w:pPr>
        <w:widowControl/>
        <w:spacing w:line="500" w:lineRule="exact"/>
        <w:ind w:firstLine="480" w:firstLineChars="200"/>
        <w:rPr>
          <w:rFonts w:ascii="宋体" w:hAnsi="宋体"/>
          <w:color w:val="auto"/>
          <w:sz w:val="24"/>
        </w:rPr>
      </w:pPr>
      <w:bookmarkStart w:id="168" w:name="_Toc233881367"/>
      <w:bookmarkStart w:id="169" w:name="_Toc213727822"/>
      <w:r>
        <w:rPr>
          <w:rFonts w:hint="eastAsia" w:ascii="宋体" w:hAnsi="宋体"/>
          <w:color w:val="auto"/>
          <w:sz w:val="24"/>
        </w:rPr>
        <w:t>1）开拓系统</w:t>
      </w:r>
    </w:p>
    <w:p>
      <w:pPr>
        <w:widowControl/>
        <w:spacing w:line="500" w:lineRule="exact"/>
        <w:ind w:firstLine="480" w:firstLineChars="200"/>
        <w:rPr>
          <w:rFonts w:ascii="宋体" w:hAnsi="宋体"/>
          <w:color w:val="auto"/>
          <w:sz w:val="24"/>
        </w:rPr>
      </w:pPr>
      <w:r>
        <w:rPr>
          <w:rFonts w:hint="eastAsia" w:ascii="宋体" w:hAnsi="宋体"/>
          <w:color w:val="auto"/>
          <w:sz w:val="24"/>
        </w:rPr>
        <w:t>根据本矿山特点，选用挖掘机采剥、公路开拓、汽车运输的开拓运输方案，以达到机动灵活，组织简单，缩短基建时间的目的。</w:t>
      </w:r>
    </w:p>
    <w:p>
      <w:pPr>
        <w:widowControl/>
        <w:spacing w:line="500" w:lineRule="exact"/>
        <w:ind w:firstLine="480" w:firstLineChars="200"/>
        <w:rPr>
          <w:rFonts w:ascii="宋体" w:hAnsi="宋体"/>
          <w:color w:val="auto"/>
          <w:sz w:val="24"/>
        </w:rPr>
      </w:pPr>
      <w:r>
        <w:rPr>
          <w:rFonts w:hint="eastAsia" w:ascii="宋体" w:hAnsi="宋体"/>
          <w:color w:val="auto"/>
          <w:sz w:val="24"/>
        </w:rPr>
        <w:t>开采境界内生产水平全部为山坡露天。矿区内部开拓运输以场内移动路堑为主。设计在采场北翼布置进矿上山道路，从进矿公路分支，沿山势开拓至305m标高，采用临时路堑至顶部剥离台阶，自上而下进行剥离采矿。矿山各开采和运输设备直接进入各工作水平，各水平的矿石在工作平台上装运，用挖掘机装上自卸汽车运输至矿石堆场。</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根据可行性研究报告，矿山内部运输道路按三级道路设计，最小曲线半径15m，最大纵坡不超过10%，路面宽度</w:t>
      </w:r>
      <w:r>
        <w:rPr>
          <w:rFonts w:ascii="宋体" w:hAnsi="宋体"/>
          <w:color w:val="auto"/>
          <w:sz w:val="24"/>
        </w:rPr>
        <w:t>3</w:t>
      </w:r>
      <w:r>
        <w:rPr>
          <w:rFonts w:hint="eastAsia" w:ascii="宋体" w:hAnsi="宋体"/>
          <w:color w:val="auto"/>
          <w:sz w:val="24"/>
        </w:rPr>
        <w:t>m，转弯段外侧设置防护墙拦并适当加宽路面道路和竖立路标警示。</w:t>
      </w:r>
    </w:p>
    <w:p>
      <w:pPr>
        <w:widowControl/>
        <w:spacing w:line="500" w:lineRule="exact"/>
        <w:ind w:firstLine="480" w:firstLineChars="200"/>
        <w:rPr>
          <w:rFonts w:ascii="宋体" w:hAnsi="宋体"/>
          <w:color w:val="auto"/>
          <w:sz w:val="24"/>
        </w:rPr>
      </w:pPr>
      <w:r>
        <w:rPr>
          <w:rFonts w:hint="eastAsia" w:ascii="宋体" w:hAnsi="宋体"/>
          <w:color w:val="auto"/>
          <w:sz w:val="24"/>
        </w:rPr>
        <w:t>2）运输系统</w:t>
      </w:r>
    </w:p>
    <w:p>
      <w:pPr>
        <w:widowControl/>
        <w:spacing w:line="500" w:lineRule="exact"/>
        <w:ind w:firstLine="480" w:firstLineChars="200"/>
        <w:rPr>
          <w:rFonts w:ascii="宋体" w:hAnsi="宋体"/>
          <w:color w:val="auto"/>
          <w:sz w:val="24"/>
        </w:rPr>
      </w:pPr>
      <w:r>
        <w:rPr>
          <w:rFonts w:hint="eastAsia" w:ascii="宋体" w:hAnsi="宋体"/>
          <w:color w:val="auto"/>
          <w:sz w:val="24"/>
        </w:rPr>
        <w:t>矿山配备2台</w:t>
      </w:r>
      <w:r>
        <w:rPr>
          <w:rFonts w:ascii="宋体" w:hAnsi="宋体"/>
          <w:color w:val="auto"/>
          <w:sz w:val="24"/>
        </w:rPr>
        <w:t>2</w:t>
      </w:r>
      <w:r>
        <w:rPr>
          <w:rFonts w:hint="eastAsia" w:ascii="宋体" w:hAnsi="宋体"/>
          <w:color w:val="auto"/>
          <w:sz w:val="24"/>
        </w:rPr>
        <w:t>0t自卸汽车运输，2台</w:t>
      </w:r>
      <w:r>
        <w:rPr>
          <w:rFonts w:ascii="宋体" w:hAnsi="宋体"/>
          <w:color w:val="auto"/>
          <w:sz w:val="24"/>
        </w:rPr>
        <w:t>1.0</w:t>
      </w:r>
      <w:r>
        <w:rPr>
          <w:rFonts w:hint="eastAsia" w:ascii="宋体" w:hAnsi="宋体"/>
          <w:color w:val="auto"/>
          <w:sz w:val="24"/>
        </w:rPr>
        <w:t>m³挖掘机。</w:t>
      </w:r>
      <w:r>
        <w:rPr>
          <w:rFonts w:hint="eastAsia" w:ascii="宋体" w:hAnsi="宋体"/>
          <w:bCs/>
          <w:color w:val="auto"/>
          <w:sz w:val="24"/>
        </w:rPr>
        <w:t>运输方案选择</w:t>
      </w:r>
      <w:r>
        <w:rPr>
          <w:rFonts w:hint="eastAsia" w:ascii="宋体" w:hAnsi="宋体"/>
          <w:color w:val="auto"/>
          <w:sz w:val="24"/>
        </w:rPr>
        <w:t>采用“挖掘机及铲装机械的挖、装—汽车运输”方案进行采、装、运。</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6</w:t>
      </w:r>
      <w:r>
        <w:rPr>
          <w:rFonts w:hint="eastAsia" w:ascii="宋体" w:hAnsi="宋体"/>
          <w:color w:val="auto"/>
          <w:kern w:val="28"/>
          <w:sz w:val="28"/>
          <w:szCs w:val="28"/>
        </w:rPr>
        <w:t>采矿工艺</w:t>
      </w:r>
    </w:p>
    <w:p>
      <w:pPr>
        <w:pStyle w:val="6"/>
        <w:keepLines w:val="0"/>
        <w:widowControl/>
        <w:spacing w:before="0" w:after="0" w:line="500" w:lineRule="exact"/>
        <w:rPr>
          <w:rFonts w:ascii="宋体" w:hAnsi="宋体" w:eastAsia="宋体"/>
          <w:color w:val="auto"/>
          <w:kern w:val="28"/>
        </w:rPr>
      </w:pPr>
      <w:r>
        <w:rPr>
          <w:rFonts w:ascii="宋体" w:hAnsi="宋体" w:eastAsia="宋体"/>
          <w:color w:val="auto"/>
          <w:kern w:val="28"/>
        </w:rPr>
        <w:t>2.4.6.1露天开采境界圈定结果</w:t>
      </w:r>
    </w:p>
    <w:p>
      <w:pPr>
        <w:widowControl/>
        <w:spacing w:line="500" w:lineRule="exact"/>
        <w:ind w:firstLine="480" w:firstLineChars="200"/>
        <w:rPr>
          <w:rFonts w:ascii="宋体" w:hAnsi="宋体"/>
          <w:color w:val="auto"/>
          <w:sz w:val="24"/>
        </w:rPr>
      </w:pPr>
      <w:r>
        <w:rPr>
          <w:rFonts w:hint="eastAsia" w:ascii="宋体" w:hAnsi="宋体"/>
          <w:color w:val="auto"/>
          <w:sz w:val="24"/>
        </w:rPr>
        <w:t>根据矿区范围、矿体产状、矿区地质条件及矿山开采技术条件，采用山坡露天开采方式。</w:t>
      </w:r>
    </w:p>
    <w:p>
      <w:pPr>
        <w:widowControl/>
        <w:spacing w:line="500" w:lineRule="exact"/>
        <w:ind w:firstLine="480" w:firstLineChars="200"/>
        <w:rPr>
          <w:rFonts w:ascii="宋体" w:hAnsi="宋体"/>
          <w:color w:val="auto"/>
          <w:sz w:val="24"/>
        </w:rPr>
      </w:pPr>
      <w:r>
        <w:rPr>
          <w:rFonts w:hint="eastAsia" w:ascii="宋体" w:hAnsi="宋体"/>
          <w:color w:val="auto"/>
          <w:sz w:val="24"/>
        </w:rPr>
        <w:t>采矿许可证核定开采深度为+375m～+250m标高，采矿许可证核定矿区范围内地形最大标高为+324m，设计采场最大剥离标高为+324m，设计开采最低标高+275m。</w:t>
      </w:r>
    </w:p>
    <w:p>
      <w:pPr>
        <w:widowControl/>
        <w:spacing w:line="500" w:lineRule="exact"/>
        <w:jc w:val="center"/>
        <w:outlineLvl w:val="4"/>
        <w:rPr>
          <w:rFonts w:ascii="宋体" w:hAnsi="宋体"/>
          <w:b/>
          <w:color w:val="auto"/>
          <w:sz w:val="24"/>
        </w:rPr>
      </w:pPr>
      <w:r>
        <w:rPr>
          <w:rFonts w:ascii="宋体" w:hAnsi="宋体"/>
          <w:b/>
          <w:color w:val="auto"/>
          <w:sz w:val="24"/>
        </w:rPr>
        <w:t>表2.4-2 露天开采终了境界圈定结果表</w:t>
      </w:r>
    </w:p>
    <w:tbl>
      <w:tblPr>
        <w:tblStyle w:val="4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75"/>
        <w:gridCol w:w="2915"/>
        <w:gridCol w:w="1345"/>
        <w:gridCol w:w="1353"/>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b/>
                <w:bCs/>
                <w:color w:val="auto"/>
                <w:kern w:val="21"/>
                <w:szCs w:val="21"/>
              </w:rPr>
            </w:pPr>
            <w:r>
              <w:rPr>
                <w:rFonts w:ascii="宋体" w:hAnsi="宋体"/>
                <w:b/>
                <w:bCs/>
                <w:color w:val="auto"/>
                <w:kern w:val="21"/>
                <w:szCs w:val="21"/>
              </w:rPr>
              <w:t>序号</w:t>
            </w:r>
          </w:p>
        </w:tc>
        <w:tc>
          <w:tcPr>
            <w:tcW w:w="4590" w:type="dxa"/>
            <w:gridSpan w:val="2"/>
            <w:noWrap/>
            <w:vAlign w:val="center"/>
          </w:tcPr>
          <w:p>
            <w:pPr>
              <w:widowControl/>
              <w:jc w:val="center"/>
              <w:rPr>
                <w:rFonts w:ascii="宋体" w:hAnsi="宋体"/>
                <w:b/>
                <w:bCs/>
                <w:color w:val="auto"/>
                <w:kern w:val="21"/>
                <w:szCs w:val="21"/>
              </w:rPr>
            </w:pPr>
            <w:r>
              <w:rPr>
                <w:rFonts w:ascii="宋体" w:hAnsi="宋体"/>
                <w:b/>
                <w:bCs/>
                <w:color w:val="auto"/>
                <w:kern w:val="21"/>
                <w:szCs w:val="21"/>
              </w:rPr>
              <w:t>项目</w:t>
            </w:r>
          </w:p>
        </w:tc>
        <w:tc>
          <w:tcPr>
            <w:tcW w:w="1345" w:type="dxa"/>
            <w:noWrap/>
            <w:vAlign w:val="center"/>
          </w:tcPr>
          <w:p>
            <w:pPr>
              <w:widowControl/>
              <w:jc w:val="center"/>
              <w:rPr>
                <w:rFonts w:ascii="宋体" w:hAnsi="宋体"/>
                <w:b/>
                <w:bCs/>
                <w:color w:val="auto"/>
                <w:kern w:val="21"/>
                <w:szCs w:val="21"/>
              </w:rPr>
            </w:pPr>
            <w:r>
              <w:rPr>
                <w:rFonts w:ascii="宋体" w:hAnsi="宋体"/>
                <w:b/>
                <w:bCs/>
                <w:color w:val="auto"/>
                <w:kern w:val="21"/>
                <w:szCs w:val="21"/>
              </w:rPr>
              <w:t>单位</w:t>
            </w:r>
          </w:p>
        </w:tc>
        <w:tc>
          <w:tcPr>
            <w:tcW w:w="1353" w:type="dxa"/>
            <w:noWrap/>
            <w:vAlign w:val="center"/>
          </w:tcPr>
          <w:p>
            <w:pPr>
              <w:widowControl/>
              <w:jc w:val="center"/>
              <w:rPr>
                <w:rFonts w:ascii="宋体" w:hAnsi="宋体"/>
                <w:b/>
                <w:bCs/>
                <w:color w:val="auto"/>
                <w:kern w:val="21"/>
                <w:szCs w:val="21"/>
              </w:rPr>
            </w:pPr>
            <w:r>
              <w:rPr>
                <w:rFonts w:ascii="宋体" w:hAnsi="宋体"/>
                <w:b/>
                <w:bCs/>
                <w:color w:val="auto"/>
                <w:kern w:val="21"/>
                <w:szCs w:val="21"/>
              </w:rPr>
              <w:t>参数</w:t>
            </w:r>
          </w:p>
        </w:tc>
        <w:tc>
          <w:tcPr>
            <w:tcW w:w="918" w:type="dxa"/>
            <w:noWrap/>
            <w:vAlign w:val="center"/>
          </w:tcPr>
          <w:p>
            <w:pPr>
              <w:widowControl/>
              <w:jc w:val="center"/>
              <w:rPr>
                <w:rFonts w:ascii="宋体" w:hAnsi="宋体"/>
                <w:b/>
                <w:bCs/>
                <w:color w:val="auto"/>
                <w:kern w:val="21"/>
                <w:szCs w:val="21"/>
              </w:rPr>
            </w:pPr>
            <w:r>
              <w:rPr>
                <w:rFonts w:ascii="宋体" w:hAnsi="宋体"/>
                <w:b/>
                <w:bCs/>
                <w:color w:val="auto"/>
                <w:kern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采场上部面积</w:t>
            </w:r>
          </w:p>
        </w:tc>
        <w:tc>
          <w:tcPr>
            <w:tcW w:w="1345" w:type="dxa"/>
            <w:noWrap/>
            <w:vAlign w:val="center"/>
          </w:tcPr>
          <w:p>
            <w:pPr>
              <w:widowControl/>
              <w:jc w:val="center"/>
              <w:rPr>
                <w:rFonts w:ascii="宋体" w:hAnsi="宋体"/>
                <w:color w:val="auto"/>
                <w:szCs w:val="21"/>
              </w:rPr>
            </w:pPr>
            <w:r>
              <w:rPr>
                <w:rFonts w:ascii="宋体" w:hAnsi="宋体"/>
                <w:color w:val="auto"/>
                <w:szCs w:val="21"/>
              </w:rPr>
              <w:t>㎡</w:t>
            </w:r>
          </w:p>
        </w:tc>
        <w:tc>
          <w:tcPr>
            <w:tcW w:w="1353" w:type="dxa"/>
            <w:noWrap/>
            <w:vAlign w:val="center"/>
          </w:tcPr>
          <w:p>
            <w:pPr>
              <w:widowControl/>
              <w:jc w:val="center"/>
              <w:rPr>
                <w:rFonts w:ascii="宋体" w:hAnsi="宋体"/>
                <w:color w:val="auto"/>
                <w:szCs w:val="21"/>
              </w:rPr>
            </w:pPr>
            <w:r>
              <w:rPr>
                <w:rFonts w:ascii="宋体" w:hAnsi="宋体"/>
                <w:color w:val="auto"/>
                <w:szCs w:val="21"/>
              </w:rPr>
              <w:t>52538</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2</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采场下部面积</w:t>
            </w:r>
          </w:p>
        </w:tc>
        <w:tc>
          <w:tcPr>
            <w:tcW w:w="1345" w:type="dxa"/>
            <w:noWrap/>
            <w:vAlign w:val="center"/>
          </w:tcPr>
          <w:p>
            <w:pPr>
              <w:widowControl/>
              <w:jc w:val="center"/>
              <w:rPr>
                <w:rFonts w:ascii="宋体" w:hAnsi="宋体"/>
                <w:color w:val="auto"/>
                <w:szCs w:val="21"/>
              </w:rPr>
            </w:pPr>
            <w:r>
              <w:rPr>
                <w:rFonts w:ascii="宋体" w:hAnsi="宋体"/>
                <w:color w:val="auto"/>
                <w:szCs w:val="21"/>
              </w:rPr>
              <w:t>㎡</w:t>
            </w:r>
          </w:p>
        </w:tc>
        <w:tc>
          <w:tcPr>
            <w:tcW w:w="1353" w:type="dxa"/>
            <w:noWrap/>
            <w:vAlign w:val="center"/>
          </w:tcPr>
          <w:p>
            <w:pPr>
              <w:widowControl/>
              <w:jc w:val="center"/>
              <w:rPr>
                <w:rFonts w:ascii="宋体" w:hAnsi="宋体"/>
                <w:color w:val="auto"/>
                <w:szCs w:val="21"/>
              </w:rPr>
            </w:pPr>
            <w:r>
              <w:rPr>
                <w:rFonts w:ascii="宋体" w:hAnsi="宋体"/>
                <w:color w:val="auto"/>
                <w:szCs w:val="21"/>
              </w:rPr>
              <w:t>5765</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3</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采场顶部标高</w:t>
            </w:r>
          </w:p>
        </w:tc>
        <w:tc>
          <w:tcPr>
            <w:tcW w:w="1345" w:type="dxa"/>
            <w:noWrap/>
            <w:vAlign w:val="center"/>
          </w:tcPr>
          <w:p>
            <w:pPr>
              <w:widowControl/>
              <w:jc w:val="center"/>
              <w:rPr>
                <w:rFonts w:ascii="宋体" w:hAnsi="宋体"/>
                <w:color w:val="auto"/>
                <w:szCs w:val="21"/>
              </w:rPr>
            </w:pPr>
            <w:r>
              <w:rPr>
                <w:rFonts w:ascii="宋体" w:hAnsi="宋体"/>
                <w:color w:val="auto"/>
                <w:szCs w:val="21"/>
              </w:rPr>
              <w:t>m</w:t>
            </w:r>
          </w:p>
        </w:tc>
        <w:tc>
          <w:tcPr>
            <w:tcW w:w="1353" w:type="dxa"/>
            <w:noWrap/>
            <w:vAlign w:val="center"/>
          </w:tcPr>
          <w:p>
            <w:pPr>
              <w:widowControl/>
              <w:jc w:val="center"/>
              <w:rPr>
                <w:rFonts w:ascii="宋体" w:hAnsi="宋体"/>
                <w:color w:val="auto"/>
                <w:szCs w:val="21"/>
              </w:rPr>
            </w:pPr>
            <w:r>
              <w:rPr>
                <w:rFonts w:ascii="宋体" w:hAnsi="宋体"/>
                <w:color w:val="auto"/>
                <w:szCs w:val="21"/>
              </w:rPr>
              <w:t>+324</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4</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采场底部标高</w:t>
            </w:r>
          </w:p>
        </w:tc>
        <w:tc>
          <w:tcPr>
            <w:tcW w:w="1345" w:type="dxa"/>
            <w:noWrap/>
            <w:vAlign w:val="center"/>
          </w:tcPr>
          <w:p>
            <w:pPr>
              <w:widowControl/>
              <w:jc w:val="center"/>
              <w:rPr>
                <w:rFonts w:ascii="宋体" w:hAnsi="宋体"/>
                <w:color w:val="auto"/>
                <w:szCs w:val="21"/>
              </w:rPr>
            </w:pPr>
            <w:r>
              <w:rPr>
                <w:rFonts w:ascii="宋体" w:hAnsi="宋体"/>
                <w:color w:val="auto"/>
                <w:szCs w:val="21"/>
              </w:rPr>
              <w:t>m</w:t>
            </w:r>
          </w:p>
        </w:tc>
        <w:tc>
          <w:tcPr>
            <w:tcW w:w="1353" w:type="dxa"/>
            <w:noWrap/>
            <w:vAlign w:val="center"/>
          </w:tcPr>
          <w:p>
            <w:pPr>
              <w:widowControl/>
              <w:jc w:val="center"/>
              <w:rPr>
                <w:rFonts w:ascii="宋体" w:hAnsi="宋体"/>
                <w:color w:val="auto"/>
                <w:szCs w:val="21"/>
              </w:rPr>
            </w:pPr>
            <w:r>
              <w:rPr>
                <w:rFonts w:ascii="宋体" w:hAnsi="宋体"/>
                <w:color w:val="auto"/>
                <w:szCs w:val="21"/>
              </w:rPr>
              <w:t>+275</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5</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剥离量</w:t>
            </w:r>
          </w:p>
        </w:tc>
        <w:tc>
          <w:tcPr>
            <w:tcW w:w="1345" w:type="dxa"/>
            <w:noWrap/>
            <w:vAlign w:val="center"/>
          </w:tcPr>
          <w:p>
            <w:pPr>
              <w:widowControl/>
              <w:jc w:val="center"/>
              <w:rPr>
                <w:rFonts w:ascii="宋体" w:hAnsi="宋体"/>
                <w:color w:val="auto"/>
                <w:szCs w:val="21"/>
              </w:rPr>
            </w:pPr>
            <w:r>
              <w:rPr>
                <w:rFonts w:ascii="宋体" w:hAnsi="宋体"/>
                <w:color w:val="auto"/>
                <w:szCs w:val="21"/>
              </w:rPr>
              <w:t>万m</w:t>
            </w:r>
            <w:r>
              <w:rPr>
                <w:rFonts w:ascii="宋体" w:hAnsi="宋体"/>
                <w:color w:val="auto"/>
                <w:szCs w:val="21"/>
                <w:vertAlign w:val="superscript"/>
              </w:rPr>
              <w:t>3</w:t>
            </w:r>
          </w:p>
        </w:tc>
        <w:tc>
          <w:tcPr>
            <w:tcW w:w="1353" w:type="dxa"/>
            <w:noWrap/>
            <w:vAlign w:val="center"/>
          </w:tcPr>
          <w:p>
            <w:pPr>
              <w:widowControl/>
              <w:jc w:val="center"/>
              <w:rPr>
                <w:rFonts w:ascii="宋体" w:hAnsi="宋体"/>
                <w:color w:val="auto"/>
                <w:szCs w:val="21"/>
              </w:rPr>
            </w:pPr>
            <w:r>
              <w:rPr>
                <w:rFonts w:ascii="宋体" w:hAnsi="宋体"/>
                <w:color w:val="auto"/>
                <w:szCs w:val="21"/>
              </w:rPr>
              <w:t>0</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6</w:t>
            </w:r>
          </w:p>
        </w:tc>
        <w:tc>
          <w:tcPr>
            <w:tcW w:w="1675" w:type="dxa"/>
            <w:noWrap/>
            <w:vAlign w:val="center"/>
          </w:tcPr>
          <w:p>
            <w:pPr>
              <w:widowControl/>
              <w:jc w:val="center"/>
              <w:rPr>
                <w:rFonts w:ascii="宋体" w:hAnsi="宋体"/>
                <w:color w:val="auto"/>
                <w:szCs w:val="21"/>
              </w:rPr>
            </w:pPr>
            <w:r>
              <w:rPr>
                <w:rFonts w:ascii="宋体" w:hAnsi="宋体"/>
                <w:color w:val="auto"/>
                <w:szCs w:val="21"/>
              </w:rPr>
              <w:t>利用资源储量</w:t>
            </w:r>
          </w:p>
        </w:tc>
        <w:tc>
          <w:tcPr>
            <w:tcW w:w="2915" w:type="dxa"/>
            <w:vAlign w:val="center"/>
          </w:tcPr>
          <w:p>
            <w:pPr>
              <w:widowControl/>
              <w:jc w:val="center"/>
              <w:rPr>
                <w:rFonts w:ascii="宋体" w:hAnsi="宋体"/>
                <w:color w:val="auto"/>
                <w:szCs w:val="21"/>
              </w:rPr>
            </w:pPr>
            <w:r>
              <w:rPr>
                <w:rFonts w:hint="eastAsia" w:ascii="宋体" w:hAnsi="宋体"/>
                <w:color w:val="auto"/>
                <w:szCs w:val="21"/>
              </w:rPr>
              <w:t>高岭土</w:t>
            </w:r>
          </w:p>
        </w:tc>
        <w:tc>
          <w:tcPr>
            <w:tcW w:w="1345" w:type="dxa"/>
            <w:noWrap/>
            <w:vAlign w:val="center"/>
          </w:tcPr>
          <w:p>
            <w:pPr>
              <w:widowControl/>
              <w:jc w:val="center"/>
              <w:rPr>
                <w:rFonts w:ascii="宋体" w:hAnsi="宋体"/>
                <w:color w:val="auto"/>
                <w:szCs w:val="21"/>
              </w:rPr>
            </w:pPr>
            <w:r>
              <w:rPr>
                <w:rFonts w:ascii="宋体" w:hAnsi="宋体"/>
                <w:color w:val="auto"/>
                <w:szCs w:val="21"/>
              </w:rPr>
              <w:t>万t</w:t>
            </w:r>
          </w:p>
        </w:tc>
        <w:tc>
          <w:tcPr>
            <w:tcW w:w="1353" w:type="dxa"/>
            <w:noWrap/>
            <w:vAlign w:val="center"/>
          </w:tcPr>
          <w:p>
            <w:pPr>
              <w:widowControl/>
              <w:jc w:val="center"/>
              <w:rPr>
                <w:rFonts w:ascii="宋体" w:hAnsi="宋体"/>
                <w:color w:val="auto"/>
                <w:szCs w:val="21"/>
              </w:rPr>
            </w:pPr>
            <w:r>
              <w:rPr>
                <w:rFonts w:ascii="宋体" w:hAnsi="宋体"/>
                <w:color w:val="auto"/>
                <w:szCs w:val="21"/>
              </w:rPr>
              <w:t>2</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90</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7</w:t>
            </w:r>
          </w:p>
        </w:tc>
        <w:tc>
          <w:tcPr>
            <w:tcW w:w="1675" w:type="dxa"/>
            <w:noWrap/>
            <w:vAlign w:val="center"/>
          </w:tcPr>
          <w:p>
            <w:pPr>
              <w:widowControl/>
              <w:jc w:val="center"/>
              <w:rPr>
                <w:rFonts w:ascii="宋体" w:hAnsi="宋体"/>
                <w:color w:val="auto"/>
                <w:szCs w:val="21"/>
              </w:rPr>
            </w:pPr>
            <w:r>
              <w:rPr>
                <w:rFonts w:ascii="宋体" w:hAnsi="宋体"/>
                <w:color w:val="auto"/>
                <w:szCs w:val="21"/>
              </w:rPr>
              <w:t>开采储量</w:t>
            </w:r>
          </w:p>
        </w:tc>
        <w:tc>
          <w:tcPr>
            <w:tcW w:w="2915" w:type="dxa"/>
            <w:vAlign w:val="center"/>
          </w:tcPr>
          <w:p>
            <w:pPr>
              <w:widowControl/>
              <w:jc w:val="center"/>
              <w:rPr>
                <w:rFonts w:ascii="宋体" w:hAnsi="宋体"/>
                <w:color w:val="auto"/>
                <w:szCs w:val="21"/>
              </w:rPr>
            </w:pPr>
            <w:r>
              <w:rPr>
                <w:rFonts w:hint="eastAsia" w:ascii="宋体" w:hAnsi="宋体"/>
                <w:color w:val="auto"/>
                <w:szCs w:val="21"/>
              </w:rPr>
              <w:t>高岭土</w:t>
            </w:r>
          </w:p>
        </w:tc>
        <w:tc>
          <w:tcPr>
            <w:tcW w:w="1345" w:type="dxa"/>
            <w:noWrap/>
            <w:vAlign w:val="center"/>
          </w:tcPr>
          <w:p>
            <w:pPr>
              <w:widowControl/>
              <w:jc w:val="center"/>
              <w:rPr>
                <w:rFonts w:ascii="宋体" w:hAnsi="宋体"/>
                <w:color w:val="auto"/>
                <w:szCs w:val="21"/>
              </w:rPr>
            </w:pPr>
            <w:r>
              <w:rPr>
                <w:rFonts w:ascii="宋体" w:hAnsi="宋体"/>
                <w:color w:val="auto"/>
                <w:szCs w:val="21"/>
              </w:rPr>
              <w:t>万m</w:t>
            </w:r>
            <w:r>
              <w:rPr>
                <w:rFonts w:ascii="宋体" w:hAnsi="宋体"/>
                <w:color w:val="auto"/>
                <w:szCs w:val="21"/>
                <w:vertAlign w:val="superscript"/>
              </w:rPr>
              <w:t>3</w:t>
            </w:r>
          </w:p>
        </w:tc>
        <w:tc>
          <w:tcPr>
            <w:tcW w:w="1353" w:type="dxa"/>
            <w:noWrap/>
            <w:vAlign w:val="center"/>
          </w:tcPr>
          <w:p>
            <w:pPr>
              <w:widowControl/>
              <w:jc w:val="center"/>
              <w:rPr>
                <w:rFonts w:ascii="宋体" w:hAnsi="宋体"/>
                <w:color w:val="auto"/>
                <w:szCs w:val="21"/>
              </w:rPr>
            </w:pPr>
            <w:r>
              <w:rPr>
                <w:rFonts w:ascii="宋体" w:hAnsi="宋体"/>
                <w:color w:val="auto"/>
                <w:szCs w:val="21"/>
              </w:rPr>
              <w:t>2</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90</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8</w:t>
            </w:r>
          </w:p>
        </w:tc>
        <w:tc>
          <w:tcPr>
            <w:tcW w:w="1675" w:type="dxa"/>
            <w:noWrap/>
            <w:vAlign w:val="center"/>
          </w:tcPr>
          <w:p>
            <w:pPr>
              <w:widowControl/>
              <w:jc w:val="center"/>
              <w:rPr>
                <w:rFonts w:ascii="宋体" w:hAnsi="宋体"/>
                <w:color w:val="auto"/>
                <w:szCs w:val="21"/>
              </w:rPr>
            </w:pPr>
            <w:r>
              <w:rPr>
                <w:rFonts w:ascii="宋体" w:hAnsi="宋体"/>
                <w:color w:val="auto"/>
                <w:szCs w:val="21"/>
              </w:rPr>
              <w:t>采出矿石量</w:t>
            </w:r>
          </w:p>
        </w:tc>
        <w:tc>
          <w:tcPr>
            <w:tcW w:w="2915" w:type="dxa"/>
            <w:vAlign w:val="center"/>
          </w:tcPr>
          <w:p>
            <w:pPr>
              <w:widowControl/>
              <w:jc w:val="center"/>
              <w:rPr>
                <w:rFonts w:ascii="宋体" w:hAnsi="宋体"/>
                <w:color w:val="auto"/>
                <w:szCs w:val="21"/>
              </w:rPr>
            </w:pPr>
            <w:r>
              <w:rPr>
                <w:rFonts w:hint="eastAsia" w:ascii="宋体" w:hAnsi="宋体"/>
                <w:color w:val="auto"/>
                <w:szCs w:val="21"/>
              </w:rPr>
              <w:t>高岭土</w:t>
            </w:r>
          </w:p>
        </w:tc>
        <w:tc>
          <w:tcPr>
            <w:tcW w:w="1345" w:type="dxa"/>
            <w:noWrap/>
            <w:vAlign w:val="center"/>
          </w:tcPr>
          <w:p>
            <w:pPr>
              <w:widowControl/>
              <w:jc w:val="center"/>
              <w:rPr>
                <w:rFonts w:ascii="宋体" w:hAnsi="宋体"/>
                <w:color w:val="auto"/>
                <w:szCs w:val="21"/>
              </w:rPr>
            </w:pPr>
            <w:r>
              <w:rPr>
                <w:rFonts w:ascii="宋体" w:hAnsi="宋体"/>
                <w:color w:val="auto"/>
                <w:szCs w:val="21"/>
              </w:rPr>
              <w:t>万t</w:t>
            </w:r>
          </w:p>
        </w:tc>
        <w:tc>
          <w:tcPr>
            <w:tcW w:w="1353" w:type="dxa"/>
            <w:noWrap/>
            <w:vAlign w:val="center"/>
          </w:tcPr>
          <w:p>
            <w:pPr>
              <w:widowControl/>
              <w:jc w:val="center"/>
              <w:rPr>
                <w:rFonts w:ascii="宋体" w:hAnsi="宋体"/>
                <w:color w:val="auto"/>
                <w:szCs w:val="21"/>
              </w:rPr>
            </w:pPr>
            <w:r>
              <w:rPr>
                <w:rFonts w:hint="eastAsia" w:ascii="宋体" w:hAnsi="宋体"/>
                <w:color w:val="auto"/>
                <w:szCs w:val="21"/>
              </w:rPr>
              <w:t>20.71</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9</w:t>
            </w:r>
          </w:p>
        </w:tc>
        <w:tc>
          <w:tcPr>
            <w:tcW w:w="1675" w:type="dxa"/>
            <w:noWrap/>
            <w:vAlign w:val="center"/>
          </w:tcPr>
          <w:p>
            <w:pPr>
              <w:widowControl/>
              <w:jc w:val="center"/>
              <w:rPr>
                <w:rFonts w:ascii="宋体" w:hAnsi="宋体"/>
                <w:color w:val="auto"/>
                <w:szCs w:val="21"/>
              </w:rPr>
            </w:pPr>
            <w:r>
              <w:rPr>
                <w:rFonts w:ascii="宋体" w:hAnsi="宋体"/>
                <w:color w:val="auto"/>
                <w:szCs w:val="21"/>
              </w:rPr>
              <w:t>生产规模</w:t>
            </w:r>
          </w:p>
        </w:tc>
        <w:tc>
          <w:tcPr>
            <w:tcW w:w="2915" w:type="dxa"/>
            <w:vAlign w:val="center"/>
          </w:tcPr>
          <w:p>
            <w:pPr>
              <w:widowControl/>
              <w:jc w:val="center"/>
              <w:rPr>
                <w:rFonts w:ascii="宋体" w:hAnsi="宋体"/>
                <w:color w:val="auto"/>
                <w:szCs w:val="21"/>
              </w:rPr>
            </w:pPr>
            <w:r>
              <w:rPr>
                <w:rFonts w:hint="eastAsia" w:ascii="宋体" w:hAnsi="宋体"/>
                <w:color w:val="auto"/>
                <w:szCs w:val="21"/>
              </w:rPr>
              <w:t>高岭土</w:t>
            </w:r>
          </w:p>
        </w:tc>
        <w:tc>
          <w:tcPr>
            <w:tcW w:w="1345" w:type="dxa"/>
            <w:noWrap/>
            <w:vAlign w:val="center"/>
          </w:tcPr>
          <w:p>
            <w:pPr>
              <w:jc w:val="center"/>
              <w:rPr>
                <w:rFonts w:ascii="宋体" w:hAnsi="宋体"/>
                <w:color w:val="auto"/>
                <w:szCs w:val="21"/>
              </w:rPr>
            </w:pPr>
            <w:r>
              <w:rPr>
                <w:rFonts w:ascii="宋体" w:hAnsi="宋体"/>
                <w:color w:val="auto"/>
                <w:szCs w:val="21"/>
              </w:rPr>
              <w:t>万t/</w:t>
            </w:r>
            <w:r>
              <w:rPr>
                <w:rFonts w:hint="eastAsia" w:ascii="宋体" w:hAnsi="宋体"/>
                <w:color w:val="auto"/>
                <w:szCs w:val="21"/>
              </w:rPr>
              <w:t>年</w:t>
            </w:r>
          </w:p>
        </w:tc>
        <w:tc>
          <w:tcPr>
            <w:tcW w:w="1353" w:type="dxa"/>
            <w:noWrap/>
            <w:vAlign w:val="center"/>
          </w:tcPr>
          <w:p>
            <w:pPr>
              <w:widowControl/>
              <w:jc w:val="center"/>
              <w:rPr>
                <w:rFonts w:ascii="宋体" w:hAnsi="宋体"/>
                <w:color w:val="auto"/>
                <w:szCs w:val="21"/>
              </w:rPr>
            </w:pPr>
            <w:r>
              <w:rPr>
                <w:rFonts w:hint="eastAsia" w:ascii="宋体" w:hAnsi="宋体"/>
                <w:color w:val="auto"/>
                <w:szCs w:val="21"/>
              </w:rPr>
              <w:t>5.0</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10</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安全平台宽度</w:t>
            </w:r>
          </w:p>
        </w:tc>
        <w:tc>
          <w:tcPr>
            <w:tcW w:w="1345" w:type="dxa"/>
            <w:noWrap/>
            <w:vAlign w:val="center"/>
          </w:tcPr>
          <w:p>
            <w:pPr>
              <w:widowControl/>
              <w:jc w:val="center"/>
              <w:rPr>
                <w:rFonts w:ascii="宋体" w:hAnsi="宋体"/>
                <w:color w:val="auto"/>
                <w:szCs w:val="21"/>
              </w:rPr>
            </w:pPr>
            <w:r>
              <w:rPr>
                <w:rFonts w:ascii="宋体" w:hAnsi="宋体"/>
                <w:color w:val="auto"/>
                <w:szCs w:val="21"/>
              </w:rPr>
              <w:t>m</w:t>
            </w:r>
          </w:p>
        </w:tc>
        <w:tc>
          <w:tcPr>
            <w:tcW w:w="1353" w:type="dxa"/>
            <w:noWrap/>
            <w:vAlign w:val="center"/>
          </w:tcPr>
          <w:p>
            <w:pPr>
              <w:widowControl/>
              <w:jc w:val="center"/>
              <w:rPr>
                <w:rFonts w:ascii="宋体" w:hAnsi="宋体"/>
                <w:color w:val="auto"/>
                <w:szCs w:val="21"/>
              </w:rPr>
            </w:pPr>
            <w:r>
              <w:rPr>
                <w:rFonts w:ascii="宋体" w:hAnsi="宋体"/>
                <w:color w:val="auto"/>
                <w:szCs w:val="21"/>
              </w:rPr>
              <w:t>4</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11</w:t>
            </w:r>
          </w:p>
        </w:tc>
        <w:tc>
          <w:tcPr>
            <w:tcW w:w="1675" w:type="dxa"/>
            <w:noWrap/>
            <w:vAlign w:val="center"/>
          </w:tcPr>
          <w:p>
            <w:pPr>
              <w:widowControl/>
              <w:jc w:val="center"/>
              <w:rPr>
                <w:rFonts w:ascii="宋体" w:hAnsi="宋体"/>
                <w:color w:val="auto"/>
                <w:szCs w:val="21"/>
              </w:rPr>
            </w:pPr>
            <w:r>
              <w:rPr>
                <w:rFonts w:ascii="宋体" w:hAnsi="宋体"/>
                <w:color w:val="auto"/>
                <w:szCs w:val="21"/>
              </w:rPr>
              <w:t>台阶坡面角</w:t>
            </w:r>
          </w:p>
        </w:tc>
        <w:tc>
          <w:tcPr>
            <w:tcW w:w="2915" w:type="dxa"/>
            <w:vAlign w:val="center"/>
          </w:tcPr>
          <w:p>
            <w:pPr>
              <w:widowControl/>
              <w:jc w:val="center"/>
              <w:rPr>
                <w:rFonts w:ascii="宋体" w:hAnsi="宋体"/>
                <w:color w:val="auto"/>
                <w:szCs w:val="21"/>
              </w:rPr>
            </w:pPr>
            <w:r>
              <w:rPr>
                <w:rFonts w:hint="eastAsia" w:ascii="宋体" w:hAnsi="宋体"/>
                <w:color w:val="auto"/>
                <w:szCs w:val="21"/>
              </w:rPr>
              <w:t>表土、高岭</w:t>
            </w:r>
            <w:r>
              <w:rPr>
                <w:rFonts w:ascii="宋体" w:hAnsi="宋体"/>
                <w:color w:val="auto"/>
                <w:szCs w:val="21"/>
              </w:rPr>
              <w:t>土</w:t>
            </w:r>
          </w:p>
        </w:tc>
        <w:tc>
          <w:tcPr>
            <w:tcW w:w="1345" w:type="dxa"/>
            <w:noWrap/>
            <w:vAlign w:val="center"/>
          </w:tcPr>
          <w:p>
            <w:pPr>
              <w:widowControl/>
              <w:jc w:val="center"/>
              <w:rPr>
                <w:rFonts w:ascii="宋体" w:hAnsi="宋体"/>
                <w:color w:val="auto"/>
                <w:szCs w:val="21"/>
              </w:rPr>
            </w:pPr>
            <w:r>
              <w:rPr>
                <w:rFonts w:ascii="宋体" w:hAnsi="宋体"/>
                <w:color w:val="auto"/>
                <w:szCs w:val="21"/>
              </w:rPr>
              <w:t>°</w:t>
            </w:r>
          </w:p>
        </w:tc>
        <w:tc>
          <w:tcPr>
            <w:tcW w:w="1353" w:type="dxa"/>
            <w:noWrap/>
            <w:vAlign w:val="center"/>
          </w:tcPr>
          <w:p>
            <w:pPr>
              <w:widowControl/>
              <w:jc w:val="center"/>
              <w:rPr>
                <w:rFonts w:ascii="宋体" w:hAnsi="宋体"/>
                <w:color w:val="auto"/>
                <w:szCs w:val="21"/>
              </w:rPr>
            </w:pPr>
            <w:r>
              <w:rPr>
                <w:rFonts w:ascii="宋体" w:hAnsi="宋体"/>
                <w:color w:val="auto"/>
                <w:szCs w:val="21"/>
              </w:rPr>
              <w:t>45</w:t>
            </w:r>
            <w:r>
              <w:rPr>
                <w:rFonts w:hint="eastAsia" w:ascii="宋体" w:hAnsi="宋体"/>
                <w:color w:val="auto"/>
                <w:szCs w:val="21"/>
              </w:rPr>
              <w:t>/55</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12</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台阶数</w:t>
            </w:r>
          </w:p>
        </w:tc>
        <w:tc>
          <w:tcPr>
            <w:tcW w:w="1345" w:type="dxa"/>
            <w:noWrap/>
            <w:vAlign w:val="center"/>
          </w:tcPr>
          <w:p>
            <w:pPr>
              <w:widowControl/>
              <w:jc w:val="center"/>
              <w:rPr>
                <w:rFonts w:ascii="宋体" w:hAnsi="宋体"/>
                <w:color w:val="auto"/>
                <w:szCs w:val="21"/>
              </w:rPr>
            </w:pPr>
            <w:r>
              <w:rPr>
                <w:rFonts w:ascii="宋体" w:hAnsi="宋体"/>
                <w:color w:val="auto"/>
                <w:szCs w:val="21"/>
              </w:rPr>
              <w:t>个</w:t>
            </w:r>
          </w:p>
        </w:tc>
        <w:tc>
          <w:tcPr>
            <w:tcW w:w="1353" w:type="dxa"/>
            <w:noWrap/>
            <w:vAlign w:val="center"/>
          </w:tcPr>
          <w:p>
            <w:pPr>
              <w:widowControl/>
              <w:jc w:val="center"/>
              <w:rPr>
                <w:rFonts w:ascii="宋体" w:hAnsi="宋体"/>
                <w:color w:val="auto"/>
                <w:szCs w:val="21"/>
              </w:rPr>
            </w:pPr>
            <w:r>
              <w:rPr>
                <w:rFonts w:ascii="宋体" w:hAnsi="宋体"/>
                <w:color w:val="auto"/>
                <w:szCs w:val="21"/>
              </w:rPr>
              <w:t>8</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13</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平均剥采比</w:t>
            </w:r>
          </w:p>
        </w:tc>
        <w:tc>
          <w:tcPr>
            <w:tcW w:w="1345" w:type="dxa"/>
            <w:noWrap/>
            <w:vAlign w:val="center"/>
          </w:tcPr>
          <w:p>
            <w:pPr>
              <w:widowControl/>
              <w:jc w:val="center"/>
              <w:rPr>
                <w:rFonts w:ascii="宋体" w:hAnsi="宋体"/>
                <w:color w:val="auto"/>
                <w:szCs w:val="21"/>
              </w:rPr>
            </w:pPr>
            <w:r>
              <w:rPr>
                <w:rFonts w:ascii="宋体" w:hAnsi="宋体"/>
                <w:color w:val="auto"/>
                <w:szCs w:val="21"/>
              </w:rPr>
              <w:t>m³/ m³</w:t>
            </w:r>
          </w:p>
        </w:tc>
        <w:tc>
          <w:tcPr>
            <w:tcW w:w="1353" w:type="dxa"/>
            <w:noWrap/>
            <w:vAlign w:val="center"/>
          </w:tcPr>
          <w:p>
            <w:pPr>
              <w:widowControl/>
              <w:jc w:val="center"/>
              <w:rPr>
                <w:rFonts w:ascii="宋体" w:hAnsi="宋体"/>
                <w:color w:val="auto"/>
                <w:szCs w:val="21"/>
              </w:rPr>
            </w:pPr>
            <w:r>
              <w:rPr>
                <w:rFonts w:ascii="宋体" w:hAnsi="宋体"/>
                <w:color w:val="auto"/>
                <w:szCs w:val="21"/>
              </w:rPr>
              <w:t>0</w:t>
            </w:r>
          </w:p>
        </w:tc>
        <w:tc>
          <w:tcPr>
            <w:tcW w:w="918" w:type="dxa"/>
            <w:noWrap/>
            <w:vAlign w:val="center"/>
          </w:tcPr>
          <w:p>
            <w:pPr>
              <w:keepNext/>
              <w:keepLines/>
              <w:widowControl/>
              <w:jc w:val="center"/>
              <w:outlineLvl w:val="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14</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采矿损失率</w:t>
            </w:r>
          </w:p>
        </w:tc>
        <w:tc>
          <w:tcPr>
            <w:tcW w:w="1345" w:type="dxa"/>
            <w:noWrap/>
            <w:vAlign w:val="center"/>
          </w:tcPr>
          <w:p>
            <w:pPr>
              <w:widowControl/>
              <w:jc w:val="center"/>
              <w:rPr>
                <w:rFonts w:ascii="宋体" w:hAnsi="宋体"/>
                <w:color w:val="auto"/>
                <w:szCs w:val="21"/>
              </w:rPr>
            </w:pPr>
            <w:r>
              <w:rPr>
                <w:rFonts w:ascii="宋体" w:hAnsi="宋体"/>
                <w:color w:val="auto"/>
                <w:szCs w:val="21"/>
              </w:rPr>
              <w:t>%</w:t>
            </w:r>
          </w:p>
        </w:tc>
        <w:tc>
          <w:tcPr>
            <w:tcW w:w="1353" w:type="dxa"/>
            <w:noWrap/>
            <w:vAlign w:val="center"/>
          </w:tcPr>
          <w:p>
            <w:pPr>
              <w:widowControl/>
              <w:jc w:val="center"/>
              <w:rPr>
                <w:rFonts w:ascii="宋体" w:hAnsi="宋体"/>
                <w:color w:val="auto"/>
                <w:szCs w:val="21"/>
              </w:rPr>
            </w:pPr>
            <w:r>
              <w:rPr>
                <w:rFonts w:ascii="宋体" w:hAnsi="宋体"/>
                <w:color w:val="auto"/>
                <w:szCs w:val="21"/>
              </w:rPr>
              <w:t>10</w:t>
            </w:r>
          </w:p>
        </w:tc>
        <w:tc>
          <w:tcPr>
            <w:tcW w:w="918" w:type="dxa"/>
            <w:noWrap/>
            <w:vAlign w:val="center"/>
          </w:tcPr>
          <w:p>
            <w:pPr>
              <w:widowControl/>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51" w:type="dxa"/>
            <w:noWrap/>
            <w:vAlign w:val="center"/>
          </w:tcPr>
          <w:p>
            <w:pPr>
              <w:widowControl/>
              <w:jc w:val="center"/>
              <w:rPr>
                <w:rFonts w:ascii="宋体" w:hAnsi="宋体"/>
                <w:color w:val="auto"/>
                <w:szCs w:val="21"/>
              </w:rPr>
            </w:pPr>
            <w:r>
              <w:rPr>
                <w:rFonts w:ascii="宋体" w:hAnsi="宋体"/>
                <w:color w:val="auto"/>
                <w:szCs w:val="21"/>
              </w:rPr>
              <w:t>15</w:t>
            </w:r>
          </w:p>
        </w:tc>
        <w:tc>
          <w:tcPr>
            <w:tcW w:w="4590" w:type="dxa"/>
            <w:gridSpan w:val="2"/>
            <w:noWrap/>
            <w:vAlign w:val="center"/>
          </w:tcPr>
          <w:p>
            <w:pPr>
              <w:widowControl/>
              <w:jc w:val="center"/>
              <w:rPr>
                <w:rFonts w:ascii="宋体" w:hAnsi="宋体"/>
                <w:color w:val="auto"/>
                <w:szCs w:val="21"/>
              </w:rPr>
            </w:pPr>
            <w:r>
              <w:rPr>
                <w:rFonts w:ascii="宋体" w:hAnsi="宋体"/>
                <w:color w:val="auto"/>
                <w:szCs w:val="21"/>
              </w:rPr>
              <w:t>废石混入率</w:t>
            </w:r>
          </w:p>
        </w:tc>
        <w:tc>
          <w:tcPr>
            <w:tcW w:w="1345" w:type="dxa"/>
            <w:noWrap/>
            <w:vAlign w:val="center"/>
          </w:tcPr>
          <w:p>
            <w:pPr>
              <w:widowControl/>
              <w:jc w:val="center"/>
              <w:rPr>
                <w:rFonts w:ascii="宋体" w:hAnsi="宋体"/>
                <w:color w:val="auto"/>
                <w:szCs w:val="21"/>
              </w:rPr>
            </w:pPr>
            <w:r>
              <w:rPr>
                <w:rFonts w:ascii="宋体" w:hAnsi="宋体"/>
                <w:color w:val="auto"/>
                <w:szCs w:val="21"/>
              </w:rPr>
              <w:t>%</w:t>
            </w:r>
          </w:p>
        </w:tc>
        <w:tc>
          <w:tcPr>
            <w:tcW w:w="1353" w:type="dxa"/>
            <w:noWrap/>
            <w:vAlign w:val="center"/>
          </w:tcPr>
          <w:p>
            <w:pPr>
              <w:widowControl/>
              <w:jc w:val="center"/>
              <w:rPr>
                <w:rFonts w:ascii="宋体" w:hAnsi="宋体"/>
                <w:color w:val="auto"/>
                <w:szCs w:val="21"/>
              </w:rPr>
            </w:pPr>
            <w:r>
              <w:rPr>
                <w:rFonts w:ascii="宋体" w:hAnsi="宋体"/>
                <w:color w:val="auto"/>
                <w:szCs w:val="21"/>
              </w:rPr>
              <w:t>0.5</w:t>
            </w:r>
          </w:p>
        </w:tc>
        <w:tc>
          <w:tcPr>
            <w:tcW w:w="918" w:type="dxa"/>
            <w:noWrap/>
            <w:vAlign w:val="center"/>
          </w:tcPr>
          <w:p>
            <w:pPr>
              <w:widowControl/>
              <w:jc w:val="center"/>
              <w:rPr>
                <w:rFonts w:ascii="宋体" w:hAnsi="宋体"/>
                <w:color w:val="auto"/>
                <w:szCs w:val="21"/>
              </w:rPr>
            </w:pPr>
          </w:p>
        </w:tc>
      </w:tr>
    </w:tbl>
    <w:p>
      <w:pPr>
        <w:pStyle w:val="6"/>
        <w:keepLines w:val="0"/>
        <w:widowControl/>
        <w:spacing w:before="0" w:after="0" w:line="500" w:lineRule="exact"/>
        <w:rPr>
          <w:rFonts w:ascii="宋体" w:hAnsi="宋体" w:eastAsia="宋体"/>
          <w:color w:val="auto"/>
          <w:kern w:val="28"/>
        </w:rPr>
      </w:pPr>
      <w:r>
        <w:rPr>
          <w:rFonts w:hint="eastAsia" w:ascii="宋体" w:hAnsi="宋体" w:eastAsia="宋体"/>
          <w:color w:val="auto"/>
          <w:kern w:val="28"/>
        </w:rPr>
        <w:t>2.4.</w:t>
      </w:r>
      <w:r>
        <w:rPr>
          <w:rFonts w:ascii="宋体" w:hAnsi="宋体" w:eastAsia="宋体"/>
          <w:color w:val="auto"/>
          <w:kern w:val="28"/>
        </w:rPr>
        <w:t>6</w:t>
      </w:r>
      <w:r>
        <w:rPr>
          <w:rFonts w:hint="eastAsia" w:ascii="宋体" w:hAnsi="宋体" w:eastAsia="宋体"/>
          <w:color w:val="auto"/>
          <w:kern w:val="28"/>
        </w:rPr>
        <w:t>.2采剥方法</w:t>
      </w:r>
    </w:p>
    <w:p>
      <w:pPr>
        <w:widowControl/>
        <w:spacing w:line="500" w:lineRule="exact"/>
        <w:ind w:firstLine="480" w:firstLineChars="200"/>
        <w:rPr>
          <w:rFonts w:ascii="宋体" w:hAnsi="宋体"/>
          <w:color w:val="auto"/>
          <w:sz w:val="24"/>
        </w:rPr>
      </w:pPr>
      <w:r>
        <w:rPr>
          <w:rFonts w:hint="eastAsia" w:ascii="宋体" w:hAnsi="宋体"/>
          <w:color w:val="auto"/>
          <w:sz w:val="24"/>
        </w:rPr>
        <w:t>根据矿区地形条件及矿床开采技术条件，设计采用自上而下分水平台阶开采的采矿方法，采用挖掘机直接铲装—自卸汽车运输的采剥工艺。</w:t>
      </w:r>
    </w:p>
    <w:p>
      <w:pPr>
        <w:pStyle w:val="6"/>
        <w:keepLines w:val="0"/>
        <w:widowControl/>
        <w:spacing w:before="0" w:after="0" w:line="500" w:lineRule="exact"/>
        <w:rPr>
          <w:rFonts w:ascii="宋体" w:hAnsi="宋体" w:eastAsia="宋体"/>
          <w:color w:val="auto"/>
          <w:kern w:val="28"/>
        </w:rPr>
      </w:pPr>
      <w:r>
        <w:rPr>
          <w:rFonts w:hint="eastAsia" w:ascii="宋体" w:hAnsi="宋体" w:eastAsia="宋体"/>
          <w:color w:val="auto"/>
          <w:kern w:val="28"/>
        </w:rPr>
        <w:t>2.4.</w:t>
      </w:r>
      <w:r>
        <w:rPr>
          <w:rFonts w:ascii="宋体" w:hAnsi="宋体" w:eastAsia="宋体"/>
          <w:color w:val="auto"/>
          <w:kern w:val="28"/>
        </w:rPr>
        <w:t>6</w:t>
      </w:r>
      <w:r>
        <w:rPr>
          <w:rFonts w:hint="eastAsia" w:ascii="宋体" w:hAnsi="宋体" w:eastAsia="宋体"/>
          <w:color w:val="auto"/>
          <w:kern w:val="28"/>
        </w:rPr>
        <w:t>.</w:t>
      </w:r>
      <w:r>
        <w:rPr>
          <w:rFonts w:ascii="宋体" w:hAnsi="宋体" w:eastAsia="宋体"/>
          <w:color w:val="auto"/>
          <w:kern w:val="28"/>
        </w:rPr>
        <w:t>3</w:t>
      </w:r>
      <w:r>
        <w:rPr>
          <w:rFonts w:hint="eastAsia" w:ascii="宋体" w:hAnsi="宋体" w:eastAsia="宋体"/>
          <w:color w:val="auto"/>
          <w:kern w:val="28"/>
        </w:rPr>
        <w:t>采剥工艺及参数</w:t>
      </w:r>
    </w:p>
    <w:p>
      <w:pPr>
        <w:widowControl/>
        <w:spacing w:line="500" w:lineRule="exact"/>
        <w:ind w:firstLine="482" w:firstLineChars="200"/>
        <w:rPr>
          <w:rFonts w:ascii="宋体" w:hAnsi="宋体"/>
          <w:b/>
          <w:bCs/>
          <w:color w:val="auto"/>
          <w:sz w:val="24"/>
        </w:rPr>
      </w:pPr>
      <w:r>
        <w:rPr>
          <w:rFonts w:hint="eastAsia" w:ascii="宋体" w:hAnsi="宋体"/>
          <w:b/>
          <w:bCs/>
          <w:color w:val="auto"/>
          <w:sz w:val="24"/>
        </w:rPr>
        <w:t>1）开采方法</w:t>
      </w:r>
    </w:p>
    <w:p>
      <w:pPr>
        <w:widowControl/>
        <w:spacing w:line="500" w:lineRule="exact"/>
        <w:ind w:firstLine="480" w:firstLineChars="200"/>
        <w:rPr>
          <w:rFonts w:ascii="宋体" w:hAnsi="宋体"/>
          <w:color w:val="auto"/>
          <w:sz w:val="24"/>
        </w:rPr>
      </w:pPr>
      <w:r>
        <w:rPr>
          <w:rFonts w:hint="eastAsia" w:ascii="宋体" w:hAnsi="宋体"/>
          <w:color w:val="auto"/>
          <w:sz w:val="24"/>
        </w:rPr>
        <w:t>采用自上而下，分水平台阶逐层开采。</w:t>
      </w:r>
    </w:p>
    <w:p>
      <w:pPr>
        <w:widowControl/>
        <w:spacing w:line="500" w:lineRule="exact"/>
        <w:ind w:firstLine="482" w:firstLineChars="200"/>
        <w:rPr>
          <w:rFonts w:ascii="宋体" w:hAnsi="宋体"/>
          <w:b/>
          <w:bCs/>
          <w:color w:val="auto"/>
          <w:sz w:val="24"/>
        </w:rPr>
      </w:pPr>
      <w:r>
        <w:rPr>
          <w:rFonts w:hint="eastAsia" w:ascii="宋体" w:hAnsi="宋体"/>
          <w:b/>
          <w:bCs/>
          <w:color w:val="auto"/>
          <w:sz w:val="24"/>
        </w:rPr>
        <w:t>2）采剥作业</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（1）台阶设置</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台阶高度：工作台阶高度5m，表土台阶坡面角45°，高岭土台阶坡面角5</w:t>
      </w:r>
      <w:r>
        <w:rPr>
          <w:rFonts w:ascii="宋体" w:hAnsi="宋体" w:cs="宋体"/>
          <w:color w:val="auto"/>
          <w:kern w:val="0"/>
          <w:sz w:val="24"/>
        </w:rPr>
        <w:t>5</w:t>
      </w:r>
      <w:r>
        <w:rPr>
          <w:rFonts w:hint="eastAsia" w:ascii="宋体" w:hAnsi="宋体" w:cs="宋体"/>
          <w:color w:val="auto"/>
          <w:kern w:val="0"/>
          <w:sz w:val="24"/>
        </w:rPr>
        <w:t>°，工作台阶宽度</w:t>
      </w:r>
      <w:r>
        <w:rPr>
          <w:rFonts w:ascii="宋体" w:hAnsi="宋体" w:cs="宋体"/>
          <w:color w:val="auto"/>
          <w:kern w:val="0"/>
          <w:sz w:val="24"/>
        </w:rPr>
        <w:t>1</w:t>
      </w:r>
      <w:r>
        <w:rPr>
          <w:rFonts w:hint="eastAsia" w:ascii="宋体" w:hAnsi="宋体" w:cs="宋体"/>
          <w:color w:val="auto"/>
          <w:kern w:val="0"/>
          <w:sz w:val="24"/>
        </w:rPr>
        <w:t>5m。</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平台设置：设置安全平台</w:t>
      </w:r>
      <w:r>
        <w:rPr>
          <w:rFonts w:ascii="宋体" w:hAnsi="宋体" w:cs="宋体"/>
          <w:color w:val="auto"/>
          <w:kern w:val="0"/>
          <w:sz w:val="24"/>
        </w:rPr>
        <w:t>4</w:t>
      </w:r>
      <w:r>
        <w:rPr>
          <w:rFonts w:hint="eastAsia" w:ascii="宋体" w:hAnsi="宋体" w:cs="宋体"/>
          <w:color w:val="auto"/>
          <w:kern w:val="0"/>
          <w:sz w:val="24"/>
        </w:rPr>
        <w:t>m，清扫平台6m，每隔2</w:t>
      </w:r>
      <w:r>
        <w:rPr>
          <w:rFonts w:ascii="宋体" w:hAnsi="宋体" w:cs="宋体"/>
          <w:color w:val="auto"/>
          <w:kern w:val="0"/>
          <w:sz w:val="24"/>
        </w:rPr>
        <w:t>-</w:t>
      </w:r>
      <w:r>
        <w:rPr>
          <w:rFonts w:hint="eastAsia" w:ascii="宋体" w:hAnsi="宋体" w:cs="宋体"/>
          <w:color w:val="auto"/>
          <w:kern w:val="0"/>
          <w:sz w:val="24"/>
        </w:rPr>
        <w:t>3个台阶设置一个清扫平台。</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最终帮坡角2</w:t>
      </w:r>
      <w:r>
        <w:rPr>
          <w:rFonts w:ascii="宋体" w:hAnsi="宋体" w:cs="宋体"/>
          <w:color w:val="auto"/>
          <w:kern w:val="0"/>
          <w:sz w:val="24"/>
        </w:rPr>
        <w:t>1</w:t>
      </w:r>
      <w:r>
        <w:rPr>
          <w:rFonts w:hint="eastAsia" w:ascii="宋体" w:hAnsi="宋体" w:cs="宋体"/>
          <w:color w:val="auto"/>
          <w:kern w:val="0"/>
          <w:sz w:val="24"/>
        </w:rPr>
        <w:t>°。</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（2）采剥作业</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①剥离作业</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矿体和地表覆盖层均为砂岩，无需凿岩爆破，挖掘机可直接挖掘装车。</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②采矿作业</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采用斗容1.0m</w:t>
      </w:r>
      <w:r>
        <w:rPr>
          <w:rFonts w:hint="eastAsia" w:ascii="宋体" w:hAnsi="宋体" w:cs="宋体"/>
          <w:color w:val="auto"/>
          <w:kern w:val="0"/>
          <w:sz w:val="24"/>
          <w:vertAlign w:val="superscript"/>
        </w:rPr>
        <w:t>3</w:t>
      </w:r>
      <w:r>
        <w:rPr>
          <w:rFonts w:hint="eastAsia" w:ascii="宋体" w:hAnsi="宋体" w:cs="宋体"/>
          <w:color w:val="auto"/>
          <w:kern w:val="0"/>
          <w:sz w:val="24"/>
        </w:rPr>
        <w:t>挖掘机直接铲装，矿石采用</w:t>
      </w:r>
      <w:r>
        <w:rPr>
          <w:rFonts w:ascii="宋体" w:hAnsi="宋体" w:cs="宋体"/>
          <w:color w:val="auto"/>
          <w:kern w:val="0"/>
          <w:sz w:val="24"/>
        </w:rPr>
        <w:t>2</w:t>
      </w:r>
      <w:r>
        <w:rPr>
          <w:rFonts w:hint="eastAsia" w:ascii="宋体" w:hAnsi="宋体" w:cs="宋体"/>
          <w:color w:val="auto"/>
          <w:kern w:val="0"/>
          <w:sz w:val="24"/>
        </w:rPr>
        <w:t>0t自卸汽车外运。</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（3）装载设备</w:t>
      </w:r>
    </w:p>
    <w:p>
      <w:pPr>
        <w:widowControl/>
        <w:autoSpaceDE w:val="0"/>
        <w:autoSpaceDN w:val="0"/>
        <w:adjustRightInd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选用斗容1.0m</w:t>
      </w:r>
      <w:r>
        <w:rPr>
          <w:rFonts w:hint="eastAsia" w:ascii="宋体" w:hAnsi="宋体" w:cs="宋体"/>
          <w:color w:val="auto"/>
          <w:kern w:val="0"/>
          <w:sz w:val="24"/>
          <w:vertAlign w:val="superscript"/>
        </w:rPr>
        <w:t>3</w:t>
      </w:r>
      <w:r>
        <w:rPr>
          <w:rFonts w:hint="eastAsia" w:ascii="宋体" w:hAnsi="宋体" w:cs="宋体"/>
          <w:color w:val="auto"/>
          <w:kern w:val="0"/>
          <w:sz w:val="24"/>
        </w:rPr>
        <w:t>的液压挖掘机进行装载，配备2台挖掘机的装载能力可满足矿山生产能力的要求。</w:t>
      </w:r>
    </w:p>
    <w:p>
      <w:pPr>
        <w:widowControl/>
        <w:spacing w:line="500" w:lineRule="exact"/>
        <w:ind w:firstLine="482" w:firstLineChars="200"/>
        <w:rPr>
          <w:rFonts w:ascii="宋体" w:hAnsi="宋体"/>
          <w:b/>
          <w:bCs/>
          <w:color w:val="auto"/>
          <w:sz w:val="24"/>
        </w:rPr>
      </w:pPr>
      <w:r>
        <w:rPr>
          <w:rFonts w:hint="eastAsia" w:ascii="宋体" w:hAnsi="宋体"/>
          <w:b/>
          <w:bCs/>
          <w:color w:val="auto"/>
          <w:sz w:val="24"/>
        </w:rPr>
        <w:t>3）采场要素</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根据可行性研究报告，采场要素如下：</w:t>
      </w:r>
    </w:p>
    <w:p>
      <w:pPr>
        <w:widowControl/>
        <w:spacing w:line="500" w:lineRule="exact"/>
        <w:jc w:val="center"/>
        <w:outlineLvl w:val="4"/>
        <w:rPr>
          <w:rFonts w:ascii="宋体" w:hAnsi="宋体"/>
          <w:b/>
          <w:color w:val="auto"/>
          <w:sz w:val="24"/>
        </w:rPr>
      </w:pPr>
      <w:r>
        <w:rPr>
          <w:rFonts w:hint="eastAsia" w:ascii="宋体" w:hAnsi="宋体"/>
          <w:b/>
          <w:color w:val="auto"/>
          <w:sz w:val="24"/>
        </w:rPr>
        <w:t>表2</w:t>
      </w:r>
      <w:r>
        <w:rPr>
          <w:rFonts w:ascii="宋体" w:hAnsi="宋体"/>
          <w:b/>
          <w:color w:val="auto"/>
          <w:sz w:val="24"/>
        </w:rPr>
        <w:t>.4</w:t>
      </w:r>
      <w:r>
        <w:rPr>
          <w:rFonts w:hint="eastAsia" w:ascii="宋体" w:hAnsi="宋体"/>
          <w:b/>
          <w:color w:val="auto"/>
          <w:sz w:val="24"/>
        </w:rPr>
        <w:t>-</w:t>
      </w:r>
      <w:r>
        <w:rPr>
          <w:rFonts w:ascii="宋体" w:hAnsi="宋体"/>
          <w:b/>
          <w:color w:val="auto"/>
          <w:sz w:val="24"/>
        </w:rPr>
        <w:t xml:space="preserve">3 </w:t>
      </w:r>
      <w:r>
        <w:rPr>
          <w:rFonts w:hint="eastAsia" w:ascii="宋体" w:hAnsi="宋体"/>
          <w:b/>
          <w:color w:val="auto"/>
          <w:sz w:val="24"/>
        </w:rPr>
        <w:t>采场要素汇总表</w:t>
      </w:r>
    </w:p>
    <w:tbl>
      <w:tblPr>
        <w:tblStyle w:val="41"/>
        <w:tblW w:w="857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16"/>
        <w:gridCol w:w="2140"/>
        <w:gridCol w:w="1419"/>
        <w:gridCol w:w="1419"/>
        <w:gridCol w:w="258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016" w:type="dxa"/>
            <w:vAlign w:val="center"/>
          </w:tcPr>
          <w:p>
            <w:pPr>
              <w:widowControl/>
              <w:adjustRightInd w:val="0"/>
              <w:snapToGrid w:val="0"/>
              <w:jc w:val="center"/>
              <w:rPr>
                <w:rFonts w:ascii="宋体" w:hAnsi="宋体"/>
                <w:b/>
                <w:color w:val="auto"/>
                <w:szCs w:val="21"/>
              </w:rPr>
            </w:pPr>
            <w:r>
              <w:rPr>
                <w:rFonts w:ascii="宋体" w:hAnsi="宋体"/>
                <w:b/>
                <w:color w:val="auto"/>
                <w:szCs w:val="21"/>
              </w:rPr>
              <w:t>序号</w:t>
            </w:r>
          </w:p>
        </w:tc>
        <w:tc>
          <w:tcPr>
            <w:tcW w:w="2140" w:type="dxa"/>
            <w:vAlign w:val="center"/>
          </w:tcPr>
          <w:p>
            <w:pPr>
              <w:widowControl/>
              <w:adjustRightInd w:val="0"/>
              <w:snapToGrid w:val="0"/>
              <w:jc w:val="center"/>
              <w:rPr>
                <w:rFonts w:ascii="宋体" w:hAnsi="宋体"/>
                <w:b/>
                <w:color w:val="auto"/>
                <w:szCs w:val="21"/>
              </w:rPr>
            </w:pPr>
            <w:r>
              <w:rPr>
                <w:rFonts w:ascii="宋体" w:hAnsi="宋体"/>
                <w:b/>
                <w:color w:val="auto"/>
                <w:szCs w:val="21"/>
              </w:rPr>
              <w:t>项目</w:t>
            </w:r>
          </w:p>
        </w:tc>
        <w:tc>
          <w:tcPr>
            <w:tcW w:w="1419" w:type="dxa"/>
          </w:tcPr>
          <w:p>
            <w:pPr>
              <w:widowControl/>
              <w:adjustRightInd w:val="0"/>
              <w:snapToGrid w:val="0"/>
              <w:jc w:val="center"/>
              <w:rPr>
                <w:rFonts w:ascii="宋体" w:hAnsi="宋体"/>
                <w:b/>
                <w:color w:val="auto"/>
                <w:szCs w:val="21"/>
              </w:rPr>
            </w:pPr>
            <w:r>
              <w:rPr>
                <w:rFonts w:hint="eastAsia" w:ascii="宋体" w:hAnsi="宋体"/>
                <w:b/>
                <w:color w:val="auto"/>
                <w:szCs w:val="21"/>
              </w:rPr>
              <w:t>参数</w:t>
            </w:r>
          </w:p>
        </w:tc>
        <w:tc>
          <w:tcPr>
            <w:tcW w:w="1419" w:type="dxa"/>
            <w:vAlign w:val="center"/>
          </w:tcPr>
          <w:p>
            <w:pPr>
              <w:widowControl/>
              <w:adjustRightInd w:val="0"/>
              <w:snapToGrid w:val="0"/>
              <w:jc w:val="center"/>
              <w:rPr>
                <w:rFonts w:ascii="宋体" w:hAnsi="宋体"/>
                <w:b/>
                <w:color w:val="auto"/>
                <w:szCs w:val="21"/>
              </w:rPr>
            </w:pPr>
            <w:r>
              <w:rPr>
                <w:rFonts w:ascii="宋体" w:hAnsi="宋体"/>
                <w:b/>
                <w:color w:val="auto"/>
                <w:szCs w:val="21"/>
              </w:rPr>
              <w:t>参数</w:t>
            </w:r>
          </w:p>
        </w:tc>
        <w:tc>
          <w:tcPr>
            <w:tcW w:w="2584" w:type="dxa"/>
            <w:vAlign w:val="center"/>
          </w:tcPr>
          <w:p>
            <w:pPr>
              <w:widowControl/>
              <w:adjustRightInd w:val="0"/>
              <w:snapToGrid w:val="0"/>
              <w:jc w:val="center"/>
              <w:rPr>
                <w:rFonts w:ascii="宋体" w:hAnsi="宋体"/>
                <w:b/>
                <w:color w:val="auto"/>
                <w:szCs w:val="21"/>
              </w:rPr>
            </w:pPr>
            <w:r>
              <w:rPr>
                <w:rFonts w:ascii="宋体" w:hAnsi="宋体"/>
                <w:b/>
                <w:color w:val="auto"/>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1016" w:type="dxa"/>
            <w:vAlign w:val="center"/>
          </w:tcPr>
          <w:p>
            <w:pPr>
              <w:widowControl/>
              <w:adjustRightInd w:val="0"/>
              <w:snapToGrid w:val="0"/>
              <w:jc w:val="center"/>
              <w:rPr>
                <w:rFonts w:ascii="宋体" w:hAnsi="宋体"/>
                <w:color w:val="auto"/>
                <w:szCs w:val="21"/>
              </w:rPr>
            </w:pPr>
            <w:r>
              <w:rPr>
                <w:rFonts w:ascii="宋体" w:hAnsi="宋体"/>
                <w:color w:val="auto"/>
                <w:szCs w:val="21"/>
              </w:rPr>
              <w:t>1</w:t>
            </w:r>
          </w:p>
        </w:tc>
        <w:tc>
          <w:tcPr>
            <w:tcW w:w="2140"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阶段高度</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m</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5</w:t>
            </w:r>
          </w:p>
        </w:tc>
        <w:tc>
          <w:tcPr>
            <w:tcW w:w="2584" w:type="dxa"/>
            <w:vAlign w:val="center"/>
          </w:tcPr>
          <w:p>
            <w:pPr>
              <w:widowControl/>
              <w:adjustRightInd w:val="0"/>
              <w:snapToGrid w:val="0"/>
              <w:jc w:val="center"/>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1016" w:type="dxa"/>
            <w:vAlign w:val="center"/>
          </w:tcPr>
          <w:p>
            <w:pPr>
              <w:widowControl/>
              <w:adjustRightInd w:val="0"/>
              <w:snapToGrid w:val="0"/>
              <w:jc w:val="center"/>
              <w:rPr>
                <w:rFonts w:ascii="宋体" w:hAnsi="宋体"/>
                <w:color w:val="auto"/>
                <w:szCs w:val="21"/>
              </w:rPr>
            </w:pPr>
            <w:r>
              <w:rPr>
                <w:rFonts w:ascii="宋体" w:hAnsi="宋体"/>
                <w:color w:val="auto"/>
                <w:szCs w:val="21"/>
              </w:rPr>
              <w:t>2</w:t>
            </w:r>
          </w:p>
        </w:tc>
        <w:tc>
          <w:tcPr>
            <w:tcW w:w="2140"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台阶边坡角</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45/</w:t>
            </w:r>
            <w:r>
              <w:rPr>
                <w:rFonts w:hint="eastAsia" w:ascii="宋体" w:hAnsi="宋体"/>
                <w:bCs/>
                <w:color w:val="auto"/>
                <w:szCs w:val="21"/>
              </w:rPr>
              <w:t>55</w:t>
            </w:r>
          </w:p>
        </w:tc>
        <w:tc>
          <w:tcPr>
            <w:tcW w:w="2584" w:type="dxa"/>
            <w:vAlign w:val="center"/>
          </w:tcPr>
          <w:p>
            <w:pPr>
              <w:widowControl/>
              <w:adjustRightInd w:val="0"/>
              <w:snapToGrid w:val="0"/>
              <w:jc w:val="center"/>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1016" w:type="dxa"/>
            <w:vAlign w:val="center"/>
          </w:tcPr>
          <w:p>
            <w:pPr>
              <w:widowControl/>
              <w:adjustRightInd w:val="0"/>
              <w:snapToGrid w:val="0"/>
              <w:jc w:val="center"/>
              <w:rPr>
                <w:rFonts w:ascii="宋体" w:hAnsi="宋体"/>
                <w:color w:val="auto"/>
                <w:szCs w:val="21"/>
              </w:rPr>
            </w:pPr>
            <w:r>
              <w:rPr>
                <w:rFonts w:ascii="宋体" w:hAnsi="宋体"/>
                <w:color w:val="auto"/>
                <w:szCs w:val="21"/>
              </w:rPr>
              <w:t>3</w:t>
            </w:r>
          </w:p>
        </w:tc>
        <w:tc>
          <w:tcPr>
            <w:tcW w:w="2140"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最终帮坡角</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w:t>
            </w:r>
          </w:p>
        </w:tc>
        <w:tc>
          <w:tcPr>
            <w:tcW w:w="1419"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21</w:t>
            </w:r>
          </w:p>
        </w:tc>
        <w:tc>
          <w:tcPr>
            <w:tcW w:w="2584" w:type="dxa"/>
            <w:vAlign w:val="center"/>
          </w:tcPr>
          <w:p>
            <w:pPr>
              <w:widowControl/>
              <w:adjustRightInd w:val="0"/>
              <w:snapToGrid w:val="0"/>
              <w:jc w:val="center"/>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1016" w:type="dxa"/>
            <w:vAlign w:val="center"/>
          </w:tcPr>
          <w:p>
            <w:pPr>
              <w:widowControl/>
              <w:adjustRightInd w:val="0"/>
              <w:snapToGrid w:val="0"/>
              <w:jc w:val="center"/>
              <w:rPr>
                <w:rFonts w:ascii="宋体" w:hAnsi="宋体"/>
                <w:color w:val="auto"/>
                <w:szCs w:val="21"/>
              </w:rPr>
            </w:pPr>
            <w:r>
              <w:rPr>
                <w:rFonts w:ascii="宋体" w:hAnsi="宋体"/>
                <w:color w:val="auto"/>
                <w:szCs w:val="21"/>
              </w:rPr>
              <w:t>4</w:t>
            </w:r>
          </w:p>
        </w:tc>
        <w:tc>
          <w:tcPr>
            <w:tcW w:w="2140"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安全平台宽度</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m</w:t>
            </w:r>
          </w:p>
        </w:tc>
        <w:tc>
          <w:tcPr>
            <w:tcW w:w="1419"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4</w:t>
            </w:r>
          </w:p>
        </w:tc>
        <w:tc>
          <w:tcPr>
            <w:tcW w:w="2584" w:type="dxa"/>
            <w:vAlign w:val="center"/>
          </w:tcPr>
          <w:p>
            <w:pPr>
              <w:widowControl/>
              <w:adjustRightInd w:val="0"/>
              <w:snapToGrid w:val="0"/>
              <w:jc w:val="center"/>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 w:hRule="atLeast"/>
          <w:jc w:val="center"/>
        </w:trPr>
        <w:tc>
          <w:tcPr>
            <w:tcW w:w="1016" w:type="dxa"/>
            <w:vAlign w:val="center"/>
          </w:tcPr>
          <w:p>
            <w:pPr>
              <w:widowControl/>
              <w:adjustRightInd w:val="0"/>
              <w:snapToGrid w:val="0"/>
              <w:jc w:val="center"/>
              <w:rPr>
                <w:rFonts w:ascii="宋体" w:hAnsi="宋体"/>
                <w:color w:val="auto"/>
                <w:szCs w:val="21"/>
              </w:rPr>
            </w:pPr>
            <w:r>
              <w:rPr>
                <w:rFonts w:ascii="宋体" w:hAnsi="宋体"/>
                <w:color w:val="auto"/>
                <w:szCs w:val="21"/>
              </w:rPr>
              <w:t>5</w:t>
            </w:r>
          </w:p>
        </w:tc>
        <w:tc>
          <w:tcPr>
            <w:tcW w:w="2140"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清扫平台宽度</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m</w:t>
            </w:r>
          </w:p>
        </w:tc>
        <w:tc>
          <w:tcPr>
            <w:tcW w:w="1419"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6</w:t>
            </w:r>
          </w:p>
        </w:tc>
        <w:tc>
          <w:tcPr>
            <w:tcW w:w="2584" w:type="dxa"/>
            <w:vAlign w:val="center"/>
          </w:tcPr>
          <w:p>
            <w:pPr>
              <w:widowControl/>
              <w:adjustRightInd w:val="0"/>
              <w:snapToGrid w:val="0"/>
              <w:jc w:val="center"/>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1016" w:type="dxa"/>
            <w:vAlign w:val="center"/>
          </w:tcPr>
          <w:p>
            <w:pPr>
              <w:widowControl/>
              <w:adjustRightInd w:val="0"/>
              <w:snapToGrid w:val="0"/>
              <w:jc w:val="center"/>
              <w:rPr>
                <w:rFonts w:ascii="宋体" w:hAnsi="宋体"/>
                <w:color w:val="auto"/>
                <w:szCs w:val="21"/>
              </w:rPr>
            </w:pPr>
            <w:r>
              <w:rPr>
                <w:rFonts w:ascii="宋体" w:hAnsi="宋体"/>
                <w:color w:val="auto"/>
                <w:szCs w:val="21"/>
              </w:rPr>
              <w:t>6</w:t>
            </w:r>
          </w:p>
        </w:tc>
        <w:tc>
          <w:tcPr>
            <w:tcW w:w="2140"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工作台阶宽度</w:t>
            </w:r>
          </w:p>
        </w:tc>
        <w:tc>
          <w:tcPr>
            <w:tcW w:w="1419" w:type="dxa"/>
            <w:vAlign w:val="center"/>
          </w:tcPr>
          <w:p>
            <w:pPr>
              <w:widowControl/>
              <w:adjustRightInd w:val="0"/>
              <w:snapToGrid w:val="0"/>
              <w:jc w:val="center"/>
              <w:rPr>
                <w:rFonts w:ascii="宋体" w:hAnsi="宋体"/>
                <w:bCs/>
                <w:color w:val="auto"/>
                <w:szCs w:val="21"/>
              </w:rPr>
            </w:pPr>
            <w:r>
              <w:rPr>
                <w:rFonts w:hint="eastAsia" w:ascii="宋体" w:hAnsi="宋体"/>
                <w:bCs/>
                <w:color w:val="auto"/>
                <w:szCs w:val="21"/>
              </w:rPr>
              <w:t>m</w:t>
            </w:r>
          </w:p>
        </w:tc>
        <w:tc>
          <w:tcPr>
            <w:tcW w:w="1419" w:type="dxa"/>
            <w:vAlign w:val="center"/>
          </w:tcPr>
          <w:p>
            <w:pPr>
              <w:widowControl/>
              <w:adjustRightInd w:val="0"/>
              <w:snapToGrid w:val="0"/>
              <w:jc w:val="center"/>
              <w:rPr>
                <w:rFonts w:ascii="宋体" w:hAnsi="宋体"/>
                <w:bCs/>
                <w:color w:val="auto"/>
                <w:szCs w:val="21"/>
              </w:rPr>
            </w:pPr>
            <w:r>
              <w:rPr>
                <w:rFonts w:ascii="宋体" w:hAnsi="宋体"/>
                <w:bCs/>
                <w:color w:val="auto"/>
                <w:szCs w:val="21"/>
              </w:rPr>
              <w:t>15</w:t>
            </w:r>
          </w:p>
        </w:tc>
        <w:tc>
          <w:tcPr>
            <w:tcW w:w="2584" w:type="dxa"/>
            <w:vAlign w:val="center"/>
          </w:tcPr>
          <w:p>
            <w:pPr>
              <w:widowControl/>
              <w:adjustRightInd w:val="0"/>
              <w:snapToGrid w:val="0"/>
              <w:jc w:val="center"/>
              <w:rPr>
                <w:rFonts w:ascii="宋体" w:hAnsi="宋体"/>
                <w:bCs/>
                <w:color w:val="auto"/>
                <w:szCs w:val="21"/>
              </w:rPr>
            </w:pPr>
          </w:p>
        </w:tc>
      </w:tr>
    </w:tbl>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7通风防尘系统</w:t>
      </w:r>
    </w:p>
    <w:p>
      <w:pPr>
        <w:widowControl/>
        <w:spacing w:line="500" w:lineRule="exact"/>
        <w:ind w:firstLine="480" w:firstLineChars="200"/>
        <w:rPr>
          <w:rFonts w:ascii="宋体" w:hAnsi="宋体"/>
          <w:color w:val="auto"/>
          <w:sz w:val="24"/>
        </w:rPr>
      </w:pPr>
      <w:r>
        <w:rPr>
          <w:rFonts w:hint="eastAsia" w:ascii="宋体" w:hAnsi="宋体"/>
          <w:color w:val="auto"/>
          <w:sz w:val="24"/>
        </w:rPr>
        <w:t>矿山开采过程中主要通过</w:t>
      </w:r>
      <w:r>
        <w:rPr>
          <w:rFonts w:ascii="宋体" w:hAnsi="宋体"/>
          <w:color w:val="auto"/>
          <w:sz w:val="24"/>
        </w:rPr>
        <w:t>湿式作业、</w:t>
      </w:r>
      <w:r>
        <w:rPr>
          <w:rFonts w:hint="eastAsia" w:ascii="宋体" w:hAnsi="宋体"/>
          <w:color w:val="auto"/>
          <w:sz w:val="24"/>
        </w:rPr>
        <w:t>配备</w:t>
      </w:r>
      <w:r>
        <w:rPr>
          <w:rFonts w:ascii="宋体" w:hAnsi="宋体"/>
          <w:color w:val="auto"/>
          <w:sz w:val="24"/>
        </w:rPr>
        <w:t>洒水设备、加强个人防护等措施加以防护</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hint="eastAsia" w:ascii="宋体" w:hAnsi="宋体"/>
          <w:color w:val="auto"/>
          <w:sz w:val="24"/>
        </w:rPr>
        <w:t>该矿山</w:t>
      </w:r>
      <w:r>
        <w:rPr>
          <w:rFonts w:ascii="宋体" w:hAnsi="宋体"/>
          <w:color w:val="auto"/>
          <w:sz w:val="24"/>
        </w:rPr>
        <w:t>为山坡露天开采，不设</w:t>
      </w:r>
      <w:r>
        <w:rPr>
          <w:rFonts w:hint="eastAsia" w:ascii="宋体" w:hAnsi="宋体"/>
          <w:color w:val="auto"/>
          <w:sz w:val="24"/>
        </w:rPr>
        <w:t>通风</w:t>
      </w:r>
      <w:r>
        <w:rPr>
          <w:rFonts w:ascii="宋体" w:hAnsi="宋体"/>
          <w:color w:val="auto"/>
          <w:sz w:val="24"/>
        </w:rPr>
        <w:t>系统。</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8矿山供配电设施</w:t>
      </w:r>
    </w:p>
    <w:p>
      <w:pPr>
        <w:widowControl/>
        <w:spacing w:line="500" w:lineRule="exact"/>
        <w:ind w:firstLine="480" w:firstLineChars="200"/>
        <w:rPr>
          <w:rFonts w:ascii="宋体" w:hAnsi="宋体"/>
          <w:color w:val="auto"/>
          <w:sz w:val="24"/>
        </w:rPr>
      </w:pPr>
      <w:r>
        <w:rPr>
          <w:rFonts w:hint="eastAsia" w:ascii="宋体" w:hAnsi="宋体"/>
          <w:color w:val="auto"/>
          <w:kern w:val="24"/>
          <w:sz w:val="24"/>
        </w:rPr>
        <w:t>矿山露天采场生产设备全部为柴油动力设备，无需电力。矿山办公生活区、机修房等辅助设施用电接用当地低压供电线路。</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9防排水系统</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矿区地势西南高东北低，露天采场位于一侧山坡地形，为山坡形露天矿，周围没有高、陡沟谷。区内附近没有大的河流经过，也无水库、鱼塘等。矿体位于当地侵蚀基准面以上。矿区地形坡度大，自然排泄条件良好。</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采场防排水主要为场外截洪和场内台阶截水，采用截水沟分段截水，自流排水方式。</w:t>
      </w:r>
    </w:p>
    <w:p>
      <w:pPr>
        <w:widowControl/>
        <w:autoSpaceDE w:val="0"/>
        <w:autoSpaceDN w:val="0"/>
        <w:adjustRightInd w:val="0"/>
        <w:spacing w:line="5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）采场内外部截水</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在采场两侧开采境界外，距离采场边界5～10m挖掘0.8m×0.8m的截洪沟，截排采场外的雨水，截洪沟截留的汇水向西北分流至境界外北部的山沟地带约225m标高的沉砂池，沉淀后排放。场内分别在各清扫平台距终了台阶坡脚1.0m处开掘截水沟，对其上部汇水截流并导出采场，与采场外截洪沟内的排水一同汇入沉淀池，沉淀后排放。</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采场截水沟由中间分水点向两端降坡，水力坡度不小于0.15%，采用递增矩形断面，中间分水点断面宽度0.5m，深度0.5m，向下游每隔50m，断面宽度增加0.1m，深度增加0.1m。</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采场截水沟一般不需砌筑，遇节理、裂隙或岩溶破坏部位，采用砂浆砌块。工作面局部截水，可在工作平台内侧挖掘简易排水沟，排水沟采用梯形断面，底宽为0.3m，顶部宽度为0.6m，沟深0.3m，排水沟环绕台阶坡地坡脚掘进，将汇水导流至采场外。</w:t>
      </w:r>
    </w:p>
    <w:p>
      <w:pPr>
        <w:widowControl/>
        <w:autoSpaceDE w:val="0"/>
        <w:autoSpaceDN w:val="0"/>
        <w:adjustRightInd w:val="0"/>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）边坡二级截水与坡面泄水吊沟</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随采场下降形成边坡安全措施平台后，措施平台要设置二级截水沟，将上部边坡径流分洪到采场外部，以减少下部边坡的径流冲蚀。</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当采场平台由于地势原因无法向采场外部分洪时，应在边坡上设置泄水吊沟。泄水吊沟应选择在矿岩结构比较稳固、坡面耐冲刷的位置。泄水吊沟的结构形式根据现场情况而定，可以简单开凿形成凹槽，也可以两侧构筑挡水板。设置泄水吊沟的主要目的是引导边坡径流在适宜位置有序排放，防止对结构不稳定边坡造成冲蚀破坏。</w:t>
      </w:r>
    </w:p>
    <w:p>
      <w:pPr>
        <w:widowControl/>
        <w:autoSpaceDE w:val="0"/>
        <w:autoSpaceDN w:val="0"/>
        <w:adjustRightInd w:val="0"/>
        <w:spacing w:line="5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）采场防排水措施</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（1）终了边坡台阶设置永久性排水沟，将坡面汇流引向境界外截水沟或边坡泄水吊沟；</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（2）生产台阶设置临时导水沟，防止汇水径流冲蚀台阶坡面；</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（3）可能临时存放剥离土、风化废石的生产平台要重点搞好防排水，防止形成泥石流灾害；</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（4）采场边坡上部的排水系统要力求与境界外截水沟贯通，采场下部的排水系统要与矿区总排洪沟贯通。</w:t>
      </w:r>
    </w:p>
    <w:p>
      <w:pPr>
        <w:widowControl/>
        <w:autoSpaceDE w:val="0"/>
        <w:autoSpaceDN w:val="0"/>
        <w:adjustRightInd w:val="0"/>
        <w:spacing w:line="500" w:lineRule="exac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）矿区场地防排水</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（1）工业场地、服务区、料场要设置永久性排洪沟，并与矿区总排洪沟贯通。</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（2）矿区要修筑总排洪沟和下游沉砂池。除境界外部的截水直接排放外，矿区内的汇水要通过总排洪沟引入沉砂池，澄清后再排放。沉砂池总容积500m</w:t>
      </w:r>
      <w:r>
        <w:rPr>
          <w:rFonts w:hint="eastAsia" w:ascii="宋体" w:hAnsi="宋体"/>
          <w:color w:val="auto"/>
          <w:sz w:val="24"/>
          <w:vertAlign w:val="superscript"/>
        </w:rPr>
        <w:t>3</w:t>
      </w:r>
      <w:r>
        <w:rPr>
          <w:rFonts w:hint="eastAsia" w:ascii="宋体" w:hAnsi="宋体"/>
          <w:color w:val="auto"/>
          <w:sz w:val="24"/>
        </w:rPr>
        <w:t>，分两级沉淀，以利于沉砂清理和排放水的澄清，水质排放标准要求泥砂含量不大于500g/m</w:t>
      </w:r>
      <w:r>
        <w:rPr>
          <w:rFonts w:hint="eastAsia" w:ascii="宋体" w:hAnsi="宋体"/>
          <w:color w:val="auto"/>
          <w:sz w:val="24"/>
          <w:vertAlign w:val="superscript"/>
        </w:rPr>
        <w:t>3</w:t>
      </w:r>
      <w:r>
        <w:rPr>
          <w:rFonts w:hint="eastAsia" w:ascii="宋体" w:hAnsi="宋体"/>
          <w:color w:val="auto"/>
          <w:sz w:val="24"/>
        </w:rPr>
        <w:t>。</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（3）场地各级分支排洪沟和总排洪沟要保证合理的水力坡度和过水断面，雨季要经常检查，修缮。水力坡度一般不小于5～10‰。</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（4）矿区总排洪沟的泄流走向，应对下游村镇、市政的环境安全不构成妨害。</w:t>
      </w:r>
    </w:p>
    <w:p>
      <w:pPr>
        <w:widowControl/>
        <w:autoSpaceDE w:val="0"/>
        <w:autoSpaceDN w:val="0"/>
        <w:adjustRightInd w:val="0"/>
        <w:spacing w:line="500" w:lineRule="exac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）排土场防排水</w:t>
      </w:r>
    </w:p>
    <w:p>
      <w:pPr>
        <w:widowControl/>
        <w:autoSpaceDE w:val="0"/>
        <w:autoSpaceDN w:val="0"/>
        <w:adjustRightInd w:val="0"/>
        <w:spacing w:line="500" w:lineRule="exact"/>
        <w:ind w:firstLine="480" w:firstLineChars="200"/>
        <w:rPr>
          <w:rFonts w:ascii="宋体" w:hAnsi="宋体"/>
          <w:color w:val="auto"/>
          <w:sz w:val="24"/>
        </w:rPr>
      </w:pPr>
      <w:r>
        <w:rPr>
          <w:rFonts w:hint="eastAsia" w:ascii="宋体" w:hAnsi="宋体"/>
          <w:color w:val="auto"/>
          <w:sz w:val="24"/>
        </w:rPr>
        <w:t>排土场西侧由上山公路水沟截排外部汇水，东侧挖掘1.0m×0.8m的截洪沟，截排排土场上部山坡的雨水，水力坡度不小于1%，截洪沟截留的汇水分流至北部的沉沙池，再排出山沟地带。</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w:t>
      </w:r>
      <w:r>
        <w:rPr>
          <w:rFonts w:ascii="宋体" w:hAnsi="宋体"/>
          <w:color w:val="auto"/>
          <w:kern w:val="28"/>
          <w:sz w:val="28"/>
          <w:szCs w:val="28"/>
        </w:rPr>
        <w:t>10</w:t>
      </w:r>
      <w:r>
        <w:rPr>
          <w:rFonts w:hint="eastAsia" w:ascii="宋体" w:hAnsi="宋体"/>
          <w:color w:val="auto"/>
          <w:kern w:val="28"/>
          <w:sz w:val="28"/>
          <w:szCs w:val="28"/>
        </w:rPr>
        <w:t>排土场</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1</w:t>
      </w:r>
      <w:r>
        <w:rPr>
          <w:rFonts w:hint="eastAsia" w:ascii="宋体" w:hAnsi="宋体"/>
          <w:color w:val="auto"/>
          <w:kern w:val="24"/>
          <w:sz w:val="24"/>
        </w:rPr>
        <w:t>）排土场选址及周边环境</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矿山现有排土场位于矿体外东面山窝。现场勘查时，矿山排土场已按原开发利用方案要求进行了建设，但无拦挡坝、截排水沟，排土场未复绿。</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根据测量资料，排土场上部标高为+298m，下部标高为+256m，为山坡型排土场，一个排土台阶，台阶高度为42m。弃土量约为7.47万m³。排土场边坡现状较稳定。</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2</w:t>
      </w:r>
      <w:r>
        <w:rPr>
          <w:rFonts w:hint="eastAsia" w:ascii="宋体" w:hAnsi="宋体"/>
          <w:color w:val="auto"/>
          <w:kern w:val="24"/>
          <w:sz w:val="24"/>
        </w:rPr>
        <w:t>）需要排土场容积</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矿山前期已完成矿体剥离，剥离量为0。本次设计不再新增弃土量。设计对排土场按规程要求进行完善，在排土场下游建设拦挡坝、沉淀池，在排土场周边设置截排水沟，对坡面进行复绿。</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3</w:t>
      </w:r>
      <w:bookmarkStart w:id="170" w:name="_Toc292914386"/>
      <w:r>
        <w:rPr>
          <w:rFonts w:hint="eastAsia" w:ascii="宋体" w:hAnsi="宋体"/>
          <w:color w:val="auto"/>
          <w:kern w:val="24"/>
          <w:sz w:val="24"/>
        </w:rPr>
        <w:t>）</w:t>
      </w:r>
      <w:r>
        <w:rPr>
          <w:rFonts w:ascii="宋体" w:hAnsi="宋体"/>
          <w:color w:val="auto"/>
          <w:kern w:val="24"/>
          <w:sz w:val="24"/>
        </w:rPr>
        <w:t>排土场防排水</w:t>
      </w:r>
      <w:bookmarkEnd w:id="170"/>
    </w:p>
    <w:p>
      <w:pPr>
        <w:widowControl/>
        <w:spacing w:line="500" w:lineRule="exact"/>
        <w:ind w:firstLine="480" w:firstLineChars="200"/>
        <w:rPr>
          <w:rFonts w:ascii="宋体" w:hAnsi="宋体"/>
          <w:color w:val="auto"/>
          <w:kern w:val="24"/>
          <w:sz w:val="24"/>
        </w:rPr>
      </w:pPr>
      <w:r>
        <w:rPr>
          <w:rFonts w:ascii="宋体" w:hAnsi="宋体"/>
          <w:color w:val="auto"/>
          <w:kern w:val="24"/>
          <w:sz w:val="24"/>
        </w:rPr>
        <w:t>外部截水：排土场</w:t>
      </w:r>
      <w:r>
        <w:rPr>
          <w:rFonts w:hint="eastAsia" w:ascii="宋体" w:hAnsi="宋体"/>
          <w:color w:val="auto"/>
          <w:kern w:val="24"/>
          <w:sz w:val="24"/>
        </w:rPr>
        <w:t>东侧</w:t>
      </w:r>
      <w:r>
        <w:rPr>
          <w:rFonts w:ascii="宋体" w:hAnsi="宋体"/>
          <w:color w:val="auto"/>
          <w:kern w:val="24"/>
          <w:sz w:val="24"/>
        </w:rPr>
        <w:t>挖掘1.0m×0.8m的截洪沟，截排排土场上部山坡的雨水，水力坡度不小于2%，截洪沟截留的汇水分东、西分流至南部的沉沙池，再排出山沟地表，汇入地表水系。</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内部排水：排土场平台设置2％～3％的反坡，并在排土场各平台修筑排水沟拦截坡面汇水并接入主沟。在排土场底部设置排水暗管，把渗入排土场内部的雨水排出场外。</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排土场下游设置拦挡坝，拦挡坝为透水土石坝，坝顶标高</w:t>
      </w:r>
      <w:r>
        <w:rPr>
          <w:rFonts w:hint="eastAsia" w:ascii="宋体" w:hAnsi="宋体"/>
          <w:color w:val="auto"/>
          <w:kern w:val="24"/>
          <w:sz w:val="24"/>
        </w:rPr>
        <w:t>253</w:t>
      </w:r>
      <w:r>
        <w:rPr>
          <w:rFonts w:ascii="宋体" w:hAnsi="宋体"/>
          <w:color w:val="auto"/>
          <w:kern w:val="24"/>
          <w:sz w:val="24"/>
        </w:rPr>
        <w:t>m，坝高</w:t>
      </w:r>
      <w:r>
        <w:rPr>
          <w:rFonts w:hint="eastAsia" w:ascii="宋体" w:hAnsi="宋体"/>
          <w:color w:val="auto"/>
          <w:kern w:val="24"/>
          <w:sz w:val="24"/>
        </w:rPr>
        <w:t>6</w:t>
      </w:r>
      <w:r>
        <w:rPr>
          <w:rFonts w:ascii="宋体" w:hAnsi="宋体"/>
          <w:color w:val="auto"/>
          <w:kern w:val="24"/>
          <w:sz w:val="24"/>
        </w:rPr>
        <w:t>～</w:t>
      </w:r>
      <w:r>
        <w:rPr>
          <w:rFonts w:hint="eastAsia" w:ascii="宋体" w:hAnsi="宋体"/>
          <w:color w:val="auto"/>
          <w:kern w:val="24"/>
          <w:sz w:val="24"/>
        </w:rPr>
        <w:t>8</w:t>
      </w:r>
      <w:r>
        <w:rPr>
          <w:rFonts w:ascii="宋体" w:hAnsi="宋体"/>
          <w:color w:val="auto"/>
          <w:kern w:val="24"/>
          <w:sz w:val="24"/>
        </w:rPr>
        <w:t>m。坝轴线长约</w:t>
      </w:r>
      <w:r>
        <w:rPr>
          <w:rFonts w:hint="eastAsia" w:ascii="宋体" w:hAnsi="宋体"/>
          <w:color w:val="auto"/>
          <w:kern w:val="24"/>
          <w:sz w:val="24"/>
        </w:rPr>
        <w:t>2</w:t>
      </w:r>
      <w:r>
        <w:rPr>
          <w:rFonts w:ascii="宋体" w:hAnsi="宋体"/>
          <w:color w:val="auto"/>
          <w:kern w:val="24"/>
          <w:sz w:val="24"/>
        </w:rPr>
        <w:t>0m，基底挖掘至中风化层硬底基岩深约1m，坝体两端各穿入山体深度约1m。基底至地面以上2m内采用大块岩石堆积，便于泄水。坝体2m以上为泥土岩石混合压实而成，泥土与岩石比例为7：3以增加坝体稳定。其截面形状为梯形，参数如下：</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（1）坝基深度1m；</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（2）中心部位地面坝高约</w:t>
      </w:r>
      <w:r>
        <w:rPr>
          <w:rFonts w:hint="eastAsia" w:ascii="宋体" w:hAnsi="宋体"/>
          <w:color w:val="auto"/>
          <w:kern w:val="24"/>
          <w:sz w:val="24"/>
        </w:rPr>
        <w:t>8</w:t>
      </w:r>
      <w:r>
        <w:rPr>
          <w:rFonts w:ascii="宋体" w:hAnsi="宋体"/>
          <w:color w:val="auto"/>
          <w:kern w:val="24"/>
          <w:sz w:val="24"/>
        </w:rPr>
        <w:t>m；</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（3）坝顶宽3m；</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（4）外坡</w:t>
      </w:r>
      <w:r>
        <w:rPr>
          <w:rFonts w:hint="eastAsia" w:ascii="宋体" w:hAnsi="宋体"/>
          <w:color w:val="auto"/>
          <w:kern w:val="24"/>
          <w:sz w:val="24"/>
        </w:rPr>
        <w:t>比1:1.5</w:t>
      </w:r>
      <w:r>
        <w:rPr>
          <w:rFonts w:ascii="宋体" w:hAnsi="宋体"/>
          <w:color w:val="auto"/>
          <w:kern w:val="24"/>
          <w:sz w:val="24"/>
        </w:rPr>
        <w:t>；</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（5）内坡</w:t>
      </w:r>
      <w:r>
        <w:rPr>
          <w:rFonts w:hint="eastAsia" w:ascii="宋体" w:hAnsi="宋体"/>
          <w:color w:val="auto"/>
          <w:kern w:val="24"/>
          <w:sz w:val="24"/>
        </w:rPr>
        <w:t>比1:1.</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排土场拦挡坝坡底</w:t>
      </w:r>
      <w:r>
        <w:rPr>
          <w:rFonts w:hint="eastAsia" w:ascii="宋体" w:hAnsi="宋体"/>
          <w:color w:val="auto"/>
          <w:kern w:val="24"/>
          <w:sz w:val="24"/>
        </w:rPr>
        <w:t>不</w:t>
      </w:r>
      <w:r>
        <w:rPr>
          <w:rFonts w:ascii="宋体" w:hAnsi="宋体"/>
          <w:color w:val="auto"/>
          <w:kern w:val="24"/>
          <w:sz w:val="24"/>
        </w:rPr>
        <w:t>设置沉砂池，汇水</w:t>
      </w:r>
      <w:r>
        <w:rPr>
          <w:rFonts w:hint="eastAsia" w:ascii="宋体" w:hAnsi="宋体"/>
          <w:color w:val="auto"/>
          <w:kern w:val="24"/>
          <w:sz w:val="24"/>
        </w:rPr>
        <w:t>进入矿区北部沉砂池</w:t>
      </w:r>
      <w:r>
        <w:rPr>
          <w:rFonts w:ascii="宋体" w:hAnsi="宋体"/>
          <w:color w:val="auto"/>
          <w:kern w:val="24"/>
          <w:sz w:val="24"/>
        </w:rPr>
        <w:t>沉淀后</w:t>
      </w:r>
      <w:r>
        <w:rPr>
          <w:rFonts w:hint="eastAsia" w:ascii="宋体" w:hAnsi="宋体"/>
          <w:color w:val="auto"/>
          <w:kern w:val="24"/>
          <w:sz w:val="24"/>
        </w:rPr>
        <w:t>排放</w:t>
      </w:r>
      <w:r>
        <w:rPr>
          <w:rFonts w:ascii="宋体" w:hAnsi="宋体"/>
          <w:color w:val="auto"/>
          <w:kern w:val="24"/>
          <w:sz w:val="24"/>
        </w:rPr>
        <w:t>。</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2.4.1</w:t>
      </w:r>
      <w:r>
        <w:rPr>
          <w:rFonts w:ascii="宋体" w:hAnsi="宋体"/>
          <w:color w:val="auto"/>
          <w:kern w:val="28"/>
          <w:sz w:val="28"/>
          <w:szCs w:val="28"/>
        </w:rPr>
        <w:t>1</w:t>
      </w:r>
      <w:r>
        <w:rPr>
          <w:rFonts w:hint="eastAsia" w:ascii="宋体" w:hAnsi="宋体"/>
          <w:color w:val="auto"/>
          <w:kern w:val="28"/>
          <w:sz w:val="28"/>
          <w:szCs w:val="28"/>
        </w:rPr>
        <w:t>安全管理及其他</w:t>
      </w:r>
    </w:p>
    <w:p>
      <w:pPr>
        <w:widowControl/>
        <w:spacing w:line="500" w:lineRule="exact"/>
        <w:ind w:firstLine="482" w:firstLineChars="200"/>
        <w:rPr>
          <w:rFonts w:ascii="宋体" w:hAnsi="宋体"/>
          <w:b/>
          <w:bCs/>
          <w:color w:val="auto"/>
          <w:sz w:val="24"/>
        </w:rPr>
      </w:pPr>
      <w:r>
        <w:rPr>
          <w:rFonts w:hint="eastAsia" w:ascii="宋体" w:hAnsi="宋体"/>
          <w:b/>
          <w:bCs/>
          <w:color w:val="auto"/>
          <w:sz w:val="24"/>
        </w:rPr>
        <w:t>1）组织机构</w:t>
      </w:r>
    </w:p>
    <w:p>
      <w:pPr>
        <w:widowControl/>
        <w:spacing w:line="500" w:lineRule="exact"/>
        <w:ind w:firstLine="480" w:firstLineChars="200"/>
        <w:rPr>
          <w:rFonts w:ascii="宋体" w:hAnsi="宋体"/>
          <w:color w:val="auto"/>
          <w:sz w:val="24"/>
        </w:rPr>
      </w:pPr>
      <w:r>
        <w:rPr>
          <w:rFonts w:hint="eastAsia" w:ascii="宋体" w:hAnsi="宋体"/>
          <w:color w:val="auto"/>
          <w:sz w:val="24"/>
        </w:rPr>
        <w:t>矿山设矿部综合办公室，负责生产安全、供销、财务等部门。下设采场，负责矿山采矿生产。</w:t>
      </w:r>
    </w:p>
    <w:p>
      <w:pPr>
        <w:widowControl/>
        <w:spacing w:line="500" w:lineRule="exact"/>
        <w:ind w:firstLine="482" w:firstLineChars="200"/>
        <w:rPr>
          <w:rFonts w:ascii="宋体" w:hAnsi="宋体"/>
          <w:b/>
          <w:bCs/>
          <w:color w:val="auto"/>
          <w:sz w:val="24"/>
        </w:rPr>
      </w:pPr>
      <w:r>
        <w:rPr>
          <w:rFonts w:ascii="宋体" w:hAnsi="宋体"/>
          <w:b/>
          <w:bCs/>
          <w:color w:val="auto"/>
          <w:sz w:val="24"/>
        </w:rPr>
        <w:t>2</w:t>
      </w:r>
      <w:r>
        <w:rPr>
          <w:rFonts w:hint="eastAsia" w:ascii="宋体" w:hAnsi="宋体"/>
          <w:b/>
          <w:bCs/>
          <w:color w:val="auto"/>
          <w:sz w:val="24"/>
        </w:rPr>
        <w:t>）劳动定员</w:t>
      </w:r>
    </w:p>
    <w:p>
      <w:pPr>
        <w:widowControl/>
        <w:spacing w:line="500" w:lineRule="exact"/>
        <w:ind w:firstLine="480" w:firstLineChars="200"/>
        <w:rPr>
          <w:rFonts w:ascii="宋体" w:hAnsi="宋体"/>
          <w:color w:val="auto"/>
          <w:sz w:val="24"/>
        </w:rPr>
      </w:pPr>
      <w:r>
        <w:rPr>
          <w:rFonts w:hint="eastAsia" w:ascii="宋体" w:hAnsi="宋体"/>
          <w:color w:val="auto"/>
          <w:sz w:val="24"/>
        </w:rPr>
        <w:t>整个矿山定员</w:t>
      </w:r>
      <w:r>
        <w:rPr>
          <w:rFonts w:ascii="宋体" w:hAnsi="宋体"/>
          <w:color w:val="auto"/>
          <w:sz w:val="24"/>
        </w:rPr>
        <w:t>17</w:t>
      </w:r>
      <w:r>
        <w:rPr>
          <w:rFonts w:hint="eastAsia" w:ascii="宋体" w:hAnsi="宋体"/>
          <w:color w:val="auto"/>
          <w:sz w:val="24"/>
        </w:rPr>
        <w:t>人，其中：安全管理人员</w:t>
      </w:r>
      <w:r>
        <w:rPr>
          <w:rFonts w:ascii="宋体" w:hAnsi="宋体"/>
          <w:color w:val="auto"/>
          <w:sz w:val="24"/>
        </w:rPr>
        <w:t>3</w:t>
      </w:r>
      <w:r>
        <w:rPr>
          <w:rFonts w:hint="eastAsia" w:ascii="宋体" w:hAnsi="宋体"/>
          <w:color w:val="auto"/>
          <w:sz w:val="24"/>
        </w:rPr>
        <w:t>人。</w:t>
      </w:r>
    </w:p>
    <w:p>
      <w:pPr>
        <w:widowControl/>
        <w:spacing w:line="500" w:lineRule="exact"/>
        <w:ind w:firstLine="482" w:firstLineChars="200"/>
        <w:rPr>
          <w:rFonts w:ascii="宋体" w:hAnsi="宋体"/>
          <w:b/>
          <w:bCs/>
          <w:color w:val="auto"/>
          <w:sz w:val="24"/>
        </w:rPr>
      </w:pPr>
      <w:r>
        <w:rPr>
          <w:rFonts w:ascii="宋体" w:hAnsi="宋体"/>
          <w:b/>
          <w:bCs/>
          <w:color w:val="auto"/>
          <w:sz w:val="24"/>
        </w:rPr>
        <w:t>3</w:t>
      </w:r>
      <w:r>
        <w:rPr>
          <w:rFonts w:hint="eastAsia" w:ascii="宋体" w:hAnsi="宋体"/>
          <w:b/>
          <w:bCs/>
          <w:color w:val="auto"/>
          <w:sz w:val="24"/>
        </w:rPr>
        <w:t>）投资估算</w:t>
      </w:r>
    </w:p>
    <w:p>
      <w:pPr>
        <w:widowControl/>
        <w:spacing w:line="500" w:lineRule="exact"/>
        <w:ind w:firstLine="480" w:firstLineChars="200"/>
        <w:rPr>
          <w:rFonts w:ascii="宋体" w:hAnsi="宋体"/>
          <w:color w:val="auto"/>
          <w:sz w:val="24"/>
        </w:rPr>
      </w:pPr>
      <w:r>
        <w:rPr>
          <w:rFonts w:hint="eastAsia" w:ascii="宋体" w:hAnsi="宋体"/>
          <w:color w:val="auto"/>
          <w:sz w:val="24"/>
        </w:rPr>
        <w:t>根据可行性研究报告，矿山总投资约</w:t>
      </w:r>
      <w:r>
        <w:rPr>
          <w:rFonts w:ascii="宋体" w:hAnsi="宋体"/>
          <w:color w:val="auto"/>
          <w:sz w:val="24"/>
        </w:rPr>
        <w:t>409.34</w:t>
      </w:r>
      <w:r>
        <w:rPr>
          <w:rFonts w:hint="eastAsia" w:ascii="宋体" w:hAnsi="宋体"/>
          <w:color w:val="auto"/>
          <w:sz w:val="24"/>
        </w:rPr>
        <w:t>万元人民币，矿山基建投资和流动资金全部由采矿权人自筹。</w:t>
      </w:r>
    </w:p>
    <w:p>
      <w:pPr>
        <w:widowControl/>
        <w:spacing w:line="500" w:lineRule="exact"/>
        <w:ind w:firstLine="482" w:firstLineChars="200"/>
        <w:rPr>
          <w:rFonts w:ascii="宋体" w:hAnsi="宋体"/>
          <w:b/>
          <w:bCs/>
          <w:color w:val="auto"/>
          <w:sz w:val="24"/>
        </w:rPr>
      </w:pPr>
      <w:r>
        <w:rPr>
          <w:rFonts w:ascii="宋体" w:hAnsi="宋体"/>
          <w:b/>
          <w:bCs/>
          <w:color w:val="auto"/>
          <w:sz w:val="24"/>
        </w:rPr>
        <w:t>4</w:t>
      </w:r>
      <w:r>
        <w:rPr>
          <w:rFonts w:hint="eastAsia" w:ascii="宋体" w:hAnsi="宋体"/>
          <w:b/>
          <w:bCs/>
          <w:color w:val="auto"/>
          <w:sz w:val="24"/>
        </w:rPr>
        <w:t>）设备选型</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矿山开采的主要设备见下表</w:t>
      </w:r>
      <w:r>
        <w:rPr>
          <w:rFonts w:ascii="宋体" w:hAnsi="宋体"/>
          <w:color w:val="auto"/>
          <w:kern w:val="24"/>
          <w:sz w:val="24"/>
        </w:rPr>
        <w:t>2.4-4</w:t>
      </w:r>
      <w:r>
        <w:rPr>
          <w:rFonts w:hint="eastAsia" w:ascii="宋体" w:hAnsi="宋体"/>
          <w:color w:val="auto"/>
          <w:kern w:val="24"/>
          <w:sz w:val="24"/>
        </w:rPr>
        <w:t>。</w:t>
      </w:r>
    </w:p>
    <w:p>
      <w:pPr>
        <w:keepNext/>
        <w:widowControl/>
        <w:spacing w:line="500" w:lineRule="exact"/>
        <w:jc w:val="center"/>
        <w:outlineLvl w:val="4"/>
        <w:rPr>
          <w:rFonts w:ascii="宋体" w:hAnsi="宋体"/>
          <w:b/>
          <w:color w:val="auto"/>
          <w:sz w:val="24"/>
        </w:rPr>
      </w:pPr>
      <w:r>
        <w:rPr>
          <w:rFonts w:hint="eastAsia" w:ascii="宋体" w:hAnsi="宋体"/>
          <w:b/>
          <w:color w:val="auto"/>
          <w:sz w:val="24"/>
        </w:rPr>
        <w:t>表2</w:t>
      </w:r>
      <w:r>
        <w:rPr>
          <w:rFonts w:ascii="宋体" w:hAnsi="宋体"/>
          <w:b/>
          <w:color w:val="auto"/>
          <w:sz w:val="24"/>
        </w:rPr>
        <w:t xml:space="preserve">.4-4 </w:t>
      </w:r>
      <w:r>
        <w:rPr>
          <w:rFonts w:hint="eastAsia" w:ascii="宋体" w:hAnsi="宋体"/>
          <w:b/>
          <w:color w:val="auto"/>
          <w:sz w:val="24"/>
        </w:rPr>
        <w:t>设备选型</w:t>
      </w:r>
    </w:p>
    <w:tbl>
      <w:tblPr>
        <w:tblStyle w:val="41"/>
        <w:tblW w:w="84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88"/>
        <w:gridCol w:w="1631"/>
        <w:gridCol w:w="1780"/>
        <w:gridCol w:w="890"/>
        <w:gridCol w:w="1928"/>
        <w:gridCol w:w="14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0" w:hRule="atLeast"/>
          <w:tblHeader/>
          <w:jc w:val="center"/>
        </w:trPr>
        <w:tc>
          <w:tcPr>
            <w:tcW w:w="788" w:type="dxa"/>
            <w:vAlign w:val="center"/>
          </w:tcPr>
          <w:p>
            <w:pPr>
              <w:widowControl/>
              <w:jc w:val="center"/>
              <w:rPr>
                <w:rFonts w:ascii="宋体" w:hAnsi="宋体"/>
                <w:b/>
                <w:bCs/>
                <w:color w:val="auto"/>
                <w:kern w:val="21"/>
                <w:szCs w:val="21"/>
              </w:rPr>
            </w:pPr>
            <w:r>
              <w:rPr>
                <w:rFonts w:ascii="宋体" w:hAnsi="宋体"/>
                <w:b/>
                <w:bCs/>
                <w:color w:val="auto"/>
                <w:kern w:val="21"/>
                <w:szCs w:val="21"/>
              </w:rPr>
              <w:t>序号</w:t>
            </w:r>
          </w:p>
        </w:tc>
        <w:tc>
          <w:tcPr>
            <w:tcW w:w="1631" w:type="dxa"/>
            <w:vAlign w:val="center"/>
          </w:tcPr>
          <w:p>
            <w:pPr>
              <w:widowControl/>
              <w:jc w:val="center"/>
              <w:rPr>
                <w:rFonts w:ascii="宋体" w:hAnsi="宋体"/>
                <w:b/>
                <w:bCs/>
                <w:color w:val="auto"/>
                <w:kern w:val="21"/>
                <w:szCs w:val="21"/>
              </w:rPr>
            </w:pPr>
            <w:r>
              <w:rPr>
                <w:rFonts w:ascii="宋体" w:hAnsi="宋体"/>
                <w:b/>
                <w:bCs/>
                <w:color w:val="auto"/>
                <w:kern w:val="21"/>
                <w:szCs w:val="21"/>
              </w:rPr>
              <w:t>设备名称</w:t>
            </w:r>
          </w:p>
        </w:tc>
        <w:tc>
          <w:tcPr>
            <w:tcW w:w="1780" w:type="dxa"/>
            <w:vAlign w:val="center"/>
          </w:tcPr>
          <w:p>
            <w:pPr>
              <w:widowControl/>
              <w:jc w:val="center"/>
              <w:rPr>
                <w:rFonts w:ascii="宋体" w:hAnsi="宋体"/>
                <w:b/>
                <w:bCs/>
                <w:color w:val="auto"/>
                <w:kern w:val="21"/>
                <w:szCs w:val="21"/>
              </w:rPr>
            </w:pPr>
            <w:r>
              <w:rPr>
                <w:rFonts w:ascii="宋体" w:hAnsi="宋体"/>
                <w:b/>
                <w:bCs/>
                <w:color w:val="auto"/>
                <w:kern w:val="21"/>
                <w:szCs w:val="21"/>
              </w:rPr>
              <w:t>规格型号</w:t>
            </w:r>
          </w:p>
        </w:tc>
        <w:tc>
          <w:tcPr>
            <w:tcW w:w="890" w:type="dxa"/>
            <w:vAlign w:val="center"/>
          </w:tcPr>
          <w:p>
            <w:pPr>
              <w:widowControl/>
              <w:jc w:val="center"/>
              <w:rPr>
                <w:rFonts w:ascii="宋体" w:hAnsi="宋体"/>
                <w:b/>
                <w:bCs/>
                <w:color w:val="auto"/>
                <w:kern w:val="21"/>
                <w:szCs w:val="21"/>
              </w:rPr>
            </w:pPr>
            <w:r>
              <w:rPr>
                <w:rFonts w:ascii="宋体" w:hAnsi="宋体"/>
                <w:b/>
                <w:bCs/>
                <w:color w:val="auto"/>
                <w:kern w:val="21"/>
                <w:szCs w:val="21"/>
              </w:rPr>
              <w:t>台数</w:t>
            </w:r>
          </w:p>
        </w:tc>
        <w:tc>
          <w:tcPr>
            <w:tcW w:w="1928" w:type="dxa"/>
            <w:vAlign w:val="center"/>
          </w:tcPr>
          <w:p>
            <w:pPr>
              <w:widowControl/>
              <w:jc w:val="center"/>
              <w:rPr>
                <w:rFonts w:ascii="宋体" w:hAnsi="宋体"/>
                <w:b/>
                <w:bCs/>
                <w:color w:val="auto"/>
                <w:kern w:val="21"/>
                <w:szCs w:val="21"/>
              </w:rPr>
            </w:pPr>
            <w:r>
              <w:rPr>
                <w:rFonts w:ascii="宋体" w:hAnsi="宋体"/>
                <w:b/>
                <w:bCs/>
                <w:color w:val="auto"/>
                <w:kern w:val="21"/>
                <w:szCs w:val="21"/>
              </w:rPr>
              <w:t>功率或容量</w:t>
            </w:r>
          </w:p>
        </w:tc>
        <w:tc>
          <w:tcPr>
            <w:tcW w:w="1460" w:type="dxa"/>
            <w:vAlign w:val="center"/>
          </w:tcPr>
          <w:p>
            <w:pPr>
              <w:widowControl/>
              <w:jc w:val="center"/>
              <w:rPr>
                <w:rFonts w:ascii="宋体" w:hAnsi="宋体"/>
                <w:b/>
                <w:bCs/>
                <w:color w:val="auto"/>
                <w:kern w:val="21"/>
                <w:szCs w:val="21"/>
              </w:rPr>
            </w:pPr>
            <w:r>
              <w:rPr>
                <w:rFonts w:ascii="宋体" w:hAnsi="宋体"/>
                <w:b/>
                <w:bCs/>
                <w:color w:val="auto"/>
                <w:kern w:val="21"/>
                <w:szCs w:val="21"/>
              </w:rPr>
              <w:t>备  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788" w:type="dxa"/>
            <w:vAlign w:val="center"/>
          </w:tcPr>
          <w:p>
            <w:pPr>
              <w:widowControl/>
              <w:jc w:val="center"/>
              <w:rPr>
                <w:rFonts w:ascii="宋体" w:hAnsi="宋体"/>
                <w:color w:val="auto"/>
                <w:kern w:val="21"/>
                <w:szCs w:val="21"/>
              </w:rPr>
            </w:pPr>
            <w:r>
              <w:rPr>
                <w:rFonts w:ascii="宋体" w:hAnsi="宋体"/>
                <w:color w:val="auto"/>
                <w:kern w:val="21"/>
                <w:szCs w:val="21"/>
              </w:rPr>
              <w:t>1</w:t>
            </w:r>
          </w:p>
        </w:tc>
        <w:tc>
          <w:tcPr>
            <w:tcW w:w="1631" w:type="dxa"/>
            <w:vAlign w:val="center"/>
          </w:tcPr>
          <w:p>
            <w:pPr>
              <w:widowControl/>
              <w:jc w:val="center"/>
              <w:rPr>
                <w:rFonts w:ascii="宋体" w:hAnsi="宋体"/>
                <w:color w:val="auto"/>
                <w:kern w:val="21"/>
                <w:szCs w:val="21"/>
              </w:rPr>
            </w:pPr>
            <w:r>
              <w:rPr>
                <w:rFonts w:ascii="宋体" w:hAnsi="宋体"/>
                <w:color w:val="auto"/>
                <w:kern w:val="21"/>
                <w:szCs w:val="21"/>
              </w:rPr>
              <w:t>挖掘机</w:t>
            </w:r>
          </w:p>
        </w:tc>
        <w:tc>
          <w:tcPr>
            <w:tcW w:w="1780" w:type="dxa"/>
            <w:vAlign w:val="center"/>
          </w:tcPr>
          <w:p>
            <w:pPr>
              <w:widowControl/>
              <w:jc w:val="center"/>
              <w:rPr>
                <w:rFonts w:ascii="宋体" w:hAnsi="宋体"/>
                <w:color w:val="auto"/>
                <w:kern w:val="21"/>
                <w:szCs w:val="21"/>
              </w:rPr>
            </w:pPr>
            <w:r>
              <w:rPr>
                <w:rFonts w:ascii="宋体" w:hAnsi="宋体"/>
                <w:color w:val="auto"/>
                <w:kern w:val="21"/>
                <w:szCs w:val="21"/>
              </w:rPr>
              <w:t>PC-300</w:t>
            </w:r>
          </w:p>
        </w:tc>
        <w:tc>
          <w:tcPr>
            <w:tcW w:w="890" w:type="dxa"/>
            <w:vAlign w:val="center"/>
          </w:tcPr>
          <w:p>
            <w:pPr>
              <w:widowControl/>
              <w:jc w:val="center"/>
              <w:rPr>
                <w:rFonts w:ascii="宋体" w:hAnsi="宋体"/>
                <w:color w:val="auto"/>
                <w:kern w:val="21"/>
                <w:szCs w:val="21"/>
              </w:rPr>
            </w:pPr>
            <w:r>
              <w:rPr>
                <w:rFonts w:ascii="宋体" w:hAnsi="宋体"/>
                <w:color w:val="auto"/>
                <w:kern w:val="21"/>
                <w:szCs w:val="21"/>
              </w:rPr>
              <w:t>2</w:t>
            </w:r>
          </w:p>
        </w:tc>
        <w:tc>
          <w:tcPr>
            <w:tcW w:w="1928" w:type="dxa"/>
            <w:vAlign w:val="center"/>
          </w:tcPr>
          <w:p>
            <w:pPr>
              <w:widowControl/>
              <w:jc w:val="center"/>
              <w:rPr>
                <w:rFonts w:ascii="宋体" w:hAnsi="宋体"/>
                <w:color w:val="auto"/>
                <w:kern w:val="21"/>
                <w:szCs w:val="21"/>
              </w:rPr>
            </w:pPr>
            <w:r>
              <w:rPr>
                <w:rFonts w:ascii="宋体" w:hAnsi="宋体"/>
                <w:color w:val="auto"/>
                <w:kern w:val="21"/>
                <w:szCs w:val="21"/>
              </w:rPr>
              <w:t>铲斗容积1.0m</w:t>
            </w:r>
            <w:r>
              <w:rPr>
                <w:rFonts w:ascii="宋体" w:hAnsi="宋体"/>
                <w:color w:val="auto"/>
                <w:kern w:val="21"/>
                <w:szCs w:val="21"/>
                <w:vertAlign w:val="superscript"/>
              </w:rPr>
              <w:t>3</w:t>
            </w:r>
          </w:p>
        </w:tc>
        <w:tc>
          <w:tcPr>
            <w:tcW w:w="1460" w:type="dxa"/>
            <w:vAlign w:val="center"/>
          </w:tcPr>
          <w:p>
            <w:pPr>
              <w:widowControl/>
              <w:jc w:val="center"/>
              <w:rPr>
                <w:rFonts w:ascii="宋体" w:hAnsi="宋体"/>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788" w:type="dxa"/>
            <w:vAlign w:val="center"/>
          </w:tcPr>
          <w:p>
            <w:pPr>
              <w:widowControl/>
              <w:jc w:val="center"/>
              <w:rPr>
                <w:rFonts w:ascii="宋体" w:hAnsi="宋体"/>
                <w:color w:val="auto"/>
                <w:kern w:val="21"/>
                <w:szCs w:val="21"/>
              </w:rPr>
            </w:pPr>
            <w:r>
              <w:rPr>
                <w:rFonts w:ascii="宋体" w:hAnsi="宋体"/>
                <w:color w:val="auto"/>
                <w:kern w:val="21"/>
                <w:szCs w:val="21"/>
              </w:rPr>
              <w:t>2</w:t>
            </w:r>
          </w:p>
        </w:tc>
        <w:tc>
          <w:tcPr>
            <w:tcW w:w="1631" w:type="dxa"/>
            <w:vAlign w:val="center"/>
          </w:tcPr>
          <w:p>
            <w:pPr>
              <w:widowControl/>
              <w:jc w:val="center"/>
              <w:rPr>
                <w:rFonts w:ascii="宋体" w:hAnsi="宋体"/>
                <w:color w:val="auto"/>
                <w:kern w:val="21"/>
                <w:szCs w:val="21"/>
              </w:rPr>
            </w:pPr>
            <w:r>
              <w:rPr>
                <w:rFonts w:ascii="宋体" w:hAnsi="宋体"/>
                <w:color w:val="auto"/>
                <w:kern w:val="21"/>
                <w:szCs w:val="21"/>
              </w:rPr>
              <w:t>自卸汽车</w:t>
            </w:r>
          </w:p>
        </w:tc>
        <w:tc>
          <w:tcPr>
            <w:tcW w:w="1780" w:type="dxa"/>
            <w:vAlign w:val="center"/>
          </w:tcPr>
          <w:p>
            <w:pPr>
              <w:widowControl/>
              <w:jc w:val="center"/>
              <w:rPr>
                <w:rFonts w:ascii="宋体" w:hAnsi="宋体"/>
                <w:color w:val="auto"/>
                <w:kern w:val="21"/>
                <w:szCs w:val="21"/>
              </w:rPr>
            </w:pPr>
            <w:r>
              <w:rPr>
                <w:rFonts w:hint="eastAsia" w:ascii="宋体" w:hAnsi="宋体"/>
                <w:color w:val="auto"/>
                <w:kern w:val="21"/>
                <w:szCs w:val="21"/>
              </w:rPr>
              <w:t>20</w:t>
            </w:r>
            <w:r>
              <w:rPr>
                <w:rFonts w:ascii="宋体" w:hAnsi="宋体"/>
                <w:color w:val="auto"/>
                <w:kern w:val="21"/>
                <w:szCs w:val="21"/>
              </w:rPr>
              <w:t>吨</w:t>
            </w:r>
          </w:p>
        </w:tc>
        <w:tc>
          <w:tcPr>
            <w:tcW w:w="890" w:type="dxa"/>
            <w:vAlign w:val="center"/>
          </w:tcPr>
          <w:p>
            <w:pPr>
              <w:widowControl/>
              <w:jc w:val="center"/>
              <w:rPr>
                <w:rFonts w:ascii="宋体" w:hAnsi="宋体"/>
                <w:color w:val="auto"/>
                <w:kern w:val="21"/>
                <w:szCs w:val="21"/>
              </w:rPr>
            </w:pPr>
            <w:r>
              <w:rPr>
                <w:rFonts w:hint="eastAsia" w:ascii="宋体" w:hAnsi="宋体"/>
                <w:color w:val="auto"/>
                <w:kern w:val="21"/>
                <w:szCs w:val="21"/>
              </w:rPr>
              <w:t>2</w:t>
            </w:r>
          </w:p>
        </w:tc>
        <w:tc>
          <w:tcPr>
            <w:tcW w:w="1928" w:type="dxa"/>
            <w:vAlign w:val="center"/>
          </w:tcPr>
          <w:p>
            <w:pPr>
              <w:widowControl/>
              <w:jc w:val="center"/>
              <w:rPr>
                <w:rFonts w:ascii="宋体" w:hAnsi="宋体"/>
                <w:color w:val="auto"/>
                <w:kern w:val="21"/>
                <w:szCs w:val="21"/>
              </w:rPr>
            </w:pPr>
          </w:p>
        </w:tc>
        <w:tc>
          <w:tcPr>
            <w:tcW w:w="1460" w:type="dxa"/>
            <w:vAlign w:val="center"/>
          </w:tcPr>
          <w:p>
            <w:pPr>
              <w:widowControl/>
              <w:jc w:val="center"/>
              <w:rPr>
                <w:rFonts w:ascii="宋体" w:hAnsi="宋体"/>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788" w:type="dxa"/>
            <w:vAlign w:val="center"/>
          </w:tcPr>
          <w:p>
            <w:pPr>
              <w:widowControl/>
              <w:jc w:val="center"/>
              <w:rPr>
                <w:rFonts w:ascii="宋体" w:hAnsi="宋体"/>
                <w:color w:val="auto"/>
                <w:kern w:val="21"/>
                <w:szCs w:val="21"/>
              </w:rPr>
            </w:pPr>
            <w:r>
              <w:rPr>
                <w:rFonts w:ascii="宋体" w:hAnsi="宋体"/>
                <w:color w:val="auto"/>
                <w:kern w:val="21"/>
                <w:szCs w:val="21"/>
              </w:rPr>
              <w:t>3</w:t>
            </w:r>
          </w:p>
        </w:tc>
        <w:tc>
          <w:tcPr>
            <w:tcW w:w="1631" w:type="dxa"/>
            <w:vAlign w:val="center"/>
          </w:tcPr>
          <w:p>
            <w:pPr>
              <w:widowControl/>
              <w:jc w:val="center"/>
              <w:rPr>
                <w:rFonts w:ascii="宋体" w:hAnsi="宋体"/>
                <w:color w:val="auto"/>
                <w:kern w:val="21"/>
                <w:szCs w:val="21"/>
              </w:rPr>
            </w:pPr>
            <w:r>
              <w:rPr>
                <w:rFonts w:ascii="宋体" w:hAnsi="宋体"/>
                <w:color w:val="auto"/>
                <w:kern w:val="21"/>
                <w:szCs w:val="21"/>
              </w:rPr>
              <w:t>洒水车</w:t>
            </w:r>
          </w:p>
        </w:tc>
        <w:tc>
          <w:tcPr>
            <w:tcW w:w="1780" w:type="dxa"/>
            <w:vAlign w:val="center"/>
          </w:tcPr>
          <w:p>
            <w:pPr>
              <w:widowControl/>
              <w:jc w:val="center"/>
              <w:rPr>
                <w:rFonts w:ascii="宋体" w:hAnsi="宋体"/>
                <w:color w:val="auto"/>
                <w:kern w:val="21"/>
                <w:szCs w:val="21"/>
              </w:rPr>
            </w:pPr>
            <w:r>
              <w:rPr>
                <w:rFonts w:ascii="宋体" w:hAnsi="宋体"/>
                <w:color w:val="auto"/>
                <w:kern w:val="21"/>
                <w:szCs w:val="21"/>
              </w:rPr>
              <w:t>5吨</w:t>
            </w:r>
          </w:p>
        </w:tc>
        <w:tc>
          <w:tcPr>
            <w:tcW w:w="890" w:type="dxa"/>
            <w:vAlign w:val="center"/>
          </w:tcPr>
          <w:p>
            <w:pPr>
              <w:widowControl/>
              <w:jc w:val="center"/>
              <w:rPr>
                <w:rFonts w:ascii="宋体" w:hAnsi="宋体"/>
                <w:color w:val="auto"/>
                <w:kern w:val="21"/>
                <w:szCs w:val="21"/>
              </w:rPr>
            </w:pPr>
            <w:r>
              <w:rPr>
                <w:rFonts w:ascii="宋体" w:hAnsi="宋体"/>
                <w:color w:val="auto"/>
                <w:kern w:val="21"/>
                <w:szCs w:val="21"/>
              </w:rPr>
              <w:t>1</w:t>
            </w:r>
          </w:p>
        </w:tc>
        <w:tc>
          <w:tcPr>
            <w:tcW w:w="1928" w:type="dxa"/>
            <w:vAlign w:val="center"/>
          </w:tcPr>
          <w:p>
            <w:pPr>
              <w:widowControl/>
              <w:jc w:val="center"/>
              <w:rPr>
                <w:rFonts w:ascii="宋体" w:hAnsi="宋体"/>
                <w:color w:val="auto"/>
                <w:kern w:val="21"/>
                <w:szCs w:val="21"/>
              </w:rPr>
            </w:pPr>
          </w:p>
        </w:tc>
        <w:tc>
          <w:tcPr>
            <w:tcW w:w="1460" w:type="dxa"/>
            <w:vAlign w:val="center"/>
          </w:tcPr>
          <w:p>
            <w:pPr>
              <w:widowControl/>
              <w:jc w:val="center"/>
              <w:rPr>
                <w:rFonts w:ascii="宋体" w:hAnsi="宋体"/>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788" w:type="dxa"/>
            <w:vAlign w:val="center"/>
          </w:tcPr>
          <w:p>
            <w:pPr>
              <w:widowControl/>
              <w:jc w:val="center"/>
              <w:rPr>
                <w:rFonts w:ascii="宋体" w:hAnsi="宋体"/>
                <w:color w:val="auto"/>
                <w:kern w:val="21"/>
                <w:szCs w:val="21"/>
              </w:rPr>
            </w:pPr>
            <w:r>
              <w:rPr>
                <w:rFonts w:ascii="宋体" w:hAnsi="宋体"/>
                <w:color w:val="auto"/>
                <w:kern w:val="21"/>
                <w:szCs w:val="21"/>
              </w:rPr>
              <w:t>4</w:t>
            </w:r>
          </w:p>
        </w:tc>
        <w:tc>
          <w:tcPr>
            <w:tcW w:w="1631" w:type="dxa"/>
            <w:vAlign w:val="center"/>
          </w:tcPr>
          <w:p>
            <w:pPr>
              <w:widowControl/>
              <w:jc w:val="center"/>
              <w:rPr>
                <w:rFonts w:ascii="宋体" w:hAnsi="宋体"/>
                <w:color w:val="auto"/>
                <w:kern w:val="21"/>
                <w:szCs w:val="21"/>
              </w:rPr>
            </w:pPr>
            <w:r>
              <w:rPr>
                <w:rFonts w:ascii="宋体" w:hAnsi="宋体"/>
                <w:color w:val="auto"/>
                <w:kern w:val="21"/>
                <w:szCs w:val="21"/>
              </w:rPr>
              <w:t>装载机</w:t>
            </w:r>
          </w:p>
        </w:tc>
        <w:tc>
          <w:tcPr>
            <w:tcW w:w="1780" w:type="dxa"/>
            <w:vAlign w:val="center"/>
          </w:tcPr>
          <w:p>
            <w:pPr>
              <w:widowControl/>
              <w:jc w:val="center"/>
              <w:rPr>
                <w:rFonts w:ascii="宋体" w:hAnsi="宋体"/>
                <w:color w:val="auto"/>
                <w:kern w:val="21"/>
                <w:szCs w:val="21"/>
              </w:rPr>
            </w:pPr>
            <w:r>
              <w:rPr>
                <w:rFonts w:ascii="宋体" w:hAnsi="宋体"/>
                <w:color w:val="auto"/>
                <w:kern w:val="21"/>
                <w:szCs w:val="21"/>
              </w:rPr>
              <w:t>2</w:t>
            </w:r>
            <w:r>
              <w:rPr>
                <w:rFonts w:hint="eastAsia" w:ascii="宋体" w:hAnsi="宋体"/>
                <w:color w:val="auto"/>
                <w:kern w:val="21"/>
                <w:szCs w:val="21"/>
              </w:rPr>
              <w:t xml:space="preserve"> </w:t>
            </w:r>
            <w:r>
              <w:rPr>
                <w:rFonts w:ascii="宋体" w:hAnsi="宋体"/>
                <w:color w:val="auto"/>
                <w:kern w:val="21"/>
                <w:szCs w:val="21"/>
              </w:rPr>
              <w:t>m</w:t>
            </w:r>
            <w:r>
              <w:rPr>
                <w:rFonts w:ascii="宋体" w:hAnsi="宋体"/>
                <w:color w:val="auto"/>
                <w:kern w:val="21"/>
                <w:szCs w:val="21"/>
                <w:vertAlign w:val="superscript"/>
              </w:rPr>
              <w:t>3</w:t>
            </w:r>
          </w:p>
        </w:tc>
        <w:tc>
          <w:tcPr>
            <w:tcW w:w="890" w:type="dxa"/>
            <w:vAlign w:val="center"/>
          </w:tcPr>
          <w:p>
            <w:pPr>
              <w:widowControl/>
              <w:jc w:val="center"/>
              <w:rPr>
                <w:rFonts w:ascii="宋体" w:hAnsi="宋体"/>
                <w:color w:val="auto"/>
                <w:kern w:val="21"/>
                <w:szCs w:val="21"/>
              </w:rPr>
            </w:pPr>
            <w:r>
              <w:rPr>
                <w:rFonts w:ascii="宋体" w:hAnsi="宋体"/>
                <w:color w:val="auto"/>
                <w:kern w:val="21"/>
                <w:szCs w:val="21"/>
              </w:rPr>
              <w:t>1</w:t>
            </w:r>
          </w:p>
        </w:tc>
        <w:tc>
          <w:tcPr>
            <w:tcW w:w="1928" w:type="dxa"/>
            <w:vAlign w:val="center"/>
          </w:tcPr>
          <w:p>
            <w:pPr>
              <w:widowControl/>
              <w:jc w:val="center"/>
              <w:rPr>
                <w:rFonts w:ascii="宋体" w:hAnsi="宋体"/>
                <w:color w:val="auto"/>
                <w:kern w:val="21"/>
                <w:szCs w:val="21"/>
              </w:rPr>
            </w:pPr>
            <w:r>
              <w:rPr>
                <w:rFonts w:hint="eastAsia" w:ascii="宋体" w:hAnsi="宋体"/>
                <w:color w:val="auto"/>
                <w:kern w:val="21"/>
                <w:szCs w:val="21"/>
              </w:rPr>
              <w:t>柳工ZL40</w:t>
            </w:r>
          </w:p>
        </w:tc>
        <w:tc>
          <w:tcPr>
            <w:tcW w:w="1460" w:type="dxa"/>
            <w:vAlign w:val="center"/>
          </w:tcPr>
          <w:p>
            <w:pPr>
              <w:widowControl/>
              <w:jc w:val="center"/>
              <w:rPr>
                <w:rFonts w:ascii="宋体" w:hAnsi="宋体"/>
                <w:color w:val="auto"/>
                <w:kern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788" w:type="dxa"/>
            <w:vAlign w:val="center"/>
          </w:tcPr>
          <w:p>
            <w:pPr>
              <w:widowControl/>
              <w:jc w:val="center"/>
              <w:rPr>
                <w:rFonts w:ascii="宋体" w:hAnsi="宋体"/>
                <w:color w:val="auto"/>
                <w:kern w:val="21"/>
                <w:szCs w:val="21"/>
              </w:rPr>
            </w:pPr>
            <w:r>
              <w:rPr>
                <w:rFonts w:ascii="宋体" w:hAnsi="宋体"/>
                <w:color w:val="auto"/>
                <w:kern w:val="21"/>
                <w:szCs w:val="21"/>
              </w:rPr>
              <w:t>5</w:t>
            </w:r>
          </w:p>
        </w:tc>
        <w:tc>
          <w:tcPr>
            <w:tcW w:w="1631" w:type="dxa"/>
            <w:vAlign w:val="center"/>
          </w:tcPr>
          <w:p>
            <w:pPr>
              <w:widowControl/>
              <w:jc w:val="center"/>
              <w:rPr>
                <w:rFonts w:ascii="宋体" w:hAnsi="宋体"/>
                <w:color w:val="auto"/>
                <w:kern w:val="21"/>
                <w:szCs w:val="21"/>
              </w:rPr>
            </w:pPr>
            <w:r>
              <w:rPr>
                <w:rFonts w:ascii="宋体" w:hAnsi="宋体"/>
                <w:color w:val="auto"/>
                <w:kern w:val="21"/>
                <w:szCs w:val="21"/>
              </w:rPr>
              <w:t>推土机</w:t>
            </w:r>
          </w:p>
        </w:tc>
        <w:tc>
          <w:tcPr>
            <w:tcW w:w="1780" w:type="dxa"/>
            <w:vAlign w:val="center"/>
          </w:tcPr>
          <w:p>
            <w:pPr>
              <w:widowControl/>
              <w:jc w:val="center"/>
              <w:rPr>
                <w:rFonts w:ascii="宋体" w:hAnsi="宋体"/>
                <w:color w:val="auto"/>
                <w:kern w:val="21"/>
                <w:szCs w:val="21"/>
              </w:rPr>
            </w:pPr>
          </w:p>
        </w:tc>
        <w:tc>
          <w:tcPr>
            <w:tcW w:w="890" w:type="dxa"/>
            <w:vAlign w:val="center"/>
          </w:tcPr>
          <w:p>
            <w:pPr>
              <w:widowControl/>
              <w:jc w:val="center"/>
              <w:rPr>
                <w:rFonts w:ascii="宋体" w:hAnsi="宋体"/>
                <w:color w:val="auto"/>
                <w:kern w:val="21"/>
                <w:szCs w:val="21"/>
              </w:rPr>
            </w:pPr>
            <w:r>
              <w:rPr>
                <w:rFonts w:ascii="宋体" w:hAnsi="宋体"/>
                <w:color w:val="auto"/>
                <w:kern w:val="21"/>
                <w:szCs w:val="21"/>
              </w:rPr>
              <w:t>1</w:t>
            </w:r>
          </w:p>
        </w:tc>
        <w:tc>
          <w:tcPr>
            <w:tcW w:w="1928" w:type="dxa"/>
            <w:vAlign w:val="center"/>
          </w:tcPr>
          <w:p>
            <w:pPr>
              <w:widowControl/>
              <w:jc w:val="center"/>
              <w:rPr>
                <w:rFonts w:ascii="宋体" w:hAnsi="宋体"/>
                <w:color w:val="auto"/>
                <w:kern w:val="21"/>
                <w:szCs w:val="21"/>
              </w:rPr>
            </w:pPr>
          </w:p>
        </w:tc>
        <w:tc>
          <w:tcPr>
            <w:tcW w:w="1460" w:type="dxa"/>
            <w:vAlign w:val="center"/>
          </w:tcPr>
          <w:p>
            <w:pPr>
              <w:widowControl/>
              <w:jc w:val="center"/>
              <w:rPr>
                <w:rFonts w:ascii="宋体" w:hAnsi="宋体"/>
                <w:color w:val="auto"/>
                <w:kern w:val="21"/>
                <w:szCs w:val="21"/>
              </w:rPr>
            </w:pPr>
            <w:r>
              <w:rPr>
                <w:rFonts w:ascii="宋体" w:hAnsi="宋体"/>
                <w:color w:val="auto"/>
                <w:kern w:val="21"/>
                <w:szCs w:val="21"/>
              </w:rPr>
              <w:t>排土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788" w:type="dxa"/>
            <w:vAlign w:val="center"/>
          </w:tcPr>
          <w:p>
            <w:pPr>
              <w:widowControl/>
              <w:jc w:val="center"/>
              <w:rPr>
                <w:rFonts w:ascii="宋体" w:hAnsi="宋体"/>
                <w:color w:val="auto"/>
                <w:kern w:val="21"/>
                <w:szCs w:val="21"/>
              </w:rPr>
            </w:pPr>
            <w:r>
              <w:rPr>
                <w:rFonts w:ascii="宋体" w:hAnsi="宋体"/>
                <w:color w:val="auto"/>
                <w:kern w:val="21"/>
                <w:szCs w:val="21"/>
              </w:rPr>
              <w:t>6</w:t>
            </w:r>
          </w:p>
        </w:tc>
        <w:tc>
          <w:tcPr>
            <w:tcW w:w="1631" w:type="dxa"/>
            <w:vAlign w:val="center"/>
          </w:tcPr>
          <w:p>
            <w:pPr>
              <w:widowControl/>
              <w:jc w:val="center"/>
              <w:rPr>
                <w:rFonts w:ascii="宋体" w:hAnsi="宋体"/>
                <w:color w:val="auto"/>
                <w:kern w:val="21"/>
                <w:szCs w:val="21"/>
              </w:rPr>
            </w:pPr>
            <w:r>
              <w:rPr>
                <w:rFonts w:ascii="宋体" w:hAnsi="宋体"/>
                <w:color w:val="auto"/>
                <w:kern w:val="21"/>
                <w:szCs w:val="21"/>
              </w:rPr>
              <w:t>水泵</w:t>
            </w:r>
          </w:p>
        </w:tc>
        <w:tc>
          <w:tcPr>
            <w:tcW w:w="1780" w:type="dxa"/>
            <w:vAlign w:val="center"/>
          </w:tcPr>
          <w:p>
            <w:pPr>
              <w:widowControl/>
              <w:jc w:val="center"/>
              <w:rPr>
                <w:rFonts w:ascii="宋体" w:hAnsi="宋体"/>
                <w:color w:val="auto"/>
                <w:kern w:val="21"/>
                <w:szCs w:val="21"/>
              </w:rPr>
            </w:pPr>
            <w:r>
              <w:rPr>
                <w:rFonts w:ascii="宋体" w:hAnsi="宋体"/>
                <w:color w:val="auto"/>
                <w:kern w:val="21"/>
                <w:szCs w:val="21"/>
              </w:rPr>
              <w:t>D6-25×5</w:t>
            </w:r>
          </w:p>
        </w:tc>
        <w:tc>
          <w:tcPr>
            <w:tcW w:w="890" w:type="dxa"/>
            <w:vAlign w:val="center"/>
          </w:tcPr>
          <w:p>
            <w:pPr>
              <w:widowControl/>
              <w:jc w:val="center"/>
              <w:rPr>
                <w:rFonts w:ascii="宋体" w:hAnsi="宋体"/>
                <w:color w:val="auto"/>
                <w:kern w:val="21"/>
                <w:szCs w:val="21"/>
              </w:rPr>
            </w:pPr>
            <w:r>
              <w:rPr>
                <w:rFonts w:ascii="宋体" w:hAnsi="宋体"/>
                <w:color w:val="auto"/>
                <w:kern w:val="21"/>
                <w:szCs w:val="21"/>
              </w:rPr>
              <w:t>2</w:t>
            </w:r>
          </w:p>
        </w:tc>
        <w:tc>
          <w:tcPr>
            <w:tcW w:w="1928" w:type="dxa"/>
            <w:vAlign w:val="center"/>
          </w:tcPr>
          <w:p>
            <w:pPr>
              <w:widowControl/>
              <w:jc w:val="center"/>
              <w:rPr>
                <w:rFonts w:ascii="宋体" w:hAnsi="宋体"/>
                <w:color w:val="auto"/>
                <w:kern w:val="21"/>
                <w:szCs w:val="21"/>
              </w:rPr>
            </w:pPr>
            <w:r>
              <w:rPr>
                <w:rFonts w:ascii="宋体" w:hAnsi="宋体"/>
                <w:color w:val="auto"/>
                <w:kern w:val="21"/>
                <w:szCs w:val="21"/>
              </w:rPr>
              <w:t>7.5kW</w:t>
            </w:r>
          </w:p>
        </w:tc>
        <w:tc>
          <w:tcPr>
            <w:tcW w:w="1460" w:type="dxa"/>
            <w:vAlign w:val="center"/>
          </w:tcPr>
          <w:p>
            <w:pPr>
              <w:widowControl/>
              <w:jc w:val="center"/>
              <w:rPr>
                <w:rFonts w:ascii="宋体" w:hAnsi="宋体"/>
                <w:color w:val="auto"/>
                <w:kern w:val="21"/>
                <w:szCs w:val="21"/>
              </w:rPr>
            </w:pPr>
            <w:r>
              <w:rPr>
                <w:rFonts w:ascii="宋体" w:hAnsi="宋体"/>
                <w:color w:val="auto"/>
                <w:kern w:val="21"/>
                <w:szCs w:val="21"/>
              </w:rPr>
              <w:t>水池供水</w:t>
            </w:r>
          </w:p>
        </w:tc>
      </w:t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8"/>
      <w:bookmarkEnd w:id="169"/>
    </w:tbl>
    <w:p>
      <w:pPr>
        <w:pStyle w:val="3"/>
        <w:keepNext w:val="0"/>
        <w:widowControl/>
        <w:spacing w:line="500" w:lineRule="exact"/>
        <w:ind w:firstLine="482" w:firstLineChars="200"/>
        <w:jc w:val="both"/>
        <w:rPr>
          <w:rFonts w:ascii="宋体" w:hAnsi="宋体" w:eastAsia="宋体"/>
          <w:b/>
          <w:color w:val="auto"/>
          <w:sz w:val="24"/>
        </w:rPr>
        <w:sectPr>
          <w:footerReference r:id="rId12" w:type="default"/>
          <w:pgSz w:w="11906" w:h="16838"/>
          <w:pgMar w:top="1418" w:right="1588" w:bottom="1134" w:left="1134"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171" w:name="_Toc158168003"/>
      <w:bookmarkStart w:id="172" w:name="_Toc168484328"/>
      <w:bookmarkStart w:id="173" w:name="_Toc158167890"/>
      <w:bookmarkStart w:id="174" w:name="_Toc233881410"/>
      <w:bookmarkStart w:id="175" w:name="_Toc198106932"/>
      <w:bookmarkStart w:id="176" w:name="_Toc156811390"/>
      <w:bookmarkStart w:id="177" w:name="_Toc149559814"/>
      <w:bookmarkStart w:id="178" w:name="_Toc146159888"/>
      <w:bookmarkStart w:id="179" w:name="_Toc142895775"/>
      <w:bookmarkStart w:id="180" w:name="_Toc124474336"/>
    </w:p>
    <w:p>
      <w:pPr>
        <w:pStyle w:val="3"/>
        <w:widowControl/>
        <w:spacing w:before="120" w:after="120" w:line="500" w:lineRule="exact"/>
        <w:rPr>
          <w:rFonts w:ascii="宋体" w:hAnsi="宋体" w:eastAsia="宋体"/>
          <w:b/>
          <w:color w:val="auto"/>
          <w:kern w:val="30"/>
          <w:sz w:val="30"/>
          <w:szCs w:val="30"/>
        </w:rPr>
      </w:pPr>
      <w:bookmarkStart w:id="181" w:name="_Toc150262774"/>
      <w:r>
        <w:rPr>
          <w:rFonts w:hint="eastAsia" w:ascii="宋体" w:hAnsi="宋体" w:eastAsia="宋体"/>
          <w:b/>
          <w:color w:val="auto"/>
          <w:kern w:val="30"/>
          <w:sz w:val="30"/>
          <w:szCs w:val="30"/>
        </w:rPr>
        <w:t>3定性、定量评价</w:t>
      </w:r>
      <w:bookmarkEnd w:id="171"/>
      <w:bookmarkEnd w:id="172"/>
      <w:bookmarkEnd w:id="173"/>
      <w:bookmarkEnd w:id="174"/>
      <w:bookmarkEnd w:id="175"/>
      <w:bookmarkEnd w:id="176"/>
      <w:bookmarkEnd w:id="177"/>
      <w:bookmarkEnd w:id="181"/>
    </w:p>
    <w:p>
      <w:pPr>
        <w:pStyle w:val="4"/>
        <w:keepLines w:val="0"/>
        <w:widowControl/>
        <w:spacing w:before="120" w:after="120" w:line="500" w:lineRule="exact"/>
        <w:rPr>
          <w:rFonts w:ascii="宋体" w:hAnsi="宋体" w:eastAsia="宋体"/>
          <w:b/>
          <w:bCs w:val="0"/>
          <w:color w:val="auto"/>
          <w:kern w:val="28"/>
          <w:sz w:val="28"/>
          <w:szCs w:val="28"/>
        </w:rPr>
      </w:pPr>
      <w:bookmarkStart w:id="182" w:name="_Toc150262775"/>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.1评价单元的划分和采用的评价方法</w:t>
      </w:r>
      <w:bookmarkEnd w:id="182"/>
    </w:p>
    <w:p>
      <w:pPr>
        <w:widowControl/>
        <w:spacing w:line="500" w:lineRule="exact"/>
        <w:ind w:firstLine="480" w:firstLineChars="200"/>
        <w:rPr>
          <w:rFonts w:ascii="宋体" w:hAnsi="宋体" w:cs="宋体"/>
          <w:color w:val="auto"/>
          <w:kern w:val="24"/>
          <w:sz w:val="24"/>
        </w:rPr>
      </w:pPr>
      <w:r>
        <w:rPr>
          <w:rFonts w:hint="eastAsia" w:ascii="宋体" w:hAnsi="宋体" w:cs="宋体"/>
          <w:color w:val="auto"/>
          <w:kern w:val="24"/>
          <w:sz w:val="24"/>
        </w:rPr>
        <w:t>根据有关法律、法规、标准和规范的相关规定，借鉴同类矿山事故经验教训，针对建设项目建设方案，对每一单元应用所选用的评价方法进行定性、定量分析评价。主要针对建设项目潜在的危险、有害因素，分析和预测可能发生事故后果和危险等级；分析评价建设方案的安全法规符合性及其合理性。对每一单元进行评价总结。</w:t>
      </w:r>
    </w:p>
    <w:p>
      <w:pPr>
        <w:widowControl/>
        <w:spacing w:line="500" w:lineRule="exact"/>
        <w:ind w:firstLine="480" w:firstLineChars="200"/>
        <w:rPr>
          <w:rFonts w:ascii="宋体" w:hAnsi="宋体" w:cs="宋体"/>
          <w:color w:val="auto"/>
          <w:kern w:val="24"/>
          <w:sz w:val="24"/>
        </w:rPr>
      </w:pPr>
      <w:r>
        <w:rPr>
          <w:rFonts w:hint="eastAsia" w:ascii="宋体" w:hAnsi="宋体" w:cs="宋体"/>
          <w:color w:val="auto"/>
          <w:kern w:val="24"/>
          <w:sz w:val="24"/>
        </w:rPr>
        <w:t>根据《国家安全监管总局关于印发金属非金属矿山建设项目安全评价报告编写提纲的通知》（安监总管一〔2016〕49号）附件二：金属非金属露天矿山建设项目安全预评价报告编写提纲，结合本项目建设特点该矿山建设项目安全预评价单元划分为</w:t>
      </w:r>
      <w:r>
        <w:rPr>
          <w:rFonts w:ascii="宋体" w:hAnsi="宋体" w:cs="宋体"/>
          <w:color w:val="auto"/>
          <w:kern w:val="24"/>
          <w:sz w:val="24"/>
        </w:rPr>
        <w:t>7</w:t>
      </w:r>
      <w:r>
        <w:rPr>
          <w:rFonts w:hint="eastAsia" w:ascii="宋体" w:hAnsi="宋体" w:cs="宋体"/>
          <w:color w:val="auto"/>
          <w:kern w:val="24"/>
          <w:sz w:val="24"/>
        </w:rPr>
        <w:t>个大单元：</w:t>
      </w:r>
    </w:p>
    <w:p>
      <w:pPr>
        <w:widowControl/>
        <w:spacing w:line="500" w:lineRule="exact"/>
        <w:ind w:firstLine="480" w:firstLineChars="200"/>
        <w:rPr>
          <w:rFonts w:ascii="宋体" w:hAnsi="宋体"/>
          <w:bCs/>
          <w:color w:val="auto"/>
          <w:kern w:val="24"/>
          <w:sz w:val="24"/>
        </w:rPr>
      </w:pPr>
      <w:r>
        <w:rPr>
          <w:rFonts w:ascii="宋体" w:hAnsi="宋体"/>
          <w:bCs/>
          <w:color w:val="auto"/>
          <w:kern w:val="24"/>
          <w:sz w:val="24"/>
        </w:rPr>
        <w:t>1）总平面布置单元</w:t>
      </w:r>
    </w:p>
    <w:p>
      <w:pPr>
        <w:widowControl/>
        <w:spacing w:line="500" w:lineRule="exact"/>
        <w:ind w:firstLine="480" w:firstLineChars="200"/>
        <w:rPr>
          <w:rFonts w:ascii="宋体" w:hAnsi="宋体"/>
          <w:bCs/>
          <w:color w:val="auto"/>
          <w:kern w:val="24"/>
          <w:sz w:val="24"/>
        </w:rPr>
      </w:pPr>
      <w:r>
        <w:rPr>
          <w:rFonts w:ascii="宋体" w:hAnsi="宋体"/>
          <w:bCs/>
          <w:color w:val="auto"/>
          <w:kern w:val="24"/>
          <w:sz w:val="24"/>
        </w:rPr>
        <w:t>2）开拓运输单元</w:t>
      </w:r>
    </w:p>
    <w:p>
      <w:pPr>
        <w:widowControl/>
        <w:spacing w:line="500" w:lineRule="exact"/>
        <w:ind w:firstLine="480" w:firstLineChars="200"/>
        <w:rPr>
          <w:rFonts w:ascii="宋体" w:hAnsi="宋体"/>
          <w:bCs/>
          <w:color w:val="auto"/>
          <w:kern w:val="24"/>
          <w:sz w:val="24"/>
        </w:rPr>
      </w:pPr>
      <w:r>
        <w:rPr>
          <w:rFonts w:ascii="宋体" w:hAnsi="宋体"/>
          <w:bCs/>
          <w:color w:val="auto"/>
          <w:kern w:val="24"/>
          <w:sz w:val="24"/>
        </w:rPr>
        <w:t>3）采剥单元</w:t>
      </w:r>
    </w:p>
    <w:p>
      <w:pPr>
        <w:widowControl/>
        <w:spacing w:line="500" w:lineRule="exact"/>
        <w:ind w:firstLine="480" w:firstLineChars="200"/>
        <w:rPr>
          <w:rFonts w:ascii="宋体" w:hAnsi="宋体"/>
          <w:bCs/>
          <w:color w:val="auto"/>
          <w:kern w:val="24"/>
          <w:sz w:val="24"/>
        </w:rPr>
      </w:pPr>
      <w:r>
        <w:rPr>
          <w:rFonts w:hint="eastAsia" w:ascii="宋体" w:hAnsi="宋体"/>
          <w:bCs/>
          <w:color w:val="auto"/>
          <w:kern w:val="24"/>
          <w:sz w:val="24"/>
        </w:rPr>
        <w:t>4）通风系统单元</w:t>
      </w:r>
    </w:p>
    <w:p>
      <w:pPr>
        <w:widowControl/>
        <w:spacing w:line="500" w:lineRule="exact"/>
        <w:ind w:firstLine="480" w:firstLineChars="200"/>
        <w:rPr>
          <w:rFonts w:ascii="宋体" w:hAnsi="宋体"/>
          <w:bCs/>
          <w:color w:val="auto"/>
          <w:kern w:val="24"/>
          <w:sz w:val="24"/>
        </w:rPr>
      </w:pPr>
      <w:r>
        <w:rPr>
          <w:rFonts w:ascii="宋体" w:hAnsi="宋体"/>
          <w:bCs/>
          <w:color w:val="auto"/>
          <w:kern w:val="24"/>
          <w:sz w:val="24"/>
        </w:rPr>
        <w:t>5</w:t>
      </w:r>
      <w:r>
        <w:rPr>
          <w:rFonts w:hint="eastAsia" w:ascii="宋体" w:hAnsi="宋体"/>
          <w:bCs/>
          <w:color w:val="auto"/>
          <w:kern w:val="24"/>
          <w:sz w:val="24"/>
        </w:rPr>
        <w:t>）</w:t>
      </w:r>
      <w:r>
        <w:rPr>
          <w:rFonts w:ascii="宋体" w:hAnsi="宋体"/>
          <w:bCs/>
          <w:color w:val="auto"/>
          <w:kern w:val="24"/>
          <w:sz w:val="24"/>
        </w:rPr>
        <w:t>矿山供配电设施单元</w:t>
      </w:r>
    </w:p>
    <w:p>
      <w:pPr>
        <w:widowControl/>
        <w:spacing w:line="500" w:lineRule="exact"/>
        <w:ind w:firstLine="480" w:firstLineChars="200"/>
        <w:rPr>
          <w:rFonts w:ascii="宋体" w:hAnsi="宋体"/>
          <w:bCs/>
          <w:color w:val="auto"/>
          <w:kern w:val="24"/>
          <w:sz w:val="24"/>
        </w:rPr>
      </w:pPr>
      <w:r>
        <w:rPr>
          <w:rFonts w:ascii="宋体" w:hAnsi="宋体"/>
          <w:bCs/>
          <w:color w:val="auto"/>
          <w:kern w:val="24"/>
          <w:sz w:val="24"/>
        </w:rPr>
        <w:t>6）防排水单元</w:t>
      </w:r>
    </w:p>
    <w:p>
      <w:pPr>
        <w:widowControl/>
        <w:spacing w:line="500" w:lineRule="exact"/>
        <w:ind w:firstLine="480" w:firstLineChars="200"/>
        <w:rPr>
          <w:rFonts w:ascii="宋体" w:hAnsi="宋体"/>
          <w:bCs/>
          <w:color w:val="auto"/>
          <w:kern w:val="24"/>
          <w:sz w:val="24"/>
        </w:rPr>
      </w:pPr>
      <w:r>
        <w:rPr>
          <w:rFonts w:ascii="宋体" w:hAnsi="宋体"/>
          <w:bCs/>
          <w:color w:val="auto"/>
          <w:kern w:val="24"/>
          <w:sz w:val="24"/>
        </w:rPr>
        <w:t>7</w:t>
      </w:r>
      <w:r>
        <w:rPr>
          <w:rFonts w:hint="eastAsia" w:ascii="宋体" w:hAnsi="宋体"/>
          <w:bCs/>
          <w:color w:val="auto"/>
          <w:kern w:val="24"/>
          <w:sz w:val="24"/>
        </w:rPr>
        <w:t>）安全管理及其他单元</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本次预评价拟采用预先危险性分析法、安全检查表法、安全检查法和</w:t>
      </w:r>
      <w:r>
        <w:rPr>
          <w:rFonts w:hint="eastAsia" w:ascii="宋体" w:hAnsi="宋体"/>
          <w:color w:val="auto"/>
          <w:kern w:val="24"/>
          <w:sz w:val="24"/>
        </w:rPr>
        <w:t>定量计算法</w:t>
      </w:r>
      <w:r>
        <w:rPr>
          <w:rFonts w:ascii="宋体" w:hAnsi="宋体"/>
          <w:color w:val="auto"/>
          <w:kern w:val="24"/>
          <w:sz w:val="24"/>
        </w:rPr>
        <w:t>进行分析评价。</w:t>
      </w:r>
    </w:p>
    <w:p>
      <w:pPr>
        <w:widowControl/>
        <w:spacing w:line="500" w:lineRule="exact"/>
        <w:ind w:firstLine="482" w:firstLineChars="200"/>
        <w:rPr>
          <w:rFonts w:ascii="宋体" w:hAnsi="宋体"/>
          <w:b/>
          <w:color w:val="auto"/>
          <w:kern w:val="24"/>
          <w:sz w:val="24"/>
        </w:rPr>
      </w:pPr>
      <w:r>
        <w:rPr>
          <w:rFonts w:ascii="宋体" w:hAnsi="宋体"/>
          <w:b/>
          <w:color w:val="auto"/>
          <w:kern w:val="24"/>
          <w:sz w:val="24"/>
        </w:rPr>
        <w:t>1）预先危险性分析法：</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预先危险性分析（Preliminary Hazard Analysis</w:t>
      </w:r>
      <w:r>
        <w:rPr>
          <w:rFonts w:hint="eastAsia" w:ascii="宋体" w:hAnsi="宋体"/>
          <w:color w:val="auto"/>
          <w:kern w:val="24"/>
          <w:sz w:val="24"/>
        </w:rPr>
        <w:t>，</w:t>
      </w:r>
      <w:r>
        <w:rPr>
          <w:rFonts w:ascii="宋体" w:hAnsi="宋体"/>
          <w:color w:val="auto"/>
          <w:kern w:val="24"/>
          <w:sz w:val="24"/>
        </w:rPr>
        <w:t>PHA）又称初步危险分析，主要用于项目在开发初期阶段分析有关危险因素失控时可能出现的危险性类别、条件及可能造成的后果，作宏观的概略分析，其目的是辨识系统中存在的潜在危险，确定其危险等级。其主要功能：</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（1）</w:t>
      </w:r>
      <w:r>
        <w:rPr>
          <w:rFonts w:ascii="宋体" w:hAnsi="宋体"/>
          <w:color w:val="auto"/>
          <w:kern w:val="24"/>
          <w:sz w:val="24"/>
        </w:rPr>
        <w:t>大体识别与系统有关的主要危险；</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（2）</w:t>
      </w:r>
      <w:r>
        <w:rPr>
          <w:rFonts w:ascii="宋体" w:hAnsi="宋体"/>
          <w:color w:val="auto"/>
          <w:kern w:val="24"/>
          <w:sz w:val="24"/>
        </w:rPr>
        <w:t>鉴别产生危险的原因；</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（3）</w:t>
      </w:r>
      <w:r>
        <w:rPr>
          <w:rFonts w:ascii="宋体" w:hAnsi="宋体"/>
          <w:color w:val="auto"/>
          <w:kern w:val="24"/>
          <w:sz w:val="24"/>
        </w:rPr>
        <w:t>估计事故出现对系统产生的影响；</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（4）</w:t>
      </w:r>
      <w:r>
        <w:rPr>
          <w:rFonts w:ascii="宋体" w:hAnsi="宋体"/>
          <w:color w:val="auto"/>
          <w:kern w:val="24"/>
          <w:sz w:val="24"/>
        </w:rPr>
        <w:t>判定已识别的危险性等级，并提出消除或控制危险性的措施。</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在分析系统危险性时，为了衡量危险性的大小及其对系统破坏程度，将各类危险性划分为4个等级。危险性等级划分见表3-1：</w:t>
      </w:r>
    </w:p>
    <w:p>
      <w:pPr>
        <w:keepNext/>
        <w:keepLines/>
        <w:widowControl/>
        <w:jc w:val="center"/>
        <w:outlineLvl w:val="4"/>
        <w:rPr>
          <w:rFonts w:ascii="宋体" w:hAnsi="宋体"/>
          <w:b/>
          <w:color w:val="auto"/>
        </w:rPr>
      </w:pPr>
      <w:r>
        <w:rPr>
          <w:rFonts w:ascii="宋体" w:hAnsi="宋体"/>
          <w:b/>
          <w:color w:val="auto"/>
        </w:rPr>
        <w:t>表3-1 危险性等级划分</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7"/>
        <w:gridCol w:w="1422"/>
        <w:gridCol w:w="6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kern w:val="0"/>
                <w:szCs w:val="21"/>
              </w:rPr>
            </w:pPr>
            <w:r>
              <w:rPr>
                <w:rFonts w:ascii="宋体" w:hAnsi="宋体"/>
                <w:b/>
                <w:color w:val="auto"/>
                <w:kern w:val="0"/>
                <w:szCs w:val="21"/>
              </w:rPr>
              <w:t>级别</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kern w:val="0"/>
                <w:szCs w:val="21"/>
              </w:rPr>
            </w:pPr>
            <w:r>
              <w:rPr>
                <w:rFonts w:ascii="宋体" w:hAnsi="宋体"/>
                <w:b/>
                <w:color w:val="auto"/>
                <w:kern w:val="0"/>
                <w:szCs w:val="21"/>
              </w:rPr>
              <w:t>危险程度</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auto"/>
                <w:kern w:val="0"/>
                <w:szCs w:val="21"/>
              </w:rPr>
            </w:pPr>
            <w:r>
              <w:rPr>
                <w:rFonts w:ascii="宋体" w:hAnsi="宋体"/>
                <w:b/>
                <w:color w:val="auto"/>
                <w:kern w:val="0"/>
                <w:szCs w:val="21"/>
              </w:rPr>
              <w:t>可能导致的后果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Ⅰ</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安全的</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kern w:val="0"/>
                <w:szCs w:val="21"/>
              </w:rPr>
            </w:pPr>
            <w:r>
              <w:rPr>
                <w:rFonts w:ascii="宋体" w:hAnsi="宋体"/>
                <w:color w:val="auto"/>
                <w:kern w:val="0"/>
                <w:szCs w:val="21"/>
              </w:rPr>
              <w:t>不会造成人员伤亡及系统损坏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Ⅱ</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临界的</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kern w:val="0"/>
                <w:szCs w:val="21"/>
              </w:rPr>
            </w:pPr>
            <w:r>
              <w:rPr>
                <w:rFonts w:ascii="宋体" w:hAnsi="宋体"/>
                <w:color w:val="auto"/>
                <w:kern w:val="0"/>
                <w:szCs w:val="21"/>
              </w:rPr>
              <w:t>处于事故的边缘状态，暂时还不至于造成人员伤亡、系统损坏或降低系统性能，但应予以排除或采取控制措施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Ⅲ</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危险的</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kern w:val="0"/>
                <w:szCs w:val="21"/>
              </w:rPr>
            </w:pPr>
            <w:r>
              <w:rPr>
                <w:rFonts w:ascii="宋体" w:hAnsi="宋体"/>
                <w:color w:val="auto"/>
                <w:kern w:val="0"/>
                <w:szCs w:val="21"/>
              </w:rPr>
              <w:t>会造成人员伤亡和系统损坏，要立即采取防范对策措施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Ⅳ</w:t>
            </w:r>
          </w:p>
        </w:tc>
        <w:tc>
          <w:tcPr>
            <w:tcW w:w="14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kern w:val="0"/>
                <w:szCs w:val="21"/>
              </w:rPr>
            </w:pPr>
            <w:r>
              <w:rPr>
                <w:rFonts w:ascii="宋体" w:hAnsi="宋体"/>
                <w:color w:val="auto"/>
                <w:kern w:val="0"/>
                <w:szCs w:val="21"/>
              </w:rPr>
              <w:t>灾难性的</w:t>
            </w:r>
          </w:p>
        </w:tc>
        <w:tc>
          <w:tcPr>
            <w:tcW w:w="675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kern w:val="0"/>
                <w:szCs w:val="21"/>
              </w:rPr>
            </w:pPr>
            <w:r>
              <w:rPr>
                <w:rFonts w:ascii="宋体" w:hAnsi="宋体"/>
                <w:color w:val="auto"/>
                <w:kern w:val="0"/>
                <w:szCs w:val="21"/>
              </w:rPr>
              <w:t>造成人员重大伤亡及系统严重破坏的灾难性事故，必须立即停产予以果断排除并进行重点防范</w:t>
            </w:r>
          </w:p>
        </w:tc>
      </w:tr>
    </w:tbl>
    <w:p>
      <w:pPr>
        <w:widowControl/>
        <w:spacing w:line="500" w:lineRule="exact"/>
        <w:ind w:firstLine="482" w:firstLineChars="200"/>
        <w:rPr>
          <w:rFonts w:ascii="宋体" w:hAnsi="宋体"/>
          <w:b/>
          <w:color w:val="auto"/>
          <w:kern w:val="24"/>
          <w:sz w:val="24"/>
        </w:rPr>
      </w:pPr>
      <w:r>
        <w:rPr>
          <w:rFonts w:ascii="宋体" w:hAnsi="宋体"/>
          <w:b/>
          <w:color w:val="auto"/>
          <w:kern w:val="24"/>
          <w:sz w:val="24"/>
        </w:rPr>
        <w:t>2）安全检查表分析法</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安全检查表分析（简称SCA）是将一系列分析项目列出检查表进行分析以确定系统的状态，这些项目包括设备、贮运、操作、管理等各个方面。该法按事先根据标准编制的检查表逐项对评价对象进行检查，直观、现实，能发现存在的各种安全隐患，从而促使人们采取有效措施，防止事故发生。安全检查表分析的弹性很大，既可用于简单的快速分析，也可用于更深层次的分析，它是识别已知危险的有效方法。</w:t>
      </w:r>
    </w:p>
    <w:p>
      <w:pPr>
        <w:widowControl/>
        <w:spacing w:line="500" w:lineRule="exact"/>
        <w:ind w:firstLine="482" w:firstLineChars="200"/>
        <w:rPr>
          <w:rFonts w:ascii="宋体" w:hAnsi="宋体"/>
          <w:b/>
          <w:color w:val="auto"/>
          <w:kern w:val="24"/>
          <w:sz w:val="24"/>
        </w:rPr>
      </w:pPr>
      <w:r>
        <w:rPr>
          <w:rFonts w:ascii="宋体" w:hAnsi="宋体"/>
          <w:b/>
          <w:color w:val="auto"/>
          <w:kern w:val="24"/>
          <w:sz w:val="24"/>
        </w:rPr>
        <w:t>3）安全检查法</w:t>
      </w:r>
    </w:p>
    <w:p>
      <w:pPr>
        <w:widowControl/>
        <w:spacing w:line="500" w:lineRule="exact"/>
        <w:ind w:firstLine="480" w:firstLineChars="200"/>
        <w:rPr>
          <w:rFonts w:ascii="宋体" w:hAnsi="宋体"/>
          <w:color w:val="auto"/>
          <w:kern w:val="24"/>
          <w:sz w:val="24"/>
        </w:rPr>
      </w:pPr>
      <w:r>
        <w:rPr>
          <w:rFonts w:ascii="宋体" w:hAnsi="宋体"/>
          <w:color w:val="auto"/>
          <w:kern w:val="24"/>
          <w:sz w:val="24"/>
        </w:rPr>
        <w:t>是对工程、系统的设计、装置条件、操作和维修条件等进行详细检查以识别所存在的危险，它可用于建设项目的任何阶段，也可称作工艺安全审查或设计审查。</w:t>
      </w:r>
    </w:p>
    <w:p>
      <w:pPr>
        <w:widowControl/>
        <w:spacing w:line="500" w:lineRule="exact"/>
        <w:ind w:firstLine="482" w:firstLineChars="200"/>
        <w:rPr>
          <w:rFonts w:ascii="宋体" w:hAnsi="宋体"/>
          <w:b/>
          <w:color w:val="auto"/>
          <w:kern w:val="24"/>
          <w:sz w:val="24"/>
        </w:rPr>
      </w:pPr>
      <w:r>
        <w:rPr>
          <w:rFonts w:hint="eastAsia" w:ascii="宋体" w:hAnsi="宋体"/>
          <w:b/>
          <w:color w:val="auto"/>
          <w:kern w:val="24"/>
          <w:sz w:val="24"/>
        </w:rPr>
        <w:t>4）定量计算法</w:t>
      </w:r>
    </w:p>
    <w:p>
      <w:pPr>
        <w:widowControl/>
        <w:spacing w:line="500" w:lineRule="exact"/>
        <w:ind w:firstLine="480" w:firstLineChars="200"/>
        <w:rPr>
          <w:rFonts w:ascii="宋体" w:hAnsi="宋体"/>
          <w:color w:val="auto"/>
          <w:kern w:val="24"/>
          <w:sz w:val="24"/>
        </w:rPr>
      </w:pPr>
      <w:r>
        <w:rPr>
          <w:rFonts w:hint="eastAsia" w:ascii="宋体" w:hAnsi="宋体"/>
          <w:color w:val="auto"/>
          <w:kern w:val="24"/>
          <w:sz w:val="24"/>
        </w:rPr>
        <w:t>（</w:t>
      </w:r>
      <w:r>
        <w:rPr>
          <w:rFonts w:ascii="宋体" w:hAnsi="宋体"/>
          <w:color w:val="auto"/>
          <w:kern w:val="24"/>
          <w:sz w:val="24"/>
        </w:rPr>
        <w:t>1</w:t>
      </w:r>
      <w:r>
        <w:rPr>
          <w:rFonts w:hint="eastAsia" w:ascii="宋体" w:hAnsi="宋体"/>
          <w:color w:val="auto"/>
          <w:kern w:val="24"/>
          <w:sz w:val="24"/>
        </w:rPr>
        <w:t>）矿山防排水定量计算</w:t>
      </w:r>
    </w:p>
    <w:p>
      <w:pPr>
        <w:widowControl/>
        <w:spacing w:line="500" w:lineRule="exact"/>
        <w:ind w:firstLine="480" w:firstLineChars="200"/>
        <w:rPr>
          <w:rFonts w:ascii="宋体" w:hAnsi="宋体"/>
          <w:color w:val="auto"/>
          <w:kern w:val="24"/>
          <w:sz w:val="24"/>
        </w:rPr>
      </w:pPr>
    </w:p>
    <w:p>
      <w:pPr>
        <w:widowControl/>
        <w:rPr>
          <w:color w:val="auto"/>
        </w:rPr>
      </w:pPr>
    </w:p>
    <w:p>
      <w:pPr>
        <w:pStyle w:val="4"/>
        <w:keepLines w:val="0"/>
        <w:widowControl/>
        <w:spacing w:before="120" w:after="120" w:line="500" w:lineRule="exact"/>
        <w:rPr>
          <w:rFonts w:ascii="宋体" w:hAnsi="宋体" w:eastAsia="宋体"/>
          <w:b/>
          <w:bCs w:val="0"/>
          <w:color w:val="auto"/>
          <w:kern w:val="28"/>
          <w:sz w:val="28"/>
          <w:szCs w:val="28"/>
        </w:rPr>
        <w:sectPr>
          <w:pgSz w:w="11906" w:h="16838"/>
          <w:pgMar w:top="1134" w:right="1134" w:bottom="1418" w:left="1588" w:header="851" w:footer="992" w:gutter="0"/>
          <w:pgBorders>
            <w:top w:val="none" w:sz="0" w:space="0"/>
            <w:left w:val="none" w:sz="0" w:space="0"/>
            <w:bottom w:val="none" w:sz="0" w:space="0"/>
            <w:right w:val="none" w:sz="0" w:space="0"/>
          </w:pgBorders>
          <w:pgNumType w:fmt="decimal"/>
          <w:cols w:space="720" w:num="1"/>
          <w:docGrid w:linePitch="312" w:charSpace="0"/>
        </w:sectPr>
      </w:pPr>
      <w:bookmarkStart w:id="183" w:name="_Toc21511322"/>
    </w:p>
    <w:p>
      <w:pPr>
        <w:pStyle w:val="4"/>
        <w:keepLines w:val="0"/>
        <w:widowControl/>
        <w:spacing w:before="120" w:after="120" w:line="500" w:lineRule="exact"/>
        <w:rPr>
          <w:rFonts w:ascii="宋体" w:hAnsi="宋体" w:eastAsia="宋体"/>
          <w:b/>
          <w:bCs w:val="0"/>
          <w:color w:val="auto"/>
          <w:kern w:val="28"/>
          <w:sz w:val="28"/>
          <w:szCs w:val="28"/>
        </w:rPr>
      </w:pPr>
      <w:bookmarkStart w:id="184" w:name="_Toc150262776"/>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2</w:t>
      </w:r>
      <w:r>
        <w:rPr>
          <w:rFonts w:hint="eastAsia" w:ascii="宋体" w:hAnsi="宋体" w:eastAsia="宋体"/>
          <w:b/>
          <w:bCs w:val="0"/>
          <w:color w:val="auto"/>
          <w:kern w:val="28"/>
          <w:sz w:val="28"/>
          <w:szCs w:val="28"/>
        </w:rPr>
        <w:t>总平面布置单元评价</w:t>
      </w:r>
      <w:bookmarkEnd w:id="183"/>
      <w:bookmarkEnd w:id="184"/>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2 </w:t>
      </w:r>
      <w:r>
        <w:rPr>
          <w:rFonts w:hint="eastAsia" w:ascii="宋体" w:hAnsi="宋体"/>
          <w:b/>
          <w:color w:val="auto"/>
          <w:sz w:val="24"/>
        </w:rPr>
        <w:t>总平面布置分析评价</w:t>
      </w:r>
    </w:p>
    <w:tbl>
      <w:tblPr>
        <w:tblStyle w:val="41"/>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63"/>
        <w:gridCol w:w="5115"/>
        <w:gridCol w:w="2134"/>
        <w:gridCol w:w="846"/>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789" w:type="dxa"/>
            <w:vAlign w:val="center"/>
          </w:tcPr>
          <w:p>
            <w:pPr>
              <w:widowControl/>
              <w:jc w:val="center"/>
              <w:rPr>
                <w:rFonts w:ascii="宋体" w:hAnsi="宋体"/>
                <w:b/>
                <w:bCs/>
                <w:color w:val="auto"/>
                <w:szCs w:val="21"/>
              </w:rPr>
            </w:pPr>
            <w:r>
              <w:rPr>
                <w:rFonts w:hint="eastAsia" w:ascii="宋体" w:hAnsi="宋体"/>
                <w:b/>
                <w:bCs/>
                <w:color w:val="auto"/>
                <w:szCs w:val="21"/>
              </w:rPr>
              <w:t>序号</w:t>
            </w:r>
          </w:p>
        </w:tc>
        <w:tc>
          <w:tcPr>
            <w:tcW w:w="763" w:type="dxa"/>
            <w:vAlign w:val="center"/>
          </w:tcPr>
          <w:p>
            <w:pPr>
              <w:widowControl/>
              <w:jc w:val="center"/>
              <w:rPr>
                <w:rFonts w:ascii="宋体" w:hAnsi="宋体"/>
                <w:b/>
                <w:bCs/>
                <w:color w:val="auto"/>
                <w:szCs w:val="21"/>
              </w:rPr>
            </w:pPr>
            <w:r>
              <w:rPr>
                <w:rFonts w:hint="eastAsia" w:ascii="宋体" w:hAnsi="宋体"/>
                <w:b/>
                <w:bCs/>
                <w:color w:val="auto"/>
                <w:szCs w:val="21"/>
              </w:rPr>
              <w:t>检查项目</w:t>
            </w:r>
          </w:p>
        </w:tc>
        <w:tc>
          <w:tcPr>
            <w:tcW w:w="5115" w:type="dxa"/>
            <w:vAlign w:val="center"/>
          </w:tcPr>
          <w:p>
            <w:pPr>
              <w:widowControl/>
              <w:jc w:val="center"/>
              <w:rPr>
                <w:rFonts w:ascii="宋体" w:hAnsi="宋体"/>
                <w:b/>
                <w:bCs/>
                <w:color w:val="auto"/>
                <w:szCs w:val="21"/>
              </w:rPr>
            </w:pPr>
            <w:r>
              <w:rPr>
                <w:rFonts w:hint="eastAsia" w:ascii="宋体" w:hAnsi="宋体"/>
                <w:b/>
                <w:bCs/>
                <w:color w:val="auto"/>
                <w:szCs w:val="21"/>
              </w:rPr>
              <w:t>检查内容</w:t>
            </w:r>
          </w:p>
        </w:tc>
        <w:tc>
          <w:tcPr>
            <w:tcW w:w="2134" w:type="dxa"/>
            <w:vAlign w:val="center"/>
          </w:tcPr>
          <w:p>
            <w:pPr>
              <w:widowControl/>
              <w:jc w:val="center"/>
              <w:rPr>
                <w:rFonts w:ascii="宋体" w:hAnsi="宋体"/>
                <w:b/>
                <w:bCs/>
                <w:color w:val="auto"/>
                <w:szCs w:val="21"/>
              </w:rPr>
            </w:pPr>
            <w:r>
              <w:rPr>
                <w:rFonts w:hint="eastAsia" w:ascii="宋体" w:hAnsi="宋体"/>
                <w:b/>
                <w:bCs/>
                <w:color w:val="auto"/>
                <w:szCs w:val="21"/>
              </w:rPr>
              <w:t>依据标准</w:t>
            </w:r>
          </w:p>
        </w:tc>
        <w:tc>
          <w:tcPr>
            <w:tcW w:w="846" w:type="dxa"/>
            <w:vAlign w:val="center"/>
          </w:tcPr>
          <w:p>
            <w:pPr>
              <w:widowControl/>
              <w:jc w:val="center"/>
              <w:rPr>
                <w:rFonts w:ascii="宋体" w:hAnsi="宋体"/>
                <w:b/>
                <w:bCs/>
                <w:color w:val="auto"/>
                <w:szCs w:val="21"/>
              </w:rPr>
            </w:pPr>
            <w:r>
              <w:rPr>
                <w:rFonts w:hint="eastAsia" w:ascii="宋体" w:hAnsi="宋体"/>
                <w:b/>
                <w:bCs/>
                <w:color w:val="auto"/>
                <w:szCs w:val="21"/>
              </w:rPr>
              <w:t>检查</w:t>
            </w:r>
          </w:p>
          <w:p>
            <w:pPr>
              <w:widowControl/>
              <w:jc w:val="center"/>
              <w:rPr>
                <w:rFonts w:ascii="宋体" w:hAnsi="宋体"/>
                <w:b/>
                <w:bCs/>
                <w:color w:val="auto"/>
                <w:szCs w:val="21"/>
              </w:rPr>
            </w:pPr>
            <w:r>
              <w:rPr>
                <w:rFonts w:hint="eastAsia" w:ascii="宋体" w:hAnsi="宋体"/>
                <w:b/>
                <w:bCs/>
                <w:color w:val="auto"/>
                <w:szCs w:val="21"/>
              </w:rPr>
              <w:t>结果</w:t>
            </w:r>
          </w:p>
        </w:tc>
        <w:tc>
          <w:tcPr>
            <w:tcW w:w="4290" w:type="dxa"/>
            <w:vAlign w:val="center"/>
          </w:tcPr>
          <w:p>
            <w:pPr>
              <w:widowControl/>
              <w:jc w:val="center"/>
              <w:rPr>
                <w:rFonts w:ascii="宋体" w:hAnsi="宋体"/>
                <w:b/>
                <w:bCs/>
                <w:color w:val="auto"/>
                <w:szCs w:val="21"/>
              </w:rPr>
            </w:pPr>
            <w:r>
              <w:rPr>
                <w:rFonts w:hint="eastAsia" w:ascii="宋体" w:hAnsi="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9" w:type="dxa"/>
            <w:vMerge w:val="restart"/>
            <w:vAlign w:val="center"/>
          </w:tcPr>
          <w:p>
            <w:pPr>
              <w:widowControl/>
              <w:jc w:val="center"/>
              <w:rPr>
                <w:rFonts w:ascii="宋体" w:hAnsi="宋体"/>
                <w:bCs/>
                <w:color w:val="auto"/>
                <w:szCs w:val="21"/>
              </w:rPr>
            </w:pPr>
            <w:r>
              <w:rPr>
                <w:rFonts w:hint="eastAsia" w:ascii="宋体" w:hAnsi="宋体"/>
                <w:bCs/>
                <w:color w:val="auto"/>
                <w:szCs w:val="21"/>
              </w:rPr>
              <w:t>1</w:t>
            </w:r>
          </w:p>
        </w:tc>
        <w:tc>
          <w:tcPr>
            <w:tcW w:w="763" w:type="dxa"/>
            <w:vMerge w:val="restart"/>
            <w:vAlign w:val="center"/>
          </w:tcPr>
          <w:p>
            <w:pPr>
              <w:widowControl/>
              <w:jc w:val="center"/>
              <w:rPr>
                <w:rFonts w:ascii="宋体" w:hAnsi="宋体"/>
                <w:bCs/>
                <w:color w:val="auto"/>
                <w:szCs w:val="21"/>
              </w:rPr>
            </w:pPr>
            <w:r>
              <w:rPr>
                <w:rFonts w:hint="eastAsia" w:ascii="宋体" w:hAnsi="宋体"/>
                <w:bCs/>
                <w:color w:val="auto"/>
                <w:szCs w:val="21"/>
              </w:rPr>
              <w:t>矿区选址</w:t>
            </w: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cs="Tahoma"/>
                <w:color w:val="auto"/>
                <w:szCs w:val="21"/>
              </w:rPr>
              <w:t>厂址应具有满足建设工程需要的工程地质条件和水文地质条件。</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《工业企业总平面设计规范》第3.0.8条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根据矿山技术资料，矿区的水文地质、工程地质条件简单，适宜建矿。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89" w:type="dxa"/>
            <w:vMerge w:val="continue"/>
            <w:vAlign w:val="center"/>
          </w:tcPr>
          <w:p>
            <w:pPr>
              <w:widowControl/>
              <w:jc w:val="center"/>
              <w:rPr>
                <w:rFonts w:ascii="宋体" w:hAnsi="宋体"/>
                <w:bCs/>
                <w:color w:val="auto"/>
                <w:szCs w:val="21"/>
              </w:rPr>
            </w:pPr>
          </w:p>
        </w:tc>
        <w:tc>
          <w:tcPr>
            <w:tcW w:w="763" w:type="dxa"/>
            <w:vMerge w:val="continue"/>
            <w:vAlign w:val="center"/>
          </w:tcPr>
          <w:p>
            <w:pPr>
              <w:widowControl/>
              <w:jc w:val="center"/>
              <w:rPr>
                <w:rFonts w:ascii="宋体" w:hAnsi="宋体"/>
                <w:bCs/>
                <w:color w:val="auto"/>
                <w:szCs w:val="21"/>
              </w:rPr>
            </w:pP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color w:val="auto"/>
                <w:szCs w:val="21"/>
              </w:rPr>
            </w:pPr>
            <w:r>
              <w:rPr>
                <w:rFonts w:hint="eastAsia" w:ascii="宋体" w:hAnsi="宋体"/>
                <w:bCs/>
                <w:color w:val="auto"/>
                <w:szCs w:val="21"/>
              </w:rPr>
              <w:t>厂址应满足适宜的地形坡度，尽量避开自然地形复杂、自然坡度大的地段，应避免将盆地、积水洼地作为厂址。</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《工业企业总平面设计规范》第3.0.</w:t>
            </w:r>
            <w:r>
              <w:rPr>
                <w:rFonts w:ascii="宋体" w:hAnsi="宋体"/>
                <w:bCs/>
                <w:color w:val="auto"/>
                <w:szCs w:val="21"/>
              </w:rPr>
              <w:t>10</w:t>
            </w:r>
            <w:r>
              <w:rPr>
                <w:rFonts w:hint="eastAsia" w:ascii="宋体" w:hAnsi="宋体"/>
                <w:bCs/>
                <w:color w:val="auto"/>
                <w:szCs w:val="21"/>
              </w:rPr>
              <w:t>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矿区拟</w:t>
            </w:r>
            <w:r>
              <w:rPr>
                <w:rFonts w:ascii="宋体" w:hAnsi="宋体"/>
                <w:bCs/>
                <w:color w:val="auto"/>
                <w:szCs w:val="21"/>
              </w:rPr>
              <w:t>选用</w:t>
            </w:r>
            <w:r>
              <w:rPr>
                <w:rFonts w:hint="eastAsia" w:ascii="宋体" w:hAnsi="宋体"/>
                <w:bCs/>
                <w:color w:val="auto"/>
                <w:szCs w:val="21"/>
              </w:rPr>
              <w:t>位置满足适宜的地形坡度，周边无自然地形复杂、自然坡度大的地段，无盆地、积水洼地。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89" w:type="dxa"/>
            <w:vMerge w:val="continue"/>
            <w:vAlign w:val="center"/>
          </w:tcPr>
          <w:p>
            <w:pPr>
              <w:widowControl/>
              <w:jc w:val="center"/>
              <w:rPr>
                <w:rFonts w:ascii="宋体" w:hAnsi="宋体"/>
                <w:bCs/>
                <w:color w:val="auto"/>
                <w:szCs w:val="21"/>
              </w:rPr>
            </w:pPr>
          </w:p>
        </w:tc>
        <w:tc>
          <w:tcPr>
            <w:tcW w:w="763" w:type="dxa"/>
            <w:vMerge w:val="continue"/>
            <w:vAlign w:val="center"/>
          </w:tcPr>
          <w:p>
            <w:pPr>
              <w:widowControl/>
              <w:jc w:val="center"/>
              <w:rPr>
                <w:rFonts w:ascii="宋体" w:hAnsi="宋体"/>
                <w:bCs/>
                <w:color w:val="auto"/>
                <w:szCs w:val="21"/>
              </w:rPr>
            </w:pP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cs="Tahoma"/>
                <w:color w:val="auto"/>
                <w:szCs w:val="21"/>
              </w:rPr>
            </w:pPr>
            <w:r>
              <w:rPr>
                <w:rFonts w:hint="eastAsia" w:ascii="宋体" w:hAnsi="宋体" w:cs="Tahoma"/>
                <w:color w:val="auto"/>
                <w:szCs w:val="21"/>
              </w:rPr>
              <w:t>厂址应位于不受洪水、潮水或内涝威胁的地带，当不可避免时，必须具有可靠的防洪、排涝措施。</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《工业企业总平面设计规范》第3.0.12条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根据矿山技术资料，矿区的位置</w:t>
            </w:r>
            <w:r>
              <w:rPr>
                <w:rFonts w:hint="eastAsia" w:ascii="宋体" w:hAnsi="宋体" w:cs="Tahoma"/>
                <w:color w:val="auto"/>
                <w:szCs w:val="21"/>
              </w:rPr>
              <w:t>不受洪水、潮水或内涝威胁。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789" w:type="dxa"/>
            <w:vMerge w:val="continue"/>
            <w:vAlign w:val="center"/>
          </w:tcPr>
          <w:p>
            <w:pPr>
              <w:widowControl/>
              <w:jc w:val="center"/>
              <w:rPr>
                <w:rFonts w:ascii="宋体" w:hAnsi="宋体"/>
                <w:bCs/>
                <w:color w:val="auto"/>
                <w:szCs w:val="21"/>
              </w:rPr>
            </w:pPr>
          </w:p>
        </w:tc>
        <w:tc>
          <w:tcPr>
            <w:tcW w:w="763" w:type="dxa"/>
            <w:vMerge w:val="continue"/>
            <w:vAlign w:val="center"/>
          </w:tcPr>
          <w:p>
            <w:pPr>
              <w:widowControl/>
              <w:jc w:val="center"/>
              <w:rPr>
                <w:rFonts w:ascii="宋体" w:hAnsi="宋体" w:cs="Tahoma"/>
                <w:color w:val="auto"/>
                <w:szCs w:val="21"/>
              </w:rPr>
            </w:pPr>
          </w:p>
        </w:tc>
        <w:tc>
          <w:tcPr>
            <w:tcW w:w="5115" w:type="dxa"/>
            <w:vAlign w:val="center"/>
          </w:tcPr>
          <w:p>
            <w:pPr>
              <w:keepNext w:val="0"/>
              <w:keepLines w:val="0"/>
              <w:pageBreakBefore w:val="0"/>
              <w:widowControl/>
              <w:kinsoku/>
              <w:wordWrap/>
              <w:overflowPunct/>
              <w:topLinePunct w:val="0"/>
              <w:autoSpaceDE w:val="0"/>
              <w:autoSpaceDN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下列地段和地区不应选为厂址：</w:t>
            </w:r>
            <w:r>
              <w:rPr>
                <w:rFonts w:ascii="宋体" w:hAnsi="宋体"/>
                <w:bCs/>
                <w:color w:val="auto"/>
                <w:szCs w:val="21"/>
              </w:rPr>
              <w:t>1</w:t>
            </w:r>
            <w:r>
              <w:rPr>
                <w:rFonts w:hint="eastAsia" w:ascii="宋体" w:hAnsi="宋体"/>
                <w:bCs/>
                <w:color w:val="auto"/>
                <w:szCs w:val="21"/>
              </w:rPr>
              <w:t>.发震断层和抗震设防烈度为</w:t>
            </w:r>
            <w:r>
              <w:rPr>
                <w:rFonts w:ascii="宋体" w:hAnsi="宋体"/>
                <w:bCs/>
                <w:color w:val="auto"/>
                <w:szCs w:val="21"/>
              </w:rPr>
              <w:t>9</w:t>
            </w:r>
            <w:r>
              <w:rPr>
                <w:rFonts w:hint="eastAsia" w:ascii="宋体" w:hAnsi="宋体"/>
                <w:bCs/>
                <w:color w:val="auto"/>
                <w:szCs w:val="21"/>
              </w:rPr>
              <w:t>度及高于</w:t>
            </w:r>
            <w:r>
              <w:rPr>
                <w:rFonts w:ascii="宋体" w:hAnsi="宋体"/>
                <w:bCs/>
                <w:color w:val="auto"/>
                <w:szCs w:val="21"/>
              </w:rPr>
              <w:t>9</w:t>
            </w:r>
            <w:r>
              <w:rPr>
                <w:rFonts w:hint="eastAsia" w:ascii="宋体" w:hAnsi="宋体"/>
                <w:bCs/>
                <w:color w:val="auto"/>
                <w:szCs w:val="21"/>
              </w:rPr>
              <w:t>度的地震区；</w:t>
            </w:r>
            <w:r>
              <w:rPr>
                <w:rFonts w:ascii="宋体" w:hAnsi="宋体"/>
                <w:bCs/>
                <w:color w:val="auto"/>
                <w:szCs w:val="21"/>
              </w:rPr>
              <w:t>2</w:t>
            </w:r>
            <w:r>
              <w:rPr>
                <w:rFonts w:hint="eastAsia" w:ascii="宋体" w:hAnsi="宋体"/>
                <w:bCs/>
                <w:color w:val="auto"/>
                <w:szCs w:val="21"/>
              </w:rPr>
              <w:t>.有泥石流、滑坡、流沙、溶洞等直接危害的地段；</w:t>
            </w:r>
            <w:r>
              <w:rPr>
                <w:rFonts w:ascii="宋体" w:hAnsi="宋体"/>
                <w:bCs/>
                <w:color w:val="auto"/>
                <w:szCs w:val="21"/>
              </w:rPr>
              <w:t>3</w:t>
            </w:r>
            <w:r>
              <w:rPr>
                <w:rFonts w:hint="eastAsia" w:ascii="宋体" w:hAnsi="宋体"/>
                <w:bCs/>
                <w:color w:val="auto"/>
                <w:szCs w:val="21"/>
              </w:rPr>
              <w:t>.采矿陷落（错动）区地表界限内；</w:t>
            </w:r>
            <w:r>
              <w:rPr>
                <w:rFonts w:ascii="宋体" w:hAnsi="宋体"/>
                <w:bCs/>
                <w:color w:val="auto"/>
                <w:szCs w:val="21"/>
              </w:rPr>
              <w:t>4</w:t>
            </w:r>
            <w:r>
              <w:rPr>
                <w:rFonts w:hint="eastAsia" w:ascii="宋体" w:hAnsi="宋体"/>
                <w:bCs/>
                <w:color w:val="auto"/>
                <w:szCs w:val="21"/>
              </w:rPr>
              <w:t>.爆破危险界限内；</w:t>
            </w:r>
            <w:r>
              <w:rPr>
                <w:rFonts w:ascii="宋体" w:hAnsi="宋体"/>
                <w:bCs/>
                <w:color w:val="auto"/>
                <w:szCs w:val="21"/>
              </w:rPr>
              <w:t>5</w:t>
            </w:r>
            <w:r>
              <w:rPr>
                <w:rFonts w:hint="eastAsia" w:ascii="宋体" w:hAnsi="宋体"/>
                <w:bCs/>
                <w:color w:val="auto"/>
                <w:szCs w:val="21"/>
              </w:rPr>
              <w:t>.坝或堤决溃后可能淹没的地区；</w:t>
            </w:r>
            <w:r>
              <w:rPr>
                <w:rFonts w:ascii="宋体" w:hAnsi="宋体"/>
                <w:bCs/>
                <w:color w:val="auto"/>
                <w:szCs w:val="21"/>
              </w:rPr>
              <w:t>6</w:t>
            </w:r>
            <w:r>
              <w:rPr>
                <w:rFonts w:hint="eastAsia" w:ascii="宋体" w:hAnsi="宋体"/>
                <w:bCs/>
                <w:color w:val="auto"/>
                <w:szCs w:val="21"/>
              </w:rPr>
              <w:t>.有严重放射性物质污染影响区；</w:t>
            </w:r>
            <w:r>
              <w:rPr>
                <w:rFonts w:ascii="宋体" w:hAnsi="宋体"/>
                <w:bCs/>
                <w:color w:val="auto"/>
                <w:szCs w:val="21"/>
              </w:rPr>
              <w:t>7</w:t>
            </w:r>
            <w:r>
              <w:rPr>
                <w:rFonts w:hint="eastAsia" w:ascii="宋体" w:hAnsi="宋体"/>
                <w:bCs/>
                <w:color w:val="auto"/>
                <w:szCs w:val="21"/>
              </w:rPr>
              <w:t>.生活居住区、文教区、水源保护区、名胜古迹、风景游览区、温泉、疗养区、自然保护区和其它需要特别保护的区域；</w:t>
            </w:r>
            <w:r>
              <w:rPr>
                <w:rFonts w:ascii="宋体" w:hAnsi="宋体"/>
                <w:bCs/>
                <w:color w:val="auto"/>
                <w:szCs w:val="21"/>
              </w:rPr>
              <w:t>8</w:t>
            </w:r>
            <w:r>
              <w:rPr>
                <w:rFonts w:hint="eastAsia" w:ascii="宋体" w:hAnsi="宋体"/>
                <w:bCs/>
                <w:color w:val="auto"/>
                <w:szCs w:val="21"/>
              </w:rPr>
              <w:t>.对飞机起落、电台通讯、电视转播、雷达导航和重要的天文、气象、地震观察以及军事设施等规定有影响的范围内；</w:t>
            </w:r>
            <w:r>
              <w:rPr>
                <w:rFonts w:ascii="宋体" w:hAnsi="宋体"/>
                <w:bCs/>
                <w:color w:val="auto"/>
                <w:szCs w:val="21"/>
              </w:rPr>
              <w:t>9</w:t>
            </w:r>
            <w:r>
              <w:rPr>
                <w:rFonts w:hint="eastAsia" w:ascii="宋体" w:hAnsi="宋体"/>
                <w:bCs/>
                <w:color w:val="auto"/>
                <w:szCs w:val="21"/>
              </w:rPr>
              <w:t>.很严重的自重湿陷性黄土地段，厚度大的新近堆积黄土地段和高压缩性的饱和黄土地段等地质条件恶劣地段；</w:t>
            </w:r>
            <w:r>
              <w:rPr>
                <w:rFonts w:ascii="宋体" w:hAnsi="宋体"/>
                <w:bCs/>
                <w:color w:val="auto"/>
                <w:szCs w:val="21"/>
              </w:rPr>
              <w:t>10</w:t>
            </w:r>
            <w:r>
              <w:rPr>
                <w:rFonts w:hint="eastAsia" w:ascii="宋体" w:hAnsi="宋体"/>
                <w:bCs/>
                <w:color w:val="auto"/>
                <w:szCs w:val="21"/>
              </w:rPr>
              <w:t>.具有开采价值的矿藏区；</w:t>
            </w:r>
            <w:r>
              <w:rPr>
                <w:rFonts w:ascii="宋体" w:hAnsi="宋体"/>
                <w:bCs/>
                <w:color w:val="auto"/>
                <w:szCs w:val="21"/>
              </w:rPr>
              <w:t>11</w:t>
            </w:r>
            <w:r>
              <w:rPr>
                <w:rFonts w:hint="eastAsia" w:ascii="宋体" w:hAnsi="宋体"/>
                <w:bCs/>
                <w:color w:val="auto"/>
                <w:szCs w:val="21"/>
              </w:rPr>
              <w:t>.受海啸或湖涌危害的地区。</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《工业企业总平面设计规范》第3.0.14条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ascii="宋体" w:hAnsi="宋体"/>
                <w:bCs/>
                <w:color w:val="auto"/>
                <w:szCs w:val="21"/>
              </w:rPr>
              <w:t>1.矿区地震</w:t>
            </w:r>
            <w:r>
              <w:rPr>
                <w:rFonts w:hint="eastAsia" w:ascii="宋体" w:hAnsi="宋体"/>
                <w:bCs/>
                <w:color w:val="auto"/>
                <w:szCs w:val="21"/>
              </w:rPr>
              <w:t>设防</w:t>
            </w:r>
            <w:r>
              <w:rPr>
                <w:rFonts w:ascii="宋体" w:hAnsi="宋体"/>
                <w:bCs/>
                <w:color w:val="auto"/>
                <w:szCs w:val="21"/>
              </w:rPr>
              <w:t>烈度</w:t>
            </w:r>
            <w:r>
              <w:rPr>
                <w:rFonts w:hint="eastAsia" w:ascii="宋体" w:hAnsi="宋体"/>
                <w:bCs/>
                <w:color w:val="auto"/>
                <w:szCs w:val="21"/>
              </w:rPr>
              <w:t>为</w:t>
            </w:r>
            <w:r>
              <w:rPr>
                <w:rFonts w:ascii="宋体" w:hAnsi="宋体"/>
                <w:bCs/>
                <w:color w:val="auto"/>
                <w:szCs w:val="21"/>
              </w:rPr>
              <w:t>6度；2.</w:t>
            </w:r>
            <w:r>
              <w:rPr>
                <w:rFonts w:hint="eastAsia" w:ascii="宋体" w:hAnsi="宋体"/>
                <w:bCs/>
                <w:color w:val="auto"/>
                <w:szCs w:val="21"/>
              </w:rPr>
              <w:t>矿区附近没有泥石流、滑坡、流沙、溶洞等直接危害的地段；</w:t>
            </w:r>
            <w:r>
              <w:rPr>
                <w:rFonts w:ascii="宋体" w:hAnsi="宋体"/>
                <w:bCs/>
                <w:color w:val="auto"/>
                <w:szCs w:val="21"/>
              </w:rPr>
              <w:t>3.</w:t>
            </w:r>
            <w:r>
              <w:rPr>
                <w:rFonts w:hint="eastAsia" w:ascii="宋体" w:hAnsi="宋体"/>
                <w:bCs/>
                <w:color w:val="auto"/>
                <w:szCs w:val="21"/>
              </w:rPr>
              <w:t>矿区没有地下采矿，不存在采矿陷落区；</w:t>
            </w:r>
            <w:r>
              <w:rPr>
                <w:rFonts w:ascii="宋体" w:hAnsi="宋体"/>
                <w:bCs/>
                <w:color w:val="auto"/>
                <w:szCs w:val="21"/>
              </w:rPr>
              <w:t>4.</w:t>
            </w:r>
            <w:r>
              <w:rPr>
                <w:rFonts w:hint="eastAsia" w:ascii="宋体" w:hAnsi="宋体"/>
                <w:bCs/>
                <w:color w:val="auto"/>
                <w:szCs w:val="21"/>
              </w:rPr>
              <w:t>矿区周边300</w:t>
            </w:r>
            <w:r>
              <w:rPr>
                <w:rFonts w:ascii="宋体" w:hAnsi="宋体"/>
                <w:bCs/>
                <w:color w:val="auto"/>
                <w:szCs w:val="21"/>
              </w:rPr>
              <w:t>m范围内无</w:t>
            </w:r>
            <w:r>
              <w:rPr>
                <w:rFonts w:hint="eastAsia" w:ascii="宋体" w:hAnsi="宋体"/>
                <w:bCs/>
                <w:color w:val="auto"/>
                <w:szCs w:val="21"/>
              </w:rPr>
              <w:t>其他</w:t>
            </w:r>
            <w:r>
              <w:rPr>
                <w:rFonts w:ascii="宋体" w:hAnsi="宋体"/>
                <w:bCs/>
                <w:color w:val="auto"/>
                <w:szCs w:val="21"/>
              </w:rPr>
              <w:t>矿山</w:t>
            </w:r>
            <w:r>
              <w:rPr>
                <w:rFonts w:hint="eastAsia" w:ascii="宋体" w:hAnsi="宋体"/>
                <w:bCs/>
                <w:color w:val="auto"/>
                <w:szCs w:val="21"/>
              </w:rPr>
              <w:t>；</w:t>
            </w:r>
            <w:r>
              <w:rPr>
                <w:rFonts w:ascii="宋体" w:hAnsi="宋体"/>
                <w:bCs/>
                <w:color w:val="auto"/>
                <w:szCs w:val="21"/>
              </w:rPr>
              <w:t>5.矿区无重要供水水源卫生保护区；6.矿区不属于风景区森林和自然保护区；7.</w:t>
            </w:r>
            <w:r>
              <w:rPr>
                <w:rFonts w:hint="eastAsia" w:ascii="宋体" w:hAnsi="宋体"/>
                <w:bCs/>
                <w:color w:val="auto"/>
                <w:szCs w:val="21"/>
              </w:rPr>
              <w:t>区域</w:t>
            </w:r>
            <w:r>
              <w:rPr>
                <w:rFonts w:ascii="宋体" w:hAnsi="宋体"/>
                <w:bCs/>
                <w:color w:val="auto"/>
                <w:szCs w:val="21"/>
              </w:rPr>
              <w:t>无历史文物古迹保护区；8.</w:t>
            </w:r>
            <w:r>
              <w:rPr>
                <w:rFonts w:hint="eastAsia" w:ascii="宋体" w:hAnsi="宋体"/>
                <w:bCs/>
                <w:color w:val="auto"/>
                <w:szCs w:val="21"/>
              </w:rPr>
              <w:t>矿区开采范围内1km无机场、电台通讯、电视转播及其他公共设施；</w:t>
            </w:r>
            <w:r>
              <w:rPr>
                <w:rFonts w:ascii="宋体" w:hAnsi="宋体"/>
                <w:bCs/>
                <w:color w:val="auto"/>
                <w:szCs w:val="21"/>
              </w:rPr>
              <w:t>9.工程地质条件</w:t>
            </w:r>
            <w:r>
              <w:rPr>
                <w:rFonts w:hint="eastAsia" w:ascii="宋体" w:hAnsi="宋体"/>
                <w:bCs/>
                <w:color w:val="auto"/>
                <w:szCs w:val="21"/>
              </w:rPr>
              <w:t>简单，无上述不良地质；</w:t>
            </w:r>
            <w:r>
              <w:rPr>
                <w:rFonts w:ascii="宋体" w:hAnsi="宋体"/>
                <w:bCs/>
                <w:color w:val="auto"/>
                <w:szCs w:val="21"/>
              </w:rPr>
              <w:t>10.</w:t>
            </w:r>
            <w:r>
              <w:rPr>
                <w:rFonts w:hint="eastAsia" w:ascii="宋体" w:hAnsi="宋体"/>
                <w:bCs/>
                <w:color w:val="auto"/>
                <w:szCs w:val="21"/>
              </w:rPr>
              <w:t>该矿开采矿种为高岭土；</w:t>
            </w:r>
            <w:r>
              <w:rPr>
                <w:rFonts w:ascii="宋体" w:hAnsi="宋体"/>
                <w:bCs/>
                <w:color w:val="auto"/>
                <w:szCs w:val="21"/>
              </w:rPr>
              <w:t>11.</w:t>
            </w:r>
            <w:r>
              <w:rPr>
                <w:rFonts w:hint="eastAsia" w:ascii="宋体" w:hAnsi="宋体"/>
                <w:bCs/>
                <w:color w:val="auto"/>
                <w:szCs w:val="21"/>
              </w:rPr>
              <w:t>不</w:t>
            </w:r>
            <w:r>
              <w:rPr>
                <w:rFonts w:ascii="宋体" w:hAnsi="宋体"/>
                <w:bCs/>
                <w:color w:val="auto"/>
                <w:szCs w:val="21"/>
              </w:rPr>
              <w:t>受海啸或湖涌危害</w:t>
            </w:r>
            <w:r>
              <w:rPr>
                <w:rFonts w:hint="eastAsia" w:ascii="宋体" w:hAnsi="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9" w:type="dxa"/>
            <w:vAlign w:val="center"/>
          </w:tcPr>
          <w:p>
            <w:pPr>
              <w:widowControl/>
              <w:jc w:val="center"/>
              <w:rPr>
                <w:rFonts w:ascii="宋体" w:hAnsi="宋体"/>
                <w:bCs/>
                <w:color w:val="auto"/>
                <w:szCs w:val="21"/>
              </w:rPr>
            </w:pPr>
            <w:r>
              <w:rPr>
                <w:rFonts w:ascii="宋体" w:hAnsi="宋体"/>
                <w:bCs/>
                <w:color w:val="auto"/>
                <w:szCs w:val="21"/>
              </w:rPr>
              <w:t>2</w:t>
            </w:r>
          </w:p>
        </w:tc>
        <w:tc>
          <w:tcPr>
            <w:tcW w:w="763" w:type="dxa"/>
            <w:vAlign w:val="center"/>
          </w:tcPr>
          <w:p>
            <w:pPr>
              <w:widowControl/>
              <w:jc w:val="center"/>
              <w:rPr>
                <w:rFonts w:ascii="宋体" w:hAnsi="宋体" w:cs="Tahoma"/>
                <w:color w:val="auto"/>
                <w:szCs w:val="21"/>
              </w:rPr>
            </w:pPr>
            <w:r>
              <w:rPr>
                <w:rFonts w:hint="eastAsia" w:ascii="宋体" w:hAnsi="宋体" w:cs="Tahoma"/>
                <w:color w:val="auto"/>
                <w:szCs w:val="21"/>
              </w:rPr>
              <w:t>办公生活区</w:t>
            </w: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color w:val="auto"/>
                <w:szCs w:val="21"/>
              </w:rPr>
            </w:pPr>
            <w:r>
              <w:rPr>
                <w:rFonts w:hint="eastAsia" w:ascii="宋体" w:hAnsi="宋体"/>
                <w:color w:val="auto"/>
                <w:szCs w:val="21"/>
              </w:rPr>
              <w:t>矿山企业的办公区、生活区、工业场地、地面建筑等，不应设在危崖、塌陷区、崩落区，不应设在受尘毒、污风影响区域内，不应受洪水、泥石流、爆破威胁。</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《金属非金属矿山安全规程》第4.</w:t>
            </w:r>
            <w:r>
              <w:rPr>
                <w:rFonts w:ascii="宋体" w:hAnsi="宋体"/>
                <w:bCs/>
                <w:color w:val="auto"/>
                <w:szCs w:val="21"/>
              </w:rPr>
              <w:t>6.1</w:t>
            </w:r>
            <w:r>
              <w:rPr>
                <w:rFonts w:hint="eastAsia" w:ascii="宋体" w:hAnsi="宋体"/>
                <w:bCs/>
                <w:color w:val="auto"/>
                <w:szCs w:val="21"/>
              </w:rPr>
              <w:t>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s="Tahoma"/>
                <w:color w:val="auto"/>
                <w:szCs w:val="21"/>
              </w:rPr>
            </w:pPr>
            <w:r>
              <w:rPr>
                <w:rFonts w:hint="eastAsia" w:ascii="宋体" w:hAnsi="宋体" w:cs="Tahoma"/>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办公生活区</w:t>
            </w:r>
            <w:r>
              <w:rPr>
                <w:rFonts w:hint="eastAsia" w:ascii="宋体" w:hAnsi="宋体"/>
                <w:color w:val="auto"/>
                <w:szCs w:val="21"/>
              </w:rPr>
              <w:t>设在危崖、塌陷区、崩落区以外，不在受尘毒、污风影响区域内，不受洪水、泥石流、爆破威胁。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9" w:type="dxa"/>
            <w:vMerge w:val="restart"/>
            <w:vAlign w:val="center"/>
          </w:tcPr>
          <w:p>
            <w:pPr>
              <w:widowControl/>
              <w:jc w:val="center"/>
              <w:rPr>
                <w:rFonts w:ascii="宋体" w:hAnsi="宋体"/>
                <w:bCs/>
                <w:color w:val="auto"/>
                <w:szCs w:val="21"/>
              </w:rPr>
            </w:pPr>
            <w:r>
              <w:rPr>
                <w:rFonts w:ascii="宋体" w:hAnsi="宋体"/>
                <w:bCs/>
                <w:color w:val="auto"/>
                <w:szCs w:val="21"/>
              </w:rPr>
              <w:t>3</w:t>
            </w:r>
          </w:p>
        </w:tc>
        <w:tc>
          <w:tcPr>
            <w:tcW w:w="763" w:type="dxa"/>
            <w:vMerge w:val="restart"/>
            <w:vAlign w:val="center"/>
          </w:tcPr>
          <w:p>
            <w:pPr>
              <w:widowControl/>
              <w:jc w:val="center"/>
              <w:rPr>
                <w:rFonts w:ascii="宋体" w:hAnsi="宋体" w:cs="Tahoma"/>
                <w:color w:val="auto"/>
                <w:szCs w:val="21"/>
              </w:rPr>
            </w:pPr>
            <w:r>
              <w:rPr>
                <w:rFonts w:hint="eastAsia" w:ascii="宋体" w:hAnsi="宋体" w:cs="Tahoma"/>
                <w:color w:val="auto"/>
                <w:szCs w:val="21"/>
              </w:rPr>
              <w:t>运输道路</w:t>
            </w: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cs="Tahoma"/>
                <w:color w:val="auto"/>
                <w:szCs w:val="21"/>
              </w:rPr>
            </w:pPr>
            <w:r>
              <w:rPr>
                <w:rFonts w:ascii="宋体" w:hAnsi="宋体" w:cs="Tahoma"/>
                <w:color w:val="auto"/>
                <w:szCs w:val="21"/>
              </w:rPr>
              <w:t>露天矿山道路设计，应根据矿山地形、地质、开采境界、开采推进方向，各开采台阶（阶段）标高以及卸矿点和废石场（排土场）位置，并密切配合采矿工艺，全面考虑山坡开采或深度开采要求，合理布设路线。</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s="Tahoma"/>
                <w:color w:val="auto"/>
                <w:szCs w:val="21"/>
              </w:rPr>
            </w:pPr>
            <w:r>
              <w:rPr>
                <w:rFonts w:ascii="宋体" w:hAnsi="宋体" w:cs="Tahoma"/>
                <w:color w:val="auto"/>
                <w:szCs w:val="21"/>
              </w:rPr>
              <w:t>《厂矿道路设计规范》第2.1.6条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s="Tahoma"/>
                <w:color w:val="auto"/>
                <w:szCs w:val="21"/>
              </w:rPr>
            </w:pPr>
            <w:r>
              <w:rPr>
                <w:rFonts w:ascii="宋体" w:hAnsi="宋体" w:cs="Tahoma"/>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开拓简易道路，自下而上</w:t>
            </w:r>
            <w:r>
              <w:rPr>
                <w:rFonts w:ascii="宋体" w:hAnsi="宋体"/>
                <w:bCs/>
                <w:color w:val="auto"/>
                <w:szCs w:val="21"/>
              </w:rPr>
              <w:t>开拓上山道路</w:t>
            </w:r>
            <w:r>
              <w:rPr>
                <w:rFonts w:hint="eastAsia" w:ascii="宋体" w:hAnsi="宋体"/>
                <w:bCs/>
                <w:color w:val="auto"/>
                <w:szCs w:val="21"/>
              </w:rPr>
              <w:t>至首采部位</w:t>
            </w:r>
            <w:r>
              <w:rPr>
                <w:rFonts w:ascii="宋体" w:hAnsi="宋体"/>
                <w:bCs/>
                <w:color w:val="auto"/>
                <w:szCs w:val="21"/>
              </w:rPr>
              <w:t>，以开段沟形</w:t>
            </w:r>
            <w:r>
              <w:rPr>
                <w:rFonts w:hint="eastAsia" w:ascii="宋体" w:hAnsi="宋体"/>
                <w:bCs/>
                <w:color w:val="auto"/>
                <w:szCs w:val="21"/>
              </w:rPr>
              <w:t>式</w:t>
            </w:r>
            <w:r>
              <w:rPr>
                <w:rFonts w:ascii="宋体" w:hAnsi="宋体"/>
                <w:bCs/>
                <w:color w:val="auto"/>
                <w:szCs w:val="21"/>
              </w:rPr>
              <w:t>与</w:t>
            </w:r>
            <w:r>
              <w:rPr>
                <w:rFonts w:hint="eastAsia" w:ascii="宋体" w:hAnsi="宋体"/>
                <w:bCs/>
                <w:color w:val="auto"/>
                <w:szCs w:val="21"/>
              </w:rPr>
              <w:t>各台阶</w:t>
            </w:r>
            <w:r>
              <w:rPr>
                <w:rFonts w:ascii="宋体" w:hAnsi="宋体"/>
                <w:bCs/>
                <w:color w:val="auto"/>
                <w:szCs w:val="21"/>
              </w:rPr>
              <w:t>连接形成各水平台阶的运输系统</w:t>
            </w:r>
            <w:r>
              <w:rPr>
                <w:rFonts w:hint="eastAsia" w:ascii="宋体" w:hAnsi="宋体"/>
                <w:bCs/>
                <w:color w:val="auto"/>
                <w:szCs w:val="21"/>
              </w:rPr>
              <w:t>，运输道路按露天矿山三级道路标准设计。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89" w:type="dxa"/>
            <w:vMerge w:val="continue"/>
            <w:vAlign w:val="center"/>
          </w:tcPr>
          <w:p>
            <w:pPr>
              <w:widowControl/>
              <w:jc w:val="center"/>
              <w:rPr>
                <w:rFonts w:ascii="宋体" w:hAnsi="宋体"/>
                <w:bCs/>
                <w:color w:val="auto"/>
                <w:szCs w:val="21"/>
              </w:rPr>
            </w:pPr>
          </w:p>
        </w:tc>
        <w:tc>
          <w:tcPr>
            <w:tcW w:w="763" w:type="dxa"/>
            <w:vMerge w:val="continue"/>
            <w:vAlign w:val="center"/>
          </w:tcPr>
          <w:p>
            <w:pPr>
              <w:widowControl/>
              <w:jc w:val="center"/>
              <w:rPr>
                <w:rFonts w:ascii="宋体" w:hAnsi="宋体" w:cs="Tahoma"/>
                <w:color w:val="auto"/>
                <w:szCs w:val="21"/>
              </w:rPr>
            </w:pP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cs="Tahoma"/>
                <w:color w:val="auto"/>
                <w:szCs w:val="21"/>
              </w:rPr>
            </w:pPr>
            <w:r>
              <w:rPr>
                <w:rFonts w:ascii="宋体" w:hAnsi="宋体" w:cs="Tahoma"/>
                <w:color w:val="auto"/>
                <w:szCs w:val="21"/>
              </w:rPr>
              <w:t>露天矿山道路布置应符合：</w:t>
            </w:r>
          </w:p>
          <w:p>
            <w:pPr>
              <w:keepNext w:val="0"/>
              <w:keepLines w:val="0"/>
              <w:pageBreakBefore w:val="0"/>
              <w:widowControl/>
              <w:kinsoku/>
              <w:wordWrap/>
              <w:overflowPunct/>
              <w:topLinePunct w:val="0"/>
              <w:autoSpaceDE w:val="0"/>
              <w:autoSpaceDN w:val="0"/>
              <w:bidi w:val="0"/>
              <w:adjustRightInd/>
              <w:snapToGrid/>
              <w:spacing w:line="240" w:lineRule="exact"/>
              <w:textAlignment w:val="auto"/>
              <w:rPr>
                <w:rFonts w:ascii="宋体" w:hAnsi="宋体" w:cs="Tahoma"/>
                <w:color w:val="auto"/>
                <w:szCs w:val="21"/>
              </w:rPr>
            </w:pPr>
            <w:r>
              <w:rPr>
                <w:rFonts w:hint="eastAsia" w:ascii="宋体" w:hAnsi="宋体" w:cs="Tahoma"/>
                <w:color w:val="auto"/>
                <w:szCs w:val="21"/>
              </w:rPr>
              <w:t>1.应满足开采工艺和顺序的要求，线路运输距离应短；</w:t>
            </w:r>
          </w:p>
          <w:p>
            <w:pPr>
              <w:keepNext w:val="0"/>
              <w:keepLines w:val="0"/>
              <w:pageBreakBefore w:val="0"/>
              <w:widowControl/>
              <w:kinsoku/>
              <w:wordWrap/>
              <w:overflowPunct/>
              <w:topLinePunct w:val="0"/>
              <w:autoSpaceDE w:val="0"/>
              <w:autoSpaceDN w:val="0"/>
              <w:bidi w:val="0"/>
              <w:adjustRightInd/>
              <w:snapToGrid/>
              <w:spacing w:line="240" w:lineRule="exact"/>
              <w:textAlignment w:val="auto"/>
              <w:rPr>
                <w:rFonts w:ascii="宋体" w:hAnsi="宋体" w:cs="Tahoma"/>
                <w:color w:val="auto"/>
                <w:szCs w:val="21"/>
              </w:rPr>
            </w:pPr>
            <w:r>
              <w:rPr>
                <w:rFonts w:ascii="宋体" w:hAnsi="宋体" w:cs="Tahoma"/>
                <w:color w:val="auto"/>
                <w:szCs w:val="21"/>
              </w:rPr>
              <w:t>2</w:t>
            </w:r>
            <w:r>
              <w:rPr>
                <w:rFonts w:hint="eastAsia" w:ascii="宋体" w:hAnsi="宋体" w:cs="Tahoma"/>
                <w:color w:val="auto"/>
                <w:szCs w:val="21"/>
              </w:rPr>
              <w:t>.沿采场边缘布置时，应满足路基边坡稳定、装卸作业、生产安全的要求，并应采取防止大块石滚落等的措施；</w:t>
            </w:r>
          </w:p>
          <w:p>
            <w:pPr>
              <w:keepNext w:val="0"/>
              <w:keepLines w:val="0"/>
              <w:pageBreakBefore w:val="0"/>
              <w:widowControl/>
              <w:kinsoku/>
              <w:wordWrap/>
              <w:overflowPunct/>
              <w:topLinePunct w:val="0"/>
              <w:bidi w:val="0"/>
              <w:adjustRightInd/>
              <w:snapToGrid/>
              <w:spacing w:line="240" w:lineRule="exact"/>
              <w:textAlignment w:val="auto"/>
              <w:rPr>
                <w:rFonts w:ascii="宋体" w:hAnsi="宋体" w:cs="Tahoma"/>
                <w:color w:val="auto"/>
                <w:szCs w:val="21"/>
              </w:rPr>
            </w:pPr>
            <w:r>
              <w:rPr>
                <w:rFonts w:ascii="宋体" w:hAnsi="宋体" w:cs="Tahoma"/>
                <w:color w:val="auto"/>
                <w:szCs w:val="21"/>
              </w:rPr>
              <w:t>3</w:t>
            </w:r>
            <w:r>
              <w:rPr>
                <w:rFonts w:hint="eastAsia" w:ascii="宋体" w:hAnsi="宋体" w:cs="Tahoma"/>
                <w:color w:val="auto"/>
                <w:szCs w:val="21"/>
              </w:rPr>
              <w:t>.深挖露天矿应结合开拓运输方案，合理选择出入沟的位置，并应减少扩帮量。</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s="Tahoma"/>
                <w:color w:val="auto"/>
                <w:szCs w:val="21"/>
              </w:rPr>
            </w:pPr>
            <w:r>
              <w:rPr>
                <w:rFonts w:ascii="宋体" w:hAnsi="宋体" w:cs="Tahoma"/>
                <w:color w:val="auto"/>
                <w:szCs w:val="21"/>
              </w:rPr>
              <w:t>《工业企业总平面设计规范》第</w:t>
            </w:r>
            <w:r>
              <w:rPr>
                <w:rFonts w:hint="eastAsia" w:ascii="宋体" w:hAnsi="宋体" w:cs="Tahoma"/>
                <w:color w:val="auto"/>
                <w:szCs w:val="21"/>
              </w:rPr>
              <w:t>6.4.2</w:t>
            </w:r>
            <w:r>
              <w:rPr>
                <w:rFonts w:ascii="宋体" w:hAnsi="宋体" w:cs="Tahoma"/>
                <w:color w:val="auto"/>
                <w:szCs w:val="21"/>
              </w:rPr>
              <w:t>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cs="Tahoma"/>
                <w:color w:val="auto"/>
                <w:szCs w:val="21"/>
              </w:rPr>
            </w:pPr>
            <w:r>
              <w:rPr>
                <w:rFonts w:hint="eastAsia" w:ascii="宋体" w:hAnsi="宋体" w:cs="Tahoma"/>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cs="Tahoma"/>
                <w:color w:val="auto"/>
                <w:szCs w:val="21"/>
              </w:rPr>
            </w:pPr>
            <w:r>
              <w:rPr>
                <w:rFonts w:hint="eastAsia" w:ascii="宋体" w:hAnsi="宋体"/>
                <w:bCs/>
                <w:color w:val="auto"/>
                <w:szCs w:val="21"/>
              </w:rPr>
              <w:t>矿石运输距离短；矿山道路满足生产要求</w:t>
            </w:r>
            <w:r>
              <w:rPr>
                <w:rFonts w:ascii="宋体" w:hAnsi="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89" w:type="dxa"/>
            <w:vAlign w:val="center"/>
          </w:tcPr>
          <w:p>
            <w:pPr>
              <w:widowControl/>
              <w:jc w:val="center"/>
              <w:rPr>
                <w:rFonts w:ascii="宋体" w:hAnsi="宋体"/>
                <w:bCs/>
                <w:color w:val="auto"/>
                <w:szCs w:val="21"/>
              </w:rPr>
            </w:pPr>
            <w:r>
              <w:rPr>
                <w:rFonts w:hint="eastAsia" w:ascii="宋体" w:hAnsi="宋体"/>
                <w:bCs/>
                <w:color w:val="auto"/>
                <w:szCs w:val="21"/>
              </w:rPr>
              <w:t>5</w:t>
            </w:r>
          </w:p>
        </w:tc>
        <w:tc>
          <w:tcPr>
            <w:tcW w:w="763" w:type="dxa"/>
            <w:vAlign w:val="center"/>
          </w:tcPr>
          <w:p>
            <w:pPr>
              <w:widowControl/>
              <w:jc w:val="center"/>
              <w:rPr>
                <w:rFonts w:ascii="宋体" w:hAnsi="宋体" w:cs="Tahoma"/>
                <w:color w:val="auto"/>
                <w:szCs w:val="21"/>
              </w:rPr>
            </w:pPr>
            <w:r>
              <w:rPr>
                <w:rFonts w:hint="eastAsia" w:ascii="宋体" w:hAnsi="宋体" w:cs="Tahoma"/>
                <w:color w:val="auto"/>
                <w:szCs w:val="21"/>
              </w:rPr>
              <w:t>排土场</w:t>
            </w:r>
          </w:p>
        </w:tc>
        <w:tc>
          <w:tcPr>
            <w:tcW w:w="5115"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排土场不应受洪水威胁或者由于上游汇水造成滑坡、塌方、泥石流等灾害。</w:t>
            </w:r>
          </w:p>
        </w:tc>
        <w:tc>
          <w:tcPr>
            <w:tcW w:w="2134"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《金属非金属矿山安全规程》第</w:t>
            </w:r>
            <w:r>
              <w:rPr>
                <w:rFonts w:ascii="宋体" w:hAnsi="宋体"/>
                <w:bCs/>
                <w:color w:val="auto"/>
                <w:szCs w:val="21"/>
              </w:rPr>
              <w:t>5.5.1.1</w:t>
            </w:r>
            <w:r>
              <w:rPr>
                <w:rFonts w:hint="eastAsia" w:ascii="宋体" w:hAnsi="宋体"/>
                <w:bCs/>
                <w:color w:val="auto"/>
                <w:szCs w:val="21"/>
              </w:rPr>
              <w:t>条</w:t>
            </w:r>
          </w:p>
        </w:tc>
        <w:tc>
          <w:tcPr>
            <w:tcW w:w="846" w:type="dxa"/>
            <w:vAlign w:val="center"/>
          </w:tcPr>
          <w:p>
            <w:pPr>
              <w:keepNext w:val="0"/>
              <w:keepLines w:val="0"/>
              <w:pageBreakBefore w:val="0"/>
              <w:widowControl/>
              <w:kinsoku/>
              <w:wordWrap/>
              <w:overflowPunct/>
              <w:topLinePunct w:val="0"/>
              <w:bidi w:val="0"/>
              <w:adjustRightInd/>
              <w:snapToGrid/>
              <w:spacing w:line="240" w:lineRule="exact"/>
              <w:jc w:val="center"/>
              <w:textAlignment w:val="auto"/>
              <w:rPr>
                <w:rFonts w:ascii="宋体" w:hAnsi="宋体"/>
                <w:bCs/>
                <w:color w:val="auto"/>
                <w:szCs w:val="21"/>
              </w:rPr>
            </w:pPr>
            <w:r>
              <w:rPr>
                <w:rFonts w:hint="eastAsia" w:ascii="宋体" w:hAnsi="宋体"/>
                <w:bCs/>
                <w:color w:val="auto"/>
                <w:szCs w:val="21"/>
              </w:rPr>
              <w:t>符合</w:t>
            </w:r>
          </w:p>
        </w:tc>
        <w:tc>
          <w:tcPr>
            <w:tcW w:w="4290" w:type="dxa"/>
            <w:vAlign w:val="center"/>
          </w:tcPr>
          <w:p>
            <w:pPr>
              <w:keepNext w:val="0"/>
              <w:keepLines w:val="0"/>
              <w:pageBreakBefore w:val="0"/>
              <w:widowControl/>
              <w:kinsoku/>
              <w:wordWrap/>
              <w:overflowPunct/>
              <w:topLinePunct w:val="0"/>
              <w:bidi w:val="0"/>
              <w:adjustRightInd/>
              <w:snapToGrid/>
              <w:spacing w:line="240" w:lineRule="exact"/>
              <w:textAlignment w:val="auto"/>
              <w:rPr>
                <w:rFonts w:ascii="宋体" w:hAnsi="宋体"/>
                <w:bCs/>
                <w:color w:val="auto"/>
                <w:szCs w:val="21"/>
              </w:rPr>
            </w:pPr>
            <w:r>
              <w:rPr>
                <w:rFonts w:hint="eastAsia" w:ascii="宋体" w:hAnsi="宋体"/>
                <w:bCs/>
                <w:color w:val="auto"/>
                <w:szCs w:val="21"/>
              </w:rPr>
              <w:t>排土场不受洪水威胁或者由于上游汇水造成滑坡、塌方、泥石流等灾害。</w:t>
            </w:r>
          </w:p>
        </w:tc>
      </w:tr>
    </w:tbl>
    <w:p>
      <w:pPr>
        <w:widowControl/>
        <w:spacing w:line="500" w:lineRule="exact"/>
        <w:ind w:firstLine="480" w:firstLineChars="200"/>
        <w:rPr>
          <w:rFonts w:ascii="宋体" w:hAnsi="宋体"/>
          <w:color w:val="auto"/>
          <w:sz w:val="24"/>
        </w:rPr>
      </w:pPr>
      <w:r>
        <w:rPr>
          <w:rFonts w:hint="eastAsia" w:ascii="宋体" w:hAnsi="宋体"/>
          <w:color w:val="auto"/>
          <w:sz w:val="24"/>
        </w:rPr>
        <w:t>评价结果：总平面布置符合相关标准、规范要求。</w:t>
      </w:r>
    </w:p>
    <w:p>
      <w:pPr>
        <w:pStyle w:val="4"/>
        <w:keepLines w:val="0"/>
        <w:widowControl/>
        <w:spacing w:before="120" w:after="120" w:line="500" w:lineRule="exact"/>
        <w:rPr>
          <w:rFonts w:ascii="宋体" w:hAnsi="宋体" w:eastAsia="宋体"/>
          <w:b/>
          <w:bCs w:val="0"/>
          <w:color w:val="auto"/>
          <w:kern w:val="28"/>
          <w:sz w:val="28"/>
          <w:szCs w:val="28"/>
        </w:rPr>
      </w:pPr>
      <w:bookmarkStart w:id="185" w:name="_Toc150262777"/>
      <w:bookmarkStart w:id="186" w:name="_Toc21511323"/>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3</w:t>
      </w:r>
      <w:r>
        <w:rPr>
          <w:rFonts w:hint="eastAsia" w:ascii="宋体" w:hAnsi="宋体" w:eastAsia="宋体"/>
          <w:b/>
          <w:bCs w:val="0"/>
          <w:color w:val="auto"/>
          <w:kern w:val="28"/>
          <w:sz w:val="28"/>
          <w:szCs w:val="28"/>
        </w:rPr>
        <w:t>开拓运输单元评价</w:t>
      </w:r>
      <w:bookmarkEnd w:id="185"/>
      <w:bookmarkEnd w:id="186"/>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3</w:t>
      </w:r>
      <w:r>
        <w:rPr>
          <w:rFonts w:hint="eastAsia" w:ascii="宋体" w:hAnsi="宋体"/>
          <w:color w:val="auto"/>
          <w:kern w:val="28"/>
          <w:sz w:val="28"/>
          <w:szCs w:val="28"/>
        </w:rPr>
        <w:t>.1开拓运输单元符合性评价</w:t>
      </w:r>
    </w:p>
    <w:p>
      <w:pPr>
        <w:widowControl/>
        <w:spacing w:line="500" w:lineRule="exact"/>
        <w:ind w:firstLine="480" w:firstLineChars="200"/>
        <w:rPr>
          <w:rFonts w:ascii="宋体" w:hAnsi="宋体"/>
          <w:color w:val="auto"/>
          <w:sz w:val="24"/>
        </w:rPr>
      </w:pPr>
      <w:r>
        <w:rPr>
          <w:rFonts w:hint="eastAsia" w:ascii="宋体" w:hAnsi="宋体"/>
          <w:color w:val="auto"/>
          <w:sz w:val="24"/>
        </w:rPr>
        <w:t>可行性研究报告</w:t>
      </w:r>
      <w:r>
        <w:rPr>
          <w:rFonts w:ascii="宋体" w:hAnsi="宋体"/>
          <w:color w:val="auto"/>
          <w:sz w:val="24"/>
        </w:rPr>
        <w:t>中，</w:t>
      </w:r>
      <w:r>
        <w:rPr>
          <w:rFonts w:hint="eastAsia" w:ascii="宋体" w:hAnsi="宋体"/>
          <w:color w:val="auto"/>
          <w:sz w:val="24"/>
        </w:rPr>
        <w:t>矿山运输系统拟选用</w:t>
      </w:r>
      <w:r>
        <w:rPr>
          <w:rFonts w:ascii="宋体" w:hAnsi="宋体"/>
          <w:color w:val="auto"/>
          <w:sz w:val="24"/>
        </w:rPr>
        <w:t>2</w:t>
      </w:r>
      <w:r>
        <w:rPr>
          <w:rFonts w:hint="eastAsia" w:ascii="宋体" w:hAnsi="宋体"/>
          <w:color w:val="auto"/>
          <w:sz w:val="24"/>
        </w:rPr>
        <w:t>辆</w:t>
      </w:r>
      <w:r>
        <w:rPr>
          <w:rFonts w:ascii="宋体" w:hAnsi="宋体"/>
          <w:color w:val="auto"/>
          <w:sz w:val="24"/>
        </w:rPr>
        <w:t>1</w:t>
      </w:r>
      <w:r>
        <w:rPr>
          <w:rFonts w:hint="eastAsia" w:ascii="宋体" w:hAnsi="宋体"/>
          <w:color w:val="auto"/>
          <w:sz w:val="24"/>
        </w:rPr>
        <w:t>0</w:t>
      </w:r>
      <w:r>
        <w:rPr>
          <w:rFonts w:ascii="宋体" w:hAnsi="宋体"/>
          <w:color w:val="auto"/>
          <w:sz w:val="24"/>
        </w:rPr>
        <w:t>t自卸汽车</w:t>
      </w:r>
      <w:r>
        <w:rPr>
          <w:rFonts w:hint="eastAsia" w:ascii="宋体" w:hAnsi="宋体"/>
          <w:color w:val="auto"/>
          <w:sz w:val="24"/>
        </w:rPr>
        <w:t>，采用三级露天矿山道路，泥结石路面，行车速度为</w:t>
      </w:r>
      <w:r>
        <w:rPr>
          <w:rFonts w:ascii="宋体" w:hAnsi="宋体"/>
          <w:color w:val="auto"/>
          <w:sz w:val="24"/>
        </w:rPr>
        <w:t>15</w:t>
      </w:r>
      <w:r>
        <w:rPr>
          <w:rFonts w:hint="eastAsia" w:ascii="宋体" w:hAnsi="宋体"/>
          <w:color w:val="auto"/>
          <w:sz w:val="24"/>
        </w:rPr>
        <w:t>km/h，单车道路面，宽</w:t>
      </w:r>
      <w:r>
        <w:rPr>
          <w:rFonts w:ascii="宋体" w:hAnsi="宋体"/>
          <w:color w:val="auto"/>
          <w:sz w:val="24"/>
        </w:rPr>
        <w:t>3</w:t>
      </w:r>
      <w:r>
        <w:rPr>
          <w:rFonts w:hint="eastAsia" w:ascii="宋体" w:hAnsi="宋体"/>
          <w:color w:val="auto"/>
          <w:sz w:val="24"/>
        </w:rPr>
        <w:t>m</w:t>
      </w:r>
      <w:r>
        <w:rPr>
          <w:rFonts w:ascii="宋体" w:hAnsi="宋体"/>
          <w:color w:val="auto"/>
          <w:sz w:val="24"/>
        </w:rPr>
        <w:t xml:space="preserve"> </w:t>
      </w:r>
      <w:r>
        <w:rPr>
          <w:rFonts w:hint="eastAsia" w:ascii="宋体" w:hAnsi="宋体"/>
          <w:color w:val="auto"/>
          <w:sz w:val="24"/>
        </w:rPr>
        <w:t>，最小圆曲线半径为15m，最大纵坡不大于10%。山坡填方的弯道、坡度较大的填方地段以及高堤路基路段弯外侧应设置护栏、挡车墙和醒目行车警示牌等。</w:t>
      </w:r>
    </w:p>
    <w:p>
      <w:pPr>
        <w:widowControl/>
        <w:spacing w:line="500" w:lineRule="exact"/>
        <w:ind w:firstLine="480" w:firstLineChars="200"/>
        <w:rPr>
          <w:rFonts w:hint="eastAsia" w:ascii="宋体" w:hAnsi="宋体"/>
          <w:color w:val="auto"/>
          <w:sz w:val="24"/>
        </w:rPr>
      </w:pPr>
      <w:r>
        <w:rPr>
          <w:rFonts w:hint="eastAsia" w:ascii="宋体" w:hAnsi="宋体"/>
          <w:color w:val="auto"/>
          <w:sz w:val="24"/>
        </w:rPr>
        <w:t>该运输道路宽度不满足《厂矿道路设计规范》的相关要求，建议下步安全设施设计</w:t>
      </w:r>
      <w:r>
        <w:rPr>
          <w:rFonts w:hint="eastAsia" w:ascii="宋体" w:hAnsi="宋体"/>
          <w:color w:val="auto"/>
          <w:sz w:val="24"/>
          <w:lang w:val="zh-CN"/>
        </w:rPr>
        <w:t>重新对其进行设计；</w:t>
      </w:r>
      <w:r>
        <w:rPr>
          <w:rFonts w:hint="eastAsia" w:ascii="宋体" w:hAnsi="宋体"/>
          <w:color w:val="auto"/>
          <w:sz w:val="24"/>
        </w:rPr>
        <w:t>可行性研究报告未提出运输公路安全设施，建议矿山下一步设计在转弯、陡峻的运输公路内侧设置截排水沟。</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3</w:t>
      </w:r>
      <w:r>
        <w:rPr>
          <w:rFonts w:hint="eastAsia" w:ascii="宋体" w:hAnsi="宋体"/>
          <w:color w:val="auto"/>
          <w:kern w:val="28"/>
          <w:sz w:val="28"/>
          <w:szCs w:val="28"/>
        </w:rPr>
        <w:t>.2运输单元预先危险性分析法</w:t>
      </w:r>
    </w:p>
    <w:p>
      <w:pPr>
        <w:rPr>
          <w:rFonts w:hint="eastAsia" w:ascii="宋体" w:hAnsi="宋体"/>
          <w:b/>
          <w:color w:val="auto"/>
          <w:sz w:val="24"/>
        </w:rPr>
      </w:pPr>
      <w:r>
        <w:rPr>
          <w:rFonts w:hint="eastAsia" w:ascii="宋体" w:hAnsi="宋体"/>
          <w:b/>
          <w:color w:val="auto"/>
          <w:sz w:val="24"/>
        </w:rPr>
        <w:br w:type="page"/>
      </w:r>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3 </w:t>
      </w:r>
      <w:r>
        <w:rPr>
          <w:rFonts w:hint="eastAsia" w:ascii="宋体" w:hAnsi="宋体"/>
          <w:b/>
          <w:color w:val="auto"/>
          <w:sz w:val="24"/>
        </w:rPr>
        <w:t>运输单元分析评价</w:t>
      </w:r>
    </w:p>
    <w:tbl>
      <w:tblPr>
        <w:tblStyle w:val="41"/>
        <w:tblW w:w="14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34"/>
        <w:gridCol w:w="907"/>
        <w:gridCol w:w="4552"/>
        <w:gridCol w:w="1087"/>
        <w:gridCol w:w="881"/>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4"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序号</w:t>
            </w:r>
          </w:p>
        </w:tc>
        <w:tc>
          <w:tcPr>
            <w:tcW w:w="1134"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主要危险源位置</w:t>
            </w:r>
          </w:p>
        </w:tc>
        <w:tc>
          <w:tcPr>
            <w:tcW w:w="90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潜在事故类型</w:t>
            </w:r>
          </w:p>
        </w:tc>
        <w:tc>
          <w:tcPr>
            <w:tcW w:w="4552"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触发条件</w:t>
            </w:r>
          </w:p>
        </w:tc>
        <w:tc>
          <w:tcPr>
            <w:tcW w:w="108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可能导致的后果</w:t>
            </w:r>
          </w:p>
        </w:tc>
        <w:tc>
          <w:tcPr>
            <w:tcW w:w="881"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危险性</w:t>
            </w:r>
          </w:p>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等级</w:t>
            </w:r>
          </w:p>
        </w:tc>
        <w:tc>
          <w:tcPr>
            <w:tcW w:w="4932"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
                <w:color w:val="auto"/>
                <w:szCs w:val="21"/>
              </w:rPr>
            </w:pPr>
            <w:r>
              <w:rPr>
                <w:rFonts w:hint="eastAsia" w:ascii="宋体" w:hAnsi="宋体"/>
                <w:b/>
                <w:color w:val="auto"/>
                <w:szCs w:val="21"/>
              </w:rPr>
              <w:t>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restart"/>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1</w:t>
            </w:r>
          </w:p>
        </w:tc>
        <w:tc>
          <w:tcPr>
            <w:tcW w:w="1134" w:type="dxa"/>
            <w:vMerge w:val="restart"/>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s="Tahoma"/>
                <w:color w:val="auto"/>
                <w:szCs w:val="21"/>
              </w:rPr>
              <w:t>运输道路</w:t>
            </w:r>
          </w:p>
        </w:tc>
        <w:tc>
          <w:tcPr>
            <w:tcW w:w="90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车辆</w:t>
            </w:r>
          </w:p>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伤害</w:t>
            </w:r>
          </w:p>
        </w:tc>
        <w:tc>
          <w:tcPr>
            <w:tcW w:w="4552" w:type="dxa"/>
            <w:vAlign w:val="center"/>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（1）设计的开拓运输方式不合理或矿山作业过程中未按照设计的开拓运输方式进行作业。</w:t>
            </w:r>
          </w:p>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（2）矿山运输线路偏陡。</w:t>
            </w:r>
          </w:p>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（3）未设置错车道或错车道之间距离过大。</w:t>
            </w:r>
          </w:p>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（4）路面宽度不足。</w:t>
            </w:r>
          </w:p>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（5）路面坑洼不平或路面湿滑。</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（6）山水冲刷路面、路旁无排水沟。</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（7）运输路段无限速和其它安全警示标识、在陡坡或急弯路段临空面未设置护拦和挡车等。</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（8）运输汽车</w:t>
            </w:r>
            <w:r>
              <w:rPr>
                <w:rFonts w:ascii="宋体" w:hAnsi="宋体"/>
                <w:color w:val="auto"/>
                <w:szCs w:val="21"/>
              </w:rPr>
              <w:t>行驶在坡度超过</w:t>
            </w:r>
            <w:r>
              <w:rPr>
                <w:rFonts w:hint="eastAsia" w:ascii="宋体" w:hAnsi="宋体"/>
                <w:color w:val="auto"/>
                <w:szCs w:val="21"/>
              </w:rPr>
              <w:t>10</w:t>
            </w:r>
            <w:r>
              <w:rPr>
                <w:rFonts w:ascii="宋体" w:hAnsi="宋体"/>
                <w:color w:val="auto"/>
                <w:szCs w:val="21"/>
              </w:rPr>
              <w:t>%</w:t>
            </w:r>
            <w:r>
              <w:rPr>
                <w:rFonts w:hint="eastAsia" w:ascii="宋体" w:hAnsi="宋体"/>
                <w:color w:val="auto"/>
                <w:szCs w:val="21"/>
              </w:rPr>
              <w:t>的</w:t>
            </w:r>
            <w:r>
              <w:rPr>
                <w:rFonts w:ascii="宋体" w:hAnsi="宋体"/>
                <w:color w:val="auto"/>
                <w:szCs w:val="21"/>
              </w:rPr>
              <w:t>道路</w:t>
            </w:r>
            <w:r>
              <w:rPr>
                <w:rFonts w:hint="eastAsia" w:ascii="宋体" w:hAnsi="宋体"/>
                <w:color w:val="auto"/>
                <w:szCs w:val="21"/>
              </w:rPr>
              <w:t>。</w:t>
            </w:r>
          </w:p>
        </w:tc>
        <w:tc>
          <w:tcPr>
            <w:tcW w:w="108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人员伤亡设备损坏</w:t>
            </w:r>
          </w:p>
        </w:tc>
        <w:tc>
          <w:tcPr>
            <w:tcW w:w="881"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32" w:type="dxa"/>
            <w:vAlign w:val="center"/>
          </w:tcPr>
          <w:p>
            <w:pPr>
              <w:keepNext w:val="0"/>
              <w:keepLines w:val="0"/>
              <w:pageBreakBefore w:val="0"/>
              <w:widowControl/>
              <w:kinsoku/>
              <w:wordWrap/>
              <w:overflowPunct/>
              <w:topLinePunct w:val="0"/>
              <w:autoSpaceDE w:val="0"/>
              <w:autoSpaceDN w:val="0"/>
              <w:bidi w:val="0"/>
              <w:adjustRightInd w:val="0"/>
              <w:snapToGrid/>
              <w:spacing w:line="240" w:lineRule="exact"/>
              <w:textAlignment w:val="auto"/>
              <w:rPr>
                <w:rFonts w:ascii="宋体" w:hAnsi="宋体"/>
                <w:color w:val="auto"/>
                <w:szCs w:val="21"/>
              </w:rPr>
            </w:pPr>
            <w:r>
              <w:rPr>
                <w:rFonts w:hint="eastAsia" w:ascii="宋体" w:hAnsi="宋体"/>
                <w:color w:val="auto"/>
                <w:szCs w:val="21"/>
              </w:rPr>
              <w:t>（1）设计时合理选择开拓运输方式，矿山作业过程中严格按设计的开拓运输方式进行作业。</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（2）矿山运输线路坡度小于</w:t>
            </w:r>
            <w:r>
              <w:rPr>
                <w:rFonts w:ascii="宋体" w:hAnsi="宋体"/>
                <w:color w:val="auto"/>
                <w:szCs w:val="21"/>
              </w:rPr>
              <w:t>8</w:t>
            </w:r>
            <w:r>
              <w:rPr>
                <w:rFonts w:hint="eastAsia" w:ascii="宋体" w:hAnsi="宋体"/>
                <w:color w:val="auto"/>
                <w:szCs w:val="21"/>
              </w:rPr>
              <w:t>%。</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（3）按设计要求设置错车道。</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（4）按设计要求设置路面宽度。</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（5）及时维修及保养路面。</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（6）运输道路临山侧设排水沟。</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（7）应在运输路段设置限速、安全警示标识，在陡坡或急弯路段临空面设置护拦和挡车垛等。</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（8）运输道路坡度</w:t>
            </w:r>
            <w:r>
              <w:rPr>
                <w:rFonts w:ascii="宋体" w:hAnsi="宋体"/>
                <w:color w:val="auto"/>
                <w:szCs w:val="21"/>
              </w:rPr>
              <w:t>超过</w:t>
            </w:r>
            <w:r>
              <w:rPr>
                <w:rFonts w:hint="eastAsia" w:ascii="宋体" w:hAnsi="宋体"/>
                <w:color w:val="auto"/>
                <w:szCs w:val="21"/>
              </w:rPr>
              <w:t>10</w:t>
            </w:r>
            <w:r>
              <w:rPr>
                <w:rFonts w:ascii="宋体" w:hAnsi="宋体"/>
                <w:color w:val="auto"/>
                <w:szCs w:val="21"/>
              </w:rPr>
              <w:t>%的路段</w:t>
            </w:r>
            <w:r>
              <w:rPr>
                <w:rFonts w:hint="eastAsia" w:ascii="宋体" w:hAnsi="宋体"/>
                <w:color w:val="auto"/>
                <w:szCs w:val="21"/>
              </w:rPr>
              <w:t>只能</w:t>
            </w:r>
            <w:r>
              <w:rPr>
                <w:rFonts w:ascii="宋体" w:hAnsi="宋体"/>
                <w:color w:val="auto"/>
                <w:szCs w:val="21"/>
              </w:rPr>
              <w:t>供</w:t>
            </w:r>
            <w:r>
              <w:rPr>
                <w:rFonts w:hint="eastAsia" w:ascii="宋体" w:hAnsi="宋体"/>
                <w:color w:val="auto"/>
                <w:szCs w:val="21"/>
              </w:rPr>
              <w:t>挖掘机或</w:t>
            </w:r>
            <w:r>
              <w:rPr>
                <w:rFonts w:ascii="宋体" w:hAnsi="宋体"/>
                <w:color w:val="auto"/>
                <w:szCs w:val="21"/>
              </w:rPr>
              <w:t>行人通过。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Cs/>
                <w:color w:val="auto"/>
                <w:szCs w:val="21"/>
              </w:rPr>
            </w:pPr>
          </w:p>
        </w:tc>
        <w:tc>
          <w:tcPr>
            <w:tcW w:w="1134" w:type="dxa"/>
            <w:vMerge w:val="continue"/>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s="Tahoma"/>
                <w:color w:val="auto"/>
                <w:szCs w:val="21"/>
              </w:rPr>
            </w:pPr>
          </w:p>
        </w:tc>
        <w:tc>
          <w:tcPr>
            <w:tcW w:w="90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坍塌</w:t>
            </w:r>
          </w:p>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滑坡</w:t>
            </w:r>
          </w:p>
        </w:tc>
        <w:tc>
          <w:tcPr>
            <w:tcW w:w="4552" w:type="dxa"/>
            <w:vAlign w:val="center"/>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（1）道路不规范。</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（2）山水冲刷路面、路旁无排水沟。</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（3）运输道路边缘路基不实。</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（4）运输道路临山坡侧未设排水沟。</w:t>
            </w:r>
          </w:p>
        </w:tc>
        <w:tc>
          <w:tcPr>
            <w:tcW w:w="108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人员重大伤亡、设备严重损坏</w:t>
            </w:r>
          </w:p>
        </w:tc>
        <w:tc>
          <w:tcPr>
            <w:tcW w:w="881"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Ⅳ</w:t>
            </w:r>
          </w:p>
        </w:tc>
        <w:tc>
          <w:tcPr>
            <w:tcW w:w="4932" w:type="dxa"/>
            <w:vAlign w:val="center"/>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（1）按规程修筑道路。</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（2）按要求在道路的傍山侧修建排水沟，并保证其完好有效。</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（3）加强道路边坡检查维护。</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（4）运输道路临山坡侧设排水沟。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Cs/>
                <w:color w:val="auto"/>
                <w:szCs w:val="21"/>
              </w:rPr>
            </w:pPr>
          </w:p>
        </w:tc>
        <w:tc>
          <w:tcPr>
            <w:tcW w:w="1134" w:type="dxa"/>
            <w:vMerge w:val="continue"/>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s="Tahoma"/>
                <w:color w:val="auto"/>
                <w:szCs w:val="21"/>
              </w:rPr>
            </w:pPr>
          </w:p>
        </w:tc>
        <w:tc>
          <w:tcPr>
            <w:tcW w:w="90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物体</w:t>
            </w:r>
          </w:p>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打击</w:t>
            </w:r>
          </w:p>
        </w:tc>
        <w:tc>
          <w:tcPr>
            <w:tcW w:w="4552" w:type="dxa"/>
            <w:vAlign w:val="center"/>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道路边坡有浮石</w:t>
            </w:r>
          </w:p>
        </w:tc>
        <w:tc>
          <w:tcPr>
            <w:tcW w:w="108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设备损环人员伤亡</w:t>
            </w:r>
          </w:p>
        </w:tc>
        <w:tc>
          <w:tcPr>
            <w:tcW w:w="881"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32" w:type="dxa"/>
            <w:vAlign w:val="center"/>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运输设备、人员经过道路边坡下部时，应先清除道路边坡浮石，对不稳定的路面进行加固处理。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Cs/>
                <w:color w:val="auto"/>
                <w:szCs w:val="21"/>
              </w:rPr>
            </w:pPr>
          </w:p>
        </w:tc>
        <w:tc>
          <w:tcPr>
            <w:tcW w:w="1134" w:type="dxa"/>
            <w:vMerge w:val="continue"/>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s="Tahoma"/>
                <w:color w:val="auto"/>
                <w:szCs w:val="21"/>
              </w:rPr>
            </w:pPr>
          </w:p>
        </w:tc>
        <w:tc>
          <w:tcPr>
            <w:tcW w:w="907" w:type="dxa"/>
            <w:vAlign w:val="center"/>
          </w:tcPr>
          <w:p>
            <w:pPr>
              <w:keepNext w:val="0"/>
              <w:keepLines w:val="0"/>
              <w:pageBreakBefore w:val="0"/>
              <w:widowControl/>
              <w:tabs>
                <w:tab w:val="left" w:pos="1260"/>
                <w:tab w:val="left" w:leader="middleDot" w:pos="7560"/>
              </w:tabs>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高处</w:t>
            </w:r>
          </w:p>
          <w:p>
            <w:pPr>
              <w:keepNext w:val="0"/>
              <w:keepLines w:val="0"/>
              <w:pageBreakBefore w:val="0"/>
              <w:widowControl/>
              <w:tabs>
                <w:tab w:val="left" w:pos="1260"/>
                <w:tab w:val="left" w:leader="middleDot" w:pos="7560"/>
              </w:tabs>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坠落</w:t>
            </w:r>
          </w:p>
        </w:tc>
        <w:tc>
          <w:tcPr>
            <w:tcW w:w="4552" w:type="dxa"/>
            <w:vAlign w:val="center"/>
          </w:tcPr>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（1）人员、车辆停放过于靠近道路边缘。</w:t>
            </w:r>
          </w:p>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）台阶边缘无警示标志、临空面无防护栏。</w:t>
            </w:r>
          </w:p>
        </w:tc>
        <w:tc>
          <w:tcPr>
            <w:tcW w:w="1087" w:type="dxa"/>
            <w:vAlign w:val="center"/>
          </w:tcPr>
          <w:p>
            <w:pPr>
              <w:keepNext w:val="0"/>
              <w:keepLines w:val="0"/>
              <w:pageBreakBefore w:val="0"/>
              <w:widowControl/>
              <w:tabs>
                <w:tab w:val="left" w:pos="1260"/>
                <w:tab w:val="left" w:leader="middleDot" w:pos="7560"/>
              </w:tabs>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人员伤亡</w:t>
            </w:r>
          </w:p>
          <w:p>
            <w:pPr>
              <w:keepNext w:val="0"/>
              <w:keepLines w:val="0"/>
              <w:pageBreakBefore w:val="0"/>
              <w:widowControl/>
              <w:tabs>
                <w:tab w:val="left" w:pos="1260"/>
                <w:tab w:val="left" w:leader="middleDot" w:pos="7560"/>
              </w:tabs>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设备损坏</w:t>
            </w:r>
          </w:p>
        </w:tc>
        <w:tc>
          <w:tcPr>
            <w:tcW w:w="881" w:type="dxa"/>
            <w:vAlign w:val="center"/>
          </w:tcPr>
          <w:p>
            <w:pPr>
              <w:keepNext w:val="0"/>
              <w:keepLines w:val="0"/>
              <w:pageBreakBefore w:val="0"/>
              <w:widowControl/>
              <w:tabs>
                <w:tab w:val="left" w:pos="1260"/>
                <w:tab w:val="left" w:leader="middleDot" w:pos="7560"/>
              </w:tabs>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s="宋体"/>
                <w:color w:val="auto"/>
                <w:spacing w:val="4"/>
                <w:kern w:val="0"/>
                <w:szCs w:val="21"/>
              </w:rPr>
              <w:t>Ⅲ</w:t>
            </w:r>
          </w:p>
        </w:tc>
        <w:tc>
          <w:tcPr>
            <w:tcW w:w="4932" w:type="dxa"/>
            <w:vAlign w:val="center"/>
          </w:tcPr>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（1）行车应距临空面保持1m以上安全距离。</w:t>
            </w:r>
          </w:p>
          <w:p>
            <w:pPr>
              <w:keepNext w:val="0"/>
              <w:keepLines w:val="0"/>
              <w:pageBreakBefore w:val="0"/>
              <w:widowControl/>
              <w:tabs>
                <w:tab w:val="left" w:pos="1260"/>
                <w:tab w:val="left" w:leader="middleDot" w:pos="7560"/>
              </w:tabs>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）在明显位置设警示标志及防护栏。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bCs/>
                <w:color w:val="auto"/>
                <w:szCs w:val="21"/>
              </w:rPr>
            </w:pPr>
            <w:r>
              <w:rPr>
                <w:rFonts w:hint="eastAsia" w:ascii="宋体" w:hAnsi="宋体"/>
                <w:bCs/>
                <w:color w:val="auto"/>
                <w:szCs w:val="21"/>
              </w:rPr>
              <w:t>2</w:t>
            </w:r>
          </w:p>
        </w:tc>
        <w:tc>
          <w:tcPr>
            <w:tcW w:w="1134"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s="Tahoma"/>
                <w:color w:val="auto"/>
                <w:szCs w:val="21"/>
              </w:rPr>
            </w:pPr>
            <w:r>
              <w:rPr>
                <w:rFonts w:hint="eastAsia" w:ascii="宋体" w:hAnsi="宋体" w:cs="Tahoma"/>
                <w:color w:val="auto"/>
                <w:szCs w:val="21"/>
              </w:rPr>
              <w:t>运输设备</w:t>
            </w:r>
          </w:p>
        </w:tc>
        <w:tc>
          <w:tcPr>
            <w:tcW w:w="90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车辆</w:t>
            </w:r>
          </w:p>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伤害</w:t>
            </w:r>
          </w:p>
        </w:tc>
        <w:tc>
          <w:tcPr>
            <w:tcW w:w="4552" w:type="dxa"/>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（1）矿山运输车辆载重量或数量少于设计要求，导致超载。</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（2）车辆未及时检修，安全装置失效。</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（3）运输时超载、超速。</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（4）车辆驾驶人员未经培训考核不具备车辆驾驶能力，驾驶人员违规操作，疲劳驾驶、酒后驾驶或带病驾驶，可能发生车辆伤害事故的危险。</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pacing w:val="-11"/>
                <w:sz w:val="21"/>
                <w:szCs w:val="21"/>
              </w:rPr>
              <w:t>（5）在挖掘机铲装作业时，工作平台宽度不够或车辆停位、行走不恰当，可能会发生车辆伤害事故。</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（6）雷雨天气、六级以上大风、大雾及夜间。</w:t>
            </w:r>
          </w:p>
        </w:tc>
        <w:tc>
          <w:tcPr>
            <w:tcW w:w="1087"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人员伤亡</w:t>
            </w:r>
          </w:p>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设备损坏</w:t>
            </w:r>
          </w:p>
        </w:tc>
        <w:tc>
          <w:tcPr>
            <w:tcW w:w="881" w:type="dxa"/>
            <w:vAlign w:val="center"/>
          </w:tcPr>
          <w:p>
            <w:pPr>
              <w:keepNext w:val="0"/>
              <w:keepLines w:val="0"/>
              <w:pageBreakBefore w:val="0"/>
              <w:widowControl/>
              <w:kinsoku/>
              <w:wordWrap/>
              <w:overflowPunct/>
              <w:topLinePunct w:val="0"/>
              <w:bidi w:val="0"/>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32" w:type="dxa"/>
          </w:tcPr>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（1）按设计要求购置相应数量及载重量的运输车辆。</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（2）运输车辆及时检修。</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（3）严禁超载、超速。</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（4）驾驶员应持证上岗，驾驶时遵章守纪。严禁疲劳驾驶、酒后驾驶、带病驾驶。</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（5）挖掘机铲装作业时应停靠或行走在稳固区域。</w:t>
            </w:r>
          </w:p>
          <w:p>
            <w:pPr>
              <w:keepNext w:val="0"/>
              <w:keepLines w:val="0"/>
              <w:pageBreakBefore w:val="0"/>
              <w:widowControl/>
              <w:kinsoku/>
              <w:wordWrap/>
              <w:overflowPunct/>
              <w:topLinePunct w:val="0"/>
              <w:bidi w:val="0"/>
              <w:snapToGrid/>
              <w:spacing w:line="240" w:lineRule="exact"/>
              <w:textAlignment w:val="auto"/>
              <w:rPr>
                <w:rFonts w:ascii="宋体" w:hAnsi="宋体"/>
                <w:color w:val="auto"/>
                <w:szCs w:val="21"/>
              </w:rPr>
            </w:pPr>
            <w:r>
              <w:rPr>
                <w:rFonts w:hint="eastAsia" w:ascii="宋体" w:hAnsi="宋体"/>
                <w:color w:val="auto"/>
                <w:szCs w:val="21"/>
              </w:rPr>
              <w:t>（6）雷雨天气、六级以上大风、大雾天气及夜间时不作业。</w:t>
            </w:r>
          </w:p>
        </w:tc>
      </w:tr>
    </w:tbl>
    <w:p>
      <w:pPr>
        <w:widowControl/>
        <w:spacing w:line="500" w:lineRule="exact"/>
        <w:ind w:firstLine="480" w:firstLineChars="200"/>
        <w:rPr>
          <w:rFonts w:ascii="宋体" w:hAnsi="宋体"/>
          <w:color w:val="auto"/>
          <w:sz w:val="24"/>
        </w:rPr>
      </w:pPr>
      <w:r>
        <w:rPr>
          <w:rFonts w:hint="eastAsia" w:ascii="宋体" w:hAnsi="宋体"/>
          <w:color w:val="auto"/>
          <w:sz w:val="24"/>
        </w:rPr>
        <w:t>评价结果：存在的危险有害因素为车辆伤害、坍塌滑坡、物体打击、</w:t>
      </w:r>
      <w:r>
        <w:rPr>
          <w:rFonts w:ascii="宋体" w:hAnsi="宋体"/>
          <w:color w:val="auto"/>
          <w:sz w:val="24"/>
        </w:rPr>
        <w:t>高处坠落</w:t>
      </w:r>
      <w:r>
        <w:rPr>
          <w:rFonts w:hint="eastAsia" w:ascii="宋体" w:hAnsi="宋体"/>
          <w:color w:val="auto"/>
          <w:sz w:val="24"/>
        </w:rPr>
        <w:t>。主要防治的为车辆伤害、坍塌滑坡。</w:t>
      </w:r>
    </w:p>
    <w:p>
      <w:pPr>
        <w:pStyle w:val="4"/>
        <w:keepLines w:val="0"/>
        <w:widowControl/>
        <w:spacing w:before="120" w:after="120" w:line="500" w:lineRule="exact"/>
        <w:rPr>
          <w:rFonts w:ascii="宋体" w:hAnsi="宋体" w:eastAsia="宋体"/>
          <w:b/>
          <w:bCs w:val="0"/>
          <w:color w:val="auto"/>
          <w:kern w:val="28"/>
          <w:sz w:val="28"/>
          <w:szCs w:val="28"/>
        </w:rPr>
      </w:pPr>
      <w:bookmarkStart w:id="187" w:name="_Toc150262778"/>
      <w:bookmarkStart w:id="188" w:name="_Toc21511324"/>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4</w:t>
      </w:r>
      <w:r>
        <w:rPr>
          <w:rFonts w:hint="eastAsia" w:ascii="宋体" w:hAnsi="宋体" w:eastAsia="宋体"/>
          <w:b/>
          <w:bCs w:val="0"/>
          <w:color w:val="auto"/>
          <w:kern w:val="28"/>
          <w:sz w:val="28"/>
          <w:szCs w:val="28"/>
        </w:rPr>
        <w:t>采剥单元评价</w:t>
      </w:r>
      <w:bookmarkEnd w:id="187"/>
      <w:bookmarkEnd w:id="188"/>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3.4.1</w:t>
      </w:r>
      <w:r>
        <w:rPr>
          <w:rFonts w:hint="eastAsia" w:ascii="宋体" w:hAnsi="宋体"/>
          <w:color w:val="auto"/>
          <w:kern w:val="28"/>
          <w:sz w:val="28"/>
          <w:szCs w:val="28"/>
        </w:rPr>
        <w:t>开采要素及开采方法子单元</w:t>
      </w:r>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4 </w:t>
      </w:r>
      <w:r>
        <w:rPr>
          <w:rFonts w:hint="eastAsia" w:ascii="宋体" w:hAnsi="宋体"/>
          <w:b/>
          <w:color w:val="auto"/>
          <w:sz w:val="24"/>
        </w:rPr>
        <w:t>开采要素及</w:t>
      </w:r>
      <w:r>
        <w:rPr>
          <w:rFonts w:ascii="宋体" w:hAnsi="宋体"/>
          <w:b/>
          <w:color w:val="auto"/>
          <w:sz w:val="24"/>
        </w:rPr>
        <w:t>开采方法子单元</w:t>
      </w:r>
      <w:r>
        <w:rPr>
          <w:rFonts w:hint="eastAsia" w:ascii="宋体" w:hAnsi="宋体"/>
          <w:b/>
          <w:color w:val="auto"/>
          <w:sz w:val="24"/>
        </w:rPr>
        <w:t>安全检查表</w:t>
      </w:r>
    </w:p>
    <w:tbl>
      <w:tblPr>
        <w:tblStyle w:val="41"/>
        <w:tblW w:w="14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34"/>
        <w:gridCol w:w="4422"/>
        <w:gridCol w:w="2494"/>
        <w:gridCol w:w="850"/>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4" w:type="dxa"/>
            <w:vAlign w:val="center"/>
          </w:tcPr>
          <w:p>
            <w:pPr>
              <w:widowControl/>
              <w:jc w:val="center"/>
              <w:rPr>
                <w:rFonts w:ascii="宋体" w:hAnsi="宋体"/>
                <w:b/>
                <w:bCs/>
                <w:color w:val="auto"/>
                <w:szCs w:val="21"/>
              </w:rPr>
            </w:pPr>
            <w:r>
              <w:rPr>
                <w:rFonts w:hint="eastAsia" w:ascii="宋体" w:hAnsi="宋体"/>
                <w:b/>
                <w:bCs/>
                <w:color w:val="auto"/>
                <w:szCs w:val="21"/>
              </w:rPr>
              <w:t>序号</w:t>
            </w:r>
          </w:p>
        </w:tc>
        <w:tc>
          <w:tcPr>
            <w:tcW w:w="1134" w:type="dxa"/>
            <w:vAlign w:val="center"/>
          </w:tcPr>
          <w:p>
            <w:pPr>
              <w:widowControl/>
              <w:jc w:val="center"/>
              <w:rPr>
                <w:rFonts w:ascii="宋体" w:hAnsi="宋体"/>
                <w:b/>
                <w:bCs/>
                <w:color w:val="auto"/>
                <w:szCs w:val="21"/>
              </w:rPr>
            </w:pPr>
            <w:r>
              <w:rPr>
                <w:rFonts w:hint="eastAsia" w:ascii="宋体" w:hAnsi="宋体"/>
                <w:b/>
                <w:bCs/>
                <w:color w:val="auto"/>
                <w:szCs w:val="21"/>
              </w:rPr>
              <w:t>检查项目</w:t>
            </w:r>
          </w:p>
        </w:tc>
        <w:tc>
          <w:tcPr>
            <w:tcW w:w="4422" w:type="dxa"/>
            <w:vAlign w:val="center"/>
          </w:tcPr>
          <w:p>
            <w:pPr>
              <w:widowControl/>
              <w:jc w:val="center"/>
              <w:rPr>
                <w:rFonts w:ascii="宋体" w:hAnsi="宋体"/>
                <w:b/>
                <w:bCs/>
                <w:color w:val="auto"/>
                <w:szCs w:val="21"/>
              </w:rPr>
            </w:pPr>
            <w:r>
              <w:rPr>
                <w:rFonts w:hint="eastAsia" w:ascii="宋体" w:hAnsi="宋体"/>
                <w:b/>
                <w:bCs/>
                <w:color w:val="auto"/>
                <w:szCs w:val="21"/>
              </w:rPr>
              <w:t>检查内容</w:t>
            </w:r>
          </w:p>
        </w:tc>
        <w:tc>
          <w:tcPr>
            <w:tcW w:w="2494" w:type="dxa"/>
            <w:vAlign w:val="center"/>
          </w:tcPr>
          <w:p>
            <w:pPr>
              <w:widowControl/>
              <w:jc w:val="center"/>
              <w:rPr>
                <w:rFonts w:ascii="宋体" w:hAnsi="宋体"/>
                <w:b/>
                <w:bCs/>
                <w:color w:val="auto"/>
                <w:szCs w:val="21"/>
              </w:rPr>
            </w:pPr>
            <w:r>
              <w:rPr>
                <w:rFonts w:hint="eastAsia" w:ascii="宋体" w:hAnsi="宋体"/>
                <w:b/>
                <w:bCs/>
                <w:color w:val="auto"/>
                <w:szCs w:val="21"/>
              </w:rPr>
              <w:t>依据标准</w:t>
            </w:r>
          </w:p>
        </w:tc>
        <w:tc>
          <w:tcPr>
            <w:tcW w:w="850" w:type="dxa"/>
            <w:vAlign w:val="center"/>
          </w:tcPr>
          <w:p>
            <w:pPr>
              <w:widowControl/>
              <w:jc w:val="center"/>
              <w:rPr>
                <w:rFonts w:ascii="宋体" w:hAnsi="宋体"/>
                <w:b/>
                <w:bCs/>
                <w:color w:val="auto"/>
                <w:szCs w:val="21"/>
              </w:rPr>
            </w:pPr>
            <w:r>
              <w:rPr>
                <w:rFonts w:hint="eastAsia" w:ascii="宋体" w:hAnsi="宋体"/>
                <w:b/>
                <w:bCs/>
                <w:color w:val="auto"/>
                <w:szCs w:val="21"/>
              </w:rPr>
              <w:t>检查</w:t>
            </w:r>
          </w:p>
          <w:p>
            <w:pPr>
              <w:widowControl/>
              <w:jc w:val="center"/>
              <w:rPr>
                <w:rFonts w:ascii="宋体" w:hAnsi="宋体"/>
                <w:b/>
                <w:bCs/>
                <w:color w:val="auto"/>
                <w:szCs w:val="21"/>
              </w:rPr>
            </w:pPr>
            <w:r>
              <w:rPr>
                <w:rFonts w:hint="eastAsia" w:ascii="宋体" w:hAnsi="宋体"/>
                <w:b/>
                <w:bCs/>
                <w:color w:val="auto"/>
                <w:szCs w:val="21"/>
              </w:rPr>
              <w:t>结果</w:t>
            </w:r>
          </w:p>
        </w:tc>
        <w:tc>
          <w:tcPr>
            <w:tcW w:w="4309" w:type="dxa"/>
            <w:vAlign w:val="center"/>
          </w:tcPr>
          <w:p>
            <w:pPr>
              <w:widowControl/>
              <w:jc w:val="center"/>
              <w:rPr>
                <w:rFonts w:ascii="宋体" w:hAnsi="宋体"/>
                <w:b/>
                <w:bCs/>
                <w:color w:val="auto"/>
                <w:szCs w:val="21"/>
              </w:rPr>
            </w:pPr>
            <w:r>
              <w:rPr>
                <w:rFonts w:hint="eastAsia" w:ascii="宋体" w:hAnsi="宋体"/>
                <w:b/>
                <w:bCs/>
                <w:color w:val="auto"/>
                <w:szCs w:val="21"/>
              </w:rPr>
              <w:t>可行性研究报告规划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bCs/>
                <w:color w:val="auto"/>
                <w:szCs w:val="21"/>
              </w:rPr>
            </w:pPr>
            <w:r>
              <w:rPr>
                <w:rFonts w:hint="eastAsia" w:ascii="宋体" w:hAnsi="宋体"/>
                <w:bCs/>
                <w:color w:val="auto"/>
                <w:szCs w:val="21"/>
              </w:rPr>
              <w:t>1</w:t>
            </w:r>
          </w:p>
        </w:tc>
        <w:tc>
          <w:tcPr>
            <w:tcW w:w="1134" w:type="dxa"/>
            <w:vAlign w:val="center"/>
          </w:tcPr>
          <w:p>
            <w:pPr>
              <w:widowControl/>
              <w:jc w:val="center"/>
              <w:rPr>
                <w:rFonts w:ascii="宋体" w:hAnsi="宋体"/>
                <w:bCs/>
                <w:color w:val="auto"/>
                <w:szCs w:val="21"/>
              </w:rPr>
            </w:pPr>
            <w:r>
              <w:rPr>
                <w:rFonts w:hint="eastAsia" w:ascii="宋体" w:hAnsi="宋体"/>
                <w:bCs/>
                <w:color w:val="auto"/>
                <w:szCs w:val="21"/>
              </w:rPr>
              <w:t>开采方法</w:t>
            </w:r>
          </w:p>
        </w:tc>
        <w:tc>
          <w:tcPr>
            <w:tcW w:w="4422" w:type="dxa"/>
            <w:vAlign w:val="center"/>
          </w:tcPr>
          <w:p>
            <w:pPr>
              <w:widowControl/>
              <w:rPr>
                <w:rFonts w:ascii="宋体" w:hAnsi="宋体"/>
                <w:bCs/>
                <w:color w:val="auto"/>
                <w:szCs w:val="21"/>
              </w:rPr>
            </w:pPr>
            <w:r>
              <w:rPr>
                <w:rFonts w:hint="eastAsia" w:ascii="宋体" w:hAnsi="宋体"/>
                <w:bCs/>
                <w:color w:val="auto"/>
                <w:szCs w:val="21"/>
              </w:rPr>
              <w:t>露天开采应遵循自上而下的开采顺序，分台阶开采。</w:t>
            </w:r>
          </w:p>
        </w:tc>
        <w:tc>
          <w:tcPr>
            <w:tcW w:w="2494" w:type="dxa"/>
            <w:vMerge w:val="restart"/>
            <w:vAlign w:val="center"/>
          </w:tcPr>
          <w:p>
            <w:pPr>
              <w:widowControl/>
              <w:jc w:val="center"/>
              <w:rPr>
                <w:rFonts w:ascii="宋体" w:hAnsi="宋体"/>
                <w:bCs/>
                <w:color w:val="auto"/>
                <w:szCs w:val="21"/>
              </w:rPr>
            </w:pPr>
            <w:r>
              <w:rPr>
                <w:rFonts w:hint="eastAsia" w:ascii="宋体" w:hAnsi="宋体"/>
                <w:bCs/>
                <w:color w:val="auto"/>
                <w:szCs w:val="21"/>
              </w:rPr>
              <w:t>《金属非金属矿山安全规程》第</w:t>
            </w:r>
            <w:r>
              <w:rPr>
                <w:rFonts w:ascii="宋体" w:hAnsi="宋体"/>
                <w:bCs/>
                <w:color w:val="auto"/>
                <w:szCs w:val="21"/>
              </w:rPr>
              <w:t>5.2.1.1</w:t>
            </w:r>
            <w:r>
              <w:rPr>
                <w:rFonts w:hint="eastAsia" w:ascii="宋体" w:hAnsi="宋体"/>
                <w:bCs/>
                <w:color w:val="auto"/>
                <w:szCs w:val="21"/>
              </w:rPr>
              <w:t>条</w:t>
            </w:r>
          </w:p>
        </w:tc>
        <w:tc>
          <w:tcPr>
            <w:tcW w:w="850" w:type="dxa"/>
            <w:vAlign w:val="center"/>
          </w:tcPr>
          <w:p>
            <w:pPr>
              <w:widowControl/>
              <w:jc w:val="center"/>
              <w:rPr>
                <w:rFonts w:ascii="宋体" w:hAnsi="宋体"/>
                <w:bCs/>
                <w:color w:val="auto"/>
                <w:szCs w:val="21"/>
              </w:rPr>
            </w:pPr>
            <w:r>
              <w:rPr>
                <w:rFonts w:hint="eastAsia" w:ascii="宋体" w:hAnsi="宋体"/>
                <w:bCs/>
                <w:color w:val="auto"/>
                <w:szCs w:val="21"/>
              </w:rPr>
              <w:t>符合</w:t>
            </w:r>
          </w:p>
        </w:tc>
        <w:tc>
          <w:tcPr>
            <w:tcW w:w="4309" w:type="dxa"/>
            <w:vAlign w:val="center"/>
          </w:tcPr>
          <w:p>
            <w:pPr>
              <w:widowControl/>
              <w:rPr>
                <w:rFonts w:ascii="宋体" w:hAnsi="宋体"/>
                <w:bCs/>
                <w:color w:val="auto"/>
                <w:szCs w:val="21"/>
              </w:rPr>
            </w:pPr>
            <w:r>
              <w:rPr>
                <w:rFonts w:hint="eastAsia" w:ascii="宋体" w:hAnsi="宋体"/>
                <w:bCs/>
                <w:color w:val="auto"/>
                <w:szCs w:val="21"/>
              </w:rPr>
              <w:t>采用“自上而下，分水平台阶逐层开采”，并坚持“采剥并举，剥离先行”。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bCs/>
                <w:color w:val="auto"/>
                <w:szCs w:val="21"/>
              </w:rPr>
            </w:pPr>
            <w:r>
              <w:rPr>
                <w:rFonts w:hint="eastAsia" w:ascii="宋体" w:hAnsi="宋体"/>
                <w:bCs/>
                <w:color w:val="auto"/>
                <w:szCs w:val="21"/>
              </w:rPr>
              <w:t>2</w:t>
            </w:r>
          </w:p>
        </w:tc>
        <w:tc>
          <w:tcPr>
            <w:tcW w:w="1134" w:type="dxa"/>
            <w:vAlign w:val="center"/>
          </w:tcPr>
          <w:p>
            <w:pPr>
              <w:widowControl/>
              <w:jc w:val="center"/>
              <w:rPr>
                <w:rFonts w:ascii="宋体" w:hAnsi="宋体"/>
                <w:bCs/>
                <w:color w:val="auto"/>
                <w:szCs w:val="21"/>
              </w:rPr>
            </w:pPr>
            <w:r>
              <w:rPr>
                <w:rFonts w:hint="eastAsia" w:ascii="宋体" w:hAnsi="宋体"/>
                <w:bCs/>
                <w:color w:val="auto"/>
                <w:szCs w:val="21"/>
              </w:rPr>
              <w:t>台阶高度</w:t>
            </w:r>
          </w:p>
        </w:tc>
        <w:tc>
          <w:tcPr>
            <w:tcW w:w="4422" w:type="dxa"/>
            <w:vAlign w:val="center"/>
          </w:tcPr>
          <w:p>
            <w:pPr>
              <w:widowControl/>
              <w:rPr>
                <w:rFonts w:ascii="宋体" w:hAnsi="宋体"/>
                <w:bCs/>
                <w:color w:val="auto"/>
                <w:szCs w:val="21"/>
              </w:rPr>
            </w:pPr>
            <w:r>
              <w:rPr>
                <w:rFonts w:hint="eastAsia" w:ascii="宋体" w:hAnsi="宋体"/>
                <w:bCs/>
                <w:color w:val="auto"/>
                <w:szCs w:val="21"/>
              </w:rPr>
              <w:t>松软的岩土、砂状的矿岩，不爆破，不大于机械的最大挖掘高度。</w:t>
            </w:r>
          </w:p>
        </w:tc>
        <w:tc>
          <w:tcPr>
            <w:tcW w:w="2494" w:type="dxa"/>
            <w:vMerge w:val="continue"/>
            <w:vAlign w:val="center"/>
          </w:tcPr>
          <w:p>
            <w:pPr>
              <w:widowControl/>
              <w:jc w:val="center"/>
              <w:rPr>
                <w:rFonts w:ascii="宋体" w:hAnsi="宋体"/>
                <w:bCs/>
                <w:color w:val="auto"/>
                <w:szCs w:val="21"/>
              </w:rPr>
            </w:pPr>
          </w:p>
        </w:tc>
        <w:tc>
          <w:tcPr>
            <w:tcW w:w="850" w:type="dxa"/>
            <w:vAlign w:val="center"/>
          </w:tcPr>
          <w:p>
            <w:pPr>
              <w:widowControl/>
              <w:jc w:val="center"/>
              <w:rPr>
                <w:rFonts w:ascii="宋体" w:hAnsi="宋体"/>
                <w:bCs/>
                <w:color w:val="auto"/>
                <w:szCs w:val="21"/>
              </w:rPr>
            </w:pPr>
            <w:r>
              <w:rPr>
                <w:rFonts w:hint="eastAsia" w:ascii="宋体" w:hAnsi="宋体"/>
                <w:bCs/>
                <w:color w:val="auto"/>
                <w:szCs w:val="21"/>
              </w:rPr>
              <w:t>不符合</w:t>
            </w:r>
          </w:p>
        </w:tc>
        <w:tc>
          <w:tcPr>
            <w:tcW w:w="4309" w:type="dxa"/>
            <w:vAlign w:val="center"/>
          </w:tcPr>
          <w:p>
            <w:pPr>
              <w:widowControl/>
              <w:rPr>
                <w:rFonts w:ascii="宋体" w:hAnsi="宋体"/>
                <w:bCs/>
                <w:color w:val="auto"/>
                <w:szCs w:val="21"/>
              </w:rPr>
            </w:pPr>
            <w:r>
              <w:rPr>
                <w:rFonts w:hint="eastAsia" w:ascii="宋体" w:hAnsi="宋体"/>
                <w:bCs/>
                <w:color w:val="auto"/>
                <w:szCs w:val="21"/>
              </w:rPr>
              <w:t>顶部工作</w:t>
            </w:r>
            <w:r>
              <w:rPr>
                <w:rFonts w:ascii="宋体" w:hAnsi="宋体"/>
                <w:bCs/>
                <w:color w:val="auto"/>
                <w:szCs w:val="21"/>
              </w:rPr>
              <w:t>台阶</w:t>
            </w:r>
            <w:r>
              <w:rPr>
                <w:rFonts w:hint="eastAsia" w:ascii="宋体" w:hAnsi="宋体"/>
                <w:bCs/>
                <w:color w:val="auto"/>
                <w:szCs w:val="21"/>
              </w:rPr>
              <w:t>为1</w:t>
            </w:r>
            <w:r>
              <w:rPr>
                <w:rFonts w:ascii="宋体" w:hAnsi="宋体"/>
                <w:bCs/>
                <w:color w:val="auto"/>
                <w:szCs w:val="21"/>
              </w:rPr>
              <w:t>2</w:t>
            </w:r>
            <w:r>
              <w:rPr>
                <w:rFonts w:hint="eastAsia" w:ascii="宋体" w:hAnsi="宋体"/>
                <w:bCs/>
                <w:color w:val="auto"/>
                <w:szCs w:val="21"/>
              </w:rPr>
              <w:t>m，高度大于挖掘机</w:t>
            </w:r>
            <w:r>
              <w:rPr>
                <w:rFonts w:ascii="宋体" w:hAnsi="宋体"/>
                <w:bCs/>
                <w:color w:val="auto"/>
                <w:szCs w:val="21"/>
              </w:rPr>
              <w:t>的最大挖掘高度</w:t>
            </w:r>
            <w:r>
              <w:rPr>
                <w:rFonts w:hint="eastAsia" w:ascii="宋体" w:hAnsi="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bCs/>
                <w:color w:val="auto"/>
                <w:szCs w:val="21"/>
              </w:rPr>
            </w:pPr>
            <w:r>
              <w:rPr>
                <w:rFonts w:hint="eastAsia" w:ascii="宋体" w:hAnsi="宋体"/>
                <w:bCs/>
                <w:color w:val="auto"/>
                <w:szCs w:val="21"/>
              </w:rPr>
              <w:t>3</w:t>
            </w:r>
          </w:p>
        </w:tc>
        <w:tc>
          <w:tcPr>
            <w:tcW w:w="1134" w:type="dxa"/>
            <w:vAlign w:val="center"/>
          </w:tcPr>
          <w:p>
            <w:pPr>
              <w:widowControl/>
              <w:jc w:val="center"/>
              <w:rPr>
                <w:rFonts w:ascii="宋体" w:hAnsi="宋体"/>
                <w:bCs/>
                <w:color w:val="auto"/>
                <w:szCs w:val="21"/>
              </w:rPr>
            </w:pPr>
            <w:r>
              <w:rPr>
                <w:rFonts w:hint="eastAsia" w:ascii="宋体" w:hAnsi="宋体"/>
                <w:bCs/>
                <w:color w:val="auto"/>
                <w:szCs w:val="21"/>
              </w:rPr>
              <w:t>安全平台及清扫平台</w:t>
            </w:r>
          </w:p>
        </w:tc>
        <w:tc>
          <w:tcPr>
            <w:tcW w:w="4422" w:type="dxa"/>
            <w:vAlign w:val="center"/>
          </w:tcPr>
          <w:p>
            <w:pPr>
              <w:widowControl/>
              <w:rPr>
                <w:rFonts w:ascii="宋体" w:hAnsi="宋体"/>
                <w:bCs/>
                <w:color w:val="auto"/>
                <w:szCs w:val="21"/>
              </w:rPr>
            </w:pPr>
            <w:r>
              <w:rPr>
                <w:rFonts w:hint="eastAsia" w:ascii="宋体" w:hAnsi="宋体"/>
                <w:color w:val="auto"/>
                <w:szCs w:val="21"/>
              </w:rPr>
              <w:t>露天采场应设安全平台和清扫平台。人工清扫平台宽度不小于6m，机械清扫平台宽度应满足设备要求且不小于8m。</w:t>
            </w:r>
          </w:p>
        </w:tc>
        <w:tc>
          <w:tcPr>
            <w:tcW w:w="2494" w:type="dxa"/>
            <w:vAlign w:val="center"/>
          </w:tcPr>
          <w:p>
            <w:pPr>
              <w:widowControl/>
              <w:jc w:val="center"/>
              <w:rPr>
                <w:rFonts w:ascii="宋体" w:hAnsi="宋体"/>
                <w:bCs/>
                <w:color w:val="auto"/>
                <w:szCs w:val="21"/>
              </w:rPr>
            </w:pPr>
            <w:r>
              <w:rPr>
                <w:rFonts w:ascii="宋体" w:hAnsi="宋体"/>
                <w:color w:val="auto"/>
                <w:szCs w:val="21"/>
              </w:rPr>
              <w:t>《金属非金属矿山安全规程》</w:t>
            </w:r>
            <w:r>
              <w:rPr>
                <w:rFonts w:hint="eastAsia" w:ascii="宋体" w:hAnsi="宋体"/>
                <w:color w:val="auto"/>
                <w:szCs w:val="21"/>
              </w:rPr>
              <w:t>第5.2.</w:t>
            </w:r>
            <w:r>
              <w:rPr>
                <w:rFonts w:ascii="宋体" w:hAnsi="宋体"/>
                <w:color w:val="auto"/>
                <w:szCs w:val="21"/>
              </w:rPr>
              <w:t>1</w:t>
            </w:r>
            <w:r>
              <w:rPr>
                <w:rFonts w:hint="eastAsia" w:ascii="宋体" w:hAnsi="宋体"/>
                <w:color w:val="auto"/>
                <w:szCs w:val="21"/>
              </w:rPr>
              <w:t>.4条。</w:t>
            </w:r>
          </w:p>
        </w:tc>
        <w:tc>
          <w:tcPr>
            <w:tcW w:w="850" w:type="dxa"/>
            <w:vAlign w:val="center"/>
          </w:tcPr>
          <w:p>
            <w:pPr>
              <w:widowControl/>
              <w:jc w:val="center"/>
              <w:rPr>
                <w:rFonts w:ascii="宋体" w:hAnsi="宋体"/>
                <w:bCs/>
                <w:color w:val="auto"/>
                <w:szCs w:val="21"/>
              </w:rPr>
            </w:pPr>
            <w:r>
              <w:rPr>
                <w:rFonts w:hint="eastAsia" w:ascii="宋体" w:hAnsi="宋体"/>
                <w:bCs/>
                <w:color w:val="auto"/>
                <w:szCs w:val="21"/>
              </w:rPr>
              <w:t>符合</w:t>
            </w:r>
          </w:p>
        </w:tc>
        <w:tc>
          <w:tcPr>
            <w:tcW w:w="4309" w:type="dxa"/>
            <w:vAlign w:val="center"/>
          </w:tcPr>
          <w:p>
            <w:pPr>
              <w:widowControl/>
              <w:rPr>
                <w:rFonts w:ascii="宋体" w:hAnsi="宋体"/>
                <w:bCs/>
                <w:color w:val="auto"/>
                <w:szCs w:val="21"/>
              </w:rPr>
            </w:pPr>
            <w:r>
              <w:rPr>
                <w:rFonts w:hint="eastAsia" w:ascii="宋体" w:hAnsi="宋体"/>
                <w:bCs/>
                <w:color w:val="auto"/>
                <w:szCs w:val="21"/>
              </w:rPr>
              <w:t>安全平台宽度</w:t>
            </w:r>
            <w:r>
              <w:rPr>
                <w:rFonts w:ascii="宋体" w:hAnsi="宋体"/>
                <w:bCs/>
                <w:color w:val="auto"/>
                <w:szCs w:val="21"/>
              </w:rPr>
              <w:t>4</w:t>
            </w:r>
            <w:r>
              <w:rPr>
                <w:rFonts w:hint="eastAsia" w:ascii="宋体" w:hAnsi="宋体"/>
                <w:bCs/>
                <w:color w:val="auto"/>
                <w:szCs w:val="21"/>
              </w:rPr>
              <w:t>m，清扫平台宽度6m，不设置机械清扫平台。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bCs/>
                <w:color w:val="auto"/>
                <w:szCs w:val="21"/>
              </w:rPr>
            </w:pPr>
            <w:r>
              <w:rPr>
                <w:rFonts w:ascii="宋体" w:hAnsi="宋体"/>
                <w:bCs/>
                <w:color w:val="auto"/>
                <w:szCs w:val="21"/>
              </w:rPr>
              <w:t>4</w:t>
            </w:r>
          </w:p>
        </w:tc>
        <w:tc>
          <w:tcPr>
            <w:tcW w:w="1134" w:type="dxa"/>
            <w:vAlign w:val="center"/>
          </w:tcPr>
          <w:p>
            <w:pPr>
              <w:widowControl/>
              <w:jc w:val="center"/>
              <w:rPr>
                <w:rFonts w:ascii="宋体" w:hAnsi="宋体"/>
                <w:bCs/>
                <w:color w:val="auto"/>
                <w:szCs w:val="21"/>
              </w:rPr>
            </w:pPr>
            <w:r>
              <w:rPr>
                <w:rFonts w:hint="eastAsia" w:ascii="宋体" w:hAnsi="宋体"/>
                <w:bCs/>
                <w:color w:val="auto"/>
                <w:szCs w:val="21"/>
              </w:rPr>
              <w:t>台阶坡面角</w:t>
            </w:r>
          </w:p>
        </w:tc>
        <w:tc>
          <w:tcPr>
            <w:tcW w:w="4422" w:type="dxa"/>
            <w:vAlign w:val="center"/>
          </w:tcPr>
          <w:p>
            <w:pPr>
              <w:widowControl/>
              <w:rPr>
                <w:rFonts w:ascii="宋体" w:hAnsi="宋体"/>
                <w:bCs/>
                <w:color w:val="auto"/>
                <w:szCs w:val="21"/>
              </w:rPr>
            </w:pPr>
            <w:r>
              <w:rPr>
                <w:rFonts w:hint="eastAsia" w:ascii="宋体" w:hAnsi="宋体"/>
                <w:bCs/>
                <w:color w:val="auto"/>
                <w:szCs w:val="21"/>
              </w:rPr>
              <w:t>露天边坡应符合设计要求，保证边坡整体的安全稳定。</w:t>
            </w:r>
          </w:p>
        </w:tc>
        <w:tc>
          <w:tcPr>
            <w:tcW w:w="2494" w:type="dxa"/>
          </w:tcPr>
          <w:p>
            <w:pPr>
              <w:widowControl/>
              <w:jc w:val="center"/>
              <w:rPr>
                <w:rFonts w:ascii="宋体" w:hAnsi="宋体"/>
                <w:bCs/>
                <w:color w:val="auto"/>
                <w:szCs w:val="21"/>
              </w:rPr>
            </w:pPr>
            <w:r>
              <w:rPr>
                <w:rFonts w:hint="eastAsia" w:ascii="宋体" w:hAnsi="宋体"/>
                <w:bCs/>
                <w:color w:val="auto"/>
                <w:szCs w:val="21"/>
              </w:rPr>
              <w:t>《金属非金属矿山安全规程》第</w:t>
            </w:r>
            <w:r>
              <w:rPr>
                <w:rFonts w:ascii="宋体" w:hAnsi="宋体"/>
                <w:bCs/>
                <w:color w:val="auto"/>
                <w:szCs w:val="21"/>
              </w:rPr>
              <w:t>5.2.4.1</w:t>
            </w:r>
            <w:r>
              <w:rPr>
                <w:rFonts w:hint="eastAsia" w:ascii="宋体" w:hAnsi="宋体"/>
                <w:bCs/>
                <w:color w:val="auto"/>
                <w:szCs w:val="21"/>
              </w:rPr>
              <w:t>条</w:t>
            </w:r>
          </w:p>
        </w:tc>
        <w:tc>
          <w:tcPr>
            <w:tcW w:w="850" w:type="dxa"/>
            <w:vAlign w:val="center"/>
          </w:tcPr>
          <w:p>
            <w:pPr>
              <w:widowControl/>
              <w:jc w:val="center"/>
              <w:rPr>
                <w:rFonts w:ascii="宋体" w:hAnsi="宋体"/>
                <w:bCs/>
                <w:color w:val="auto"/>
                <w:szCs w:val="21"/>
              </w:rPr>
            </w:pPr>
            <w:r>
              <w:rPr>
                <w:rFonts w:hint="eastAsia" w:ascii="宋体" w:hAnsi="宋体"/>
                <w:bCs/>
                <w:color w:val="auto"/>
                <w:szCs w:val="21"/>
              </w:rPr>
              <w:t>符合</w:t>
            </w:r>
          </w:p>
        </w:tc>
        <w:tc>
          <w:tcPr>
            <w:tcW w:w="4309" w:type="dxa"/>
            <w:vAlign w:val="center"/>
          </w:tcPr>
          <w:p>
            <w:pPr>
              <w:widowControl/>
              <w:rPr>
                <w:rFonts w:ascii="宋体" w:hAnsi="宋体"/>
                <w:bCs/>
                <w:color w:val="auto"/>
                <w:szCs w:val="21"/>
              </w:rPr>
            </w:pPr>
            <w:r>
              <w:rPr>
                <w:rFonts w:hint="eastAsia" w:ascii="宋体" w:hAnsi="宋体"/>
                <w:bCs/>
                <w:color w:val="auto"/>
                <w:szCs w:val="21"/>
              </w:rPr>
              <w:t>表土台阶坡面角45°，高岭土台阶坡面角55°。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bCs/>
                <w:color w:val="auto"/>
                <w:szCs w:val="21"/>
              </w:rPr>
            </w:pPr>
            <w:r>
              <w:rPr>
                <w:rFonts w:ascii="宋体" w:hAnsi="宋体"/>
                <w:bCs/>
                <w:color w:val="auto"/>
                <w:szCs w:val="21"/>
              </w:rPr>
              <w:t>5</w:t>
            </w:r>
          </w:p>
        </w:tc>
        <w:tc>
          <w:tcPr>
            <w:tcW w:w="1134" w:type="dxa"/>
            <w:vAlign w:val="center"/>
          </w:tcPr>
          <w:p>
            <w:pPr>
              <w:widowControl/>
              <w:jc w:val="center"/>
              <w:rPr>
                <w:rFonts w:ascii="宋体" w:hAnsi="宋体"/>
                <w:bCs/>
                <w:color w:val="auto"/>
                <w:szCs w:val="21"/>
              </w:rPr>
            </w:pPr>
            <w:r>
              <w:rPr>
                <w:rFonts w:hint="eastAsia" w:ascii="宋体" w:hAnsi="宋体"/>
                <w:bCs/>
                <w:color w:val="auto"/>
                <w:szCs w:val="21"/>
              </w:rPr>
              <w:t>最终边坡角</w:t>
            </w:r>
          </w:p>
        </w:tc>
        <w:tc>
          <w:tcPr>
            <w:tcW w:w="4422" w:type="dxa"/>
            <w:vAlign w:val="center"/>
          </w:tcPr>
          <w:p>
            <w:pPr>
              <w:widowControl/>
              <w:rPr>
                <w:rFonts w:ascii="宋体" w:hAnsi="宋体"/>
                <w:color w:val="auto"/>
                <w:szCs w:val="21"/>
              </w:rPr>
            </w:pPr>
            <w:r>
              <w:rPr>
                <w:rFonts w:hint="eastAsia" w:ascii="宋体" w:hAnsi="宋体"/>
                <w:color w:val="auto"/>
                <w:szCs w:val="21"/>
              </w:rPr>
              <w:t>邻近最终边坡作业应遵守下列规定：</w:t>
            </w:r>
          </w:p>
          <w:p>
            <w:pPr>
              <w:widowControl/>
              <w:rPr>
                <w:rFonts w:ascii="宋体" w:hAnsi="宋体"/>
                <w:color w:val="auto"/>
                <w:szCs w:val="21"/>
              </w:rPr>
            </w:pPr>
            <w:r>
              <w:rPr>
                <w:rFonts w:hint="eastAsia" w:ascii="宋体" w:hAnsi="宋体"/>
                <w:color w:val="auto"/>
                <w:szCs w:val="21"/>
              </w:rPr>
              <w:t>一一采用控制爆破减震；</w:t>
            </w:r>
          </w:p>
          <w:p>
            <w:pPr>
              <w:widowControl/>
              <w:rPr>
                <w:rFonts w:ascii="宋体" w:hAnsi="宋体"/>
                <w:bCs/>
                <w:color w:val="auto"/>
                <w:szCs w:val="21"/>
              </w:rPr>
            </w:pPr>
            <w:r>
              <w:rPr>
                <w:rFonts w:hint="eastAsia" w:ascii="宋体" w:hAnsi="宋体"/>
                <w:color w:val="auto"/>
                <w:szCs w:val="21"/>
              </w:rPr>
              <w:t>一一保持台阶的安全坡面角，不应超挖坡底。</w:t>
            </w:r>
          </w:p>
        </w:tc>
        <w:tc>
          <w:tcPr>
            <w:tcW w:w="2494" w:type="dxa"/>
            <w:vAlign w:val="center"/>
          </w:tcPr>
          <w:p>
            <w:pPr>
              <w:widowControl/>
              <w:jc w:val="center"/>
              <w:rPr>
                <w:rFonts w:ascii="宋体" w:hAnsi="宋体"/>
                <w:bCs/>
                <w:color w:val="auto"/>
                <w:szCs w:val="21"/>
              </w:rPr>
            </w:pPr>
            <w:r>
              <w:rPr>
                <w:rFonts w:ascii="宋体" w:hAnsi="宋体"/>
                <w:bCs/>
                <w:color w:val="auto"/>
                <w:szCs w:val="21"/>
              </w:rPr>
              <w:t>《金属非金属矿山安全规程》第5.</w:t>
            </w:r>
            <w:r>
              <w:rPr>
                <w:rFonts w:hint="eastAsia" w:ascii="宋体" w:hAnsi="宋体"/>
                <w:bCs/>
                <w:color w:val="auto"/>
                <w:szCs w:val="21"/>
              </w:rPr>
              <w:t>2</w:t>
            </w:r>
            <w:r>
              <w:rPr>
                <w:rFonts w:ascii="宋体" w:hAnsi="宋体"/>
                <w:bCs/>
                <w:color w:val="auto"/>
                <w:szCs w:val="21"/>
              </w:rPr>
              <w:t>.4.2条</w:t>
            </w:r>
          </w:p>
        </w:tc>
        <w:tc>
          <w:tcPr>
            <w:tcW w:w="850" w:type="dxa"/>
            <w:vAlign w:val="center"/>
          </w:tcPr>
          <w:p>
            <w:pPr>
              <w:widowControl/>
              <w:jc w:val="center"/>
              <w:rPr>
                <w:rFonts w:ascii="宋体" w:hAnsi="宋体"/>
                <w:bCs/>
                <w:color w:val="auto"/>
                <w:szCs w:val="21"/>
              </w:rPr>
            </w:pPr>
            <w:r>
              <w:rPr>
                <w:rFonts w:hint="eastAsia" w:ascii="宋体" w:hAnsi="宋体"/>
                <w:bCs/>
                <w:color w:val="auto"/>
                <w:szCs w:val="21"/>
              </w:rPr>
              <w:t>符合</w:t>
            </w:r>
          </w:p>
        </w:tc>
        <w:tc>
          <w:tcPr>
            <w:tcW w:w="4309" w:type="dxa"/>
            <w:vAlign w:val="center"/>
          </w:tcPr>
          <w:p>
            <w:pPr>
              <w:widowControl/>
              <w:rPr>
                <w:rFonts w:ascii="宋体" w:hAnsi="宋体"/>
                <w:bCs/>
                <w:color w:val="auto"/>
                <w:szCs w:val="21"/>
              </w:rPr>
            </w:pPr>
            <w:r>
              <w:rPr>
                <w:rFonts w:hint="eastAsia" w:ascii="宋体" w:hAnsi="宋体"/>
                <w:color w:val="auto"/>
                <w:szCs w:val="21"/>
              </w:rPr>
              <w:t>最终帮坡角：</w:t>
            </w:r>
            <w:r>
              <w:rPr>
                <w:rFonts w:ascii="宋体" w:hAnsi="宋体"/>
                <w:color w:val="auto"/>
                <w:szCs w:val="21"/>
              </w:rPr>
              <w:t>21</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bCs/>
                <w:color w:val="auto"/>
                <w:szCs w:val="21"/>
              </w:rPr>
            </w:pPr>
            <w:r>
              <w:rPr>
                <w:rFonts w:ascii="宋体" w:hAnsi="宋体"/>
                <w:bCs/>
                <w:color w:val="auto"/>
                <w:szCs w:val="21"/>
              </w:rPr>
              <w:t>6</w:t>
            </w:r>
          </w:p>
        </w:tc>
        <w:tc>
          <w:tcPr>
            <w:tcW w:w="1134" w:type="dxa"/>
            <w:vAlign w:val="center"/>
          </w:tcPr>
          <w:p>
            <w:pPr>
              <w:widowControl/>
              <w:jc w:val="center"/>
              <w:rPr>
                <w:rFonts w:ascii="宋体" w:hAnsi="宋体"/>
                <w:bCs/>
                <w:color w:val="auto"/>
                <w:szCs w:val="21"/>
              </w:rPr>
            </w:pPr>
            <w:r>
              <w:rPr>
                <w:rFonts w:hint="eastAsia" w:ascii="宋体" w:hAnsi="宋体"/>
                <w:bCs/>
                <w:color w:val="auto"/>
                <w:szCs w:val="21"/>
              </w:rPr>
              <w:t>挖掘机</w:t>
            </w:r>
          </w:p>
        </w:tc>
        <w:tc>
          <w:tcPr>
            <w:tcW w:w="4422" w:type="dxa"/>
            <w:vAlign w:val="center"/>
          </w:tcPr>
          <w:p>
            <w:pPr>
              <w:widowControl/>
              <w:rPr>
                <w:rFonts w:ascii="宋体" w:hAnsi="宋体"/>
                <w:color w:val="auto"/>
                <w:szCs w:val="21"/>
              </w:rPr>
            </w:pPr>
            <w:r>
              <w:rPr>
                <w:rFonts w:hint="eastAsia" w:ascii="宋体" w:hAnsi="宋体"/>
                <w:color w:val="auto"/>
                <w:szCs w:val="21"/>
              </w:rPr>
              <w:t>是否属于禁止使用的设备。</w:t>
            </w:r>
          </w:p>
        </w:tc>
        <w:tc>
          <w:tcPr>
            <w:tcW w:w="2494" w:type="dxa"/>
            <w:vAlign w:val="center"/>
          </w:tcPr>
          <w:p>
            <w:pPr>
              <w:widowControl/>
              <w:jc w:val="center"/>
              <w:rPr>
                <w:rFonts w:ascii="宋体" w:hAnsi="宋体"/>
                <w:bCs/>
                <w:color w:val="auto"/>
                <w:szCs w:val="21"/>
              </w:rPr>
            </w:pPr>
            <w:r>
              <w:rPr>
                <w:rFonts w:hint="eastAsia" w:ascii="宋体" w:hAnsi="宋体"/>
                <w:bCs/>
                <w:color w:val="auto"/>
                <w:szCs w:val="21"/>
              </w:rPr>
              <w:t>《转发国家安全监管总局关于发布金属非金属矿山禁止使用的设备及工艺目录（第二批）的通知》(粤安监管一〔2015〕7号)</w:t>
            </w:r>
          </w:p>
        </w:tc>
        <w:tc>
          <w:tcPr>
            <w:tcW w:w="850" w:type="dxa"/>
            <w:vAlign w:val="center"/>
          </w:tcPr>
          <w:p>
            <w:pPr>
              <w:widowControl/>
              <w:jc w:val="center"/>
              <w:rPr>
                <w:rFonts w:ascii="宋体" w:hAnsi="宋体"/>
                <w:bCs/>
                <w:color w:val="auto"/>
                <w:szCs w:val="21"/>
              </w:rPr>
            </w:pPr>
            <w:r>
              <w:rPr>
                <w:rFonts w:hint="eastAsia" w:ascii="宋体" w:hAnsi="宋体"/>
                <w:bCs/>
                <w:color w:val="auto"/>
                <w:szCs w:val="21"/>
              </w:rPr>
              <w:t>符合</w:t>
            </w:r>
          </w:p>
        </w:tc>
        <w:tc>
          <w:tcPr>
            <w:tcW w:w="4309" w:type="dxa"/>
            <w:vAlign w:val="center"/>
          </w:tcPr>
          <w:p>
            <w:pPr>
              <w:widowControl/>
              <w:rPr>
                <w:rFonts w:ascii="宋体" w:hAnsi="宋体"/>
                <w:color w:val="auto"/>
                <w:szCs w:val="21"/>
              </w:rPr>
            </w:pPr>
            <w:r>
              <w:rPr>
                <w:rFonts w:hint="eastAsia" w:ascii="宋体" w:hAnsi="宋体"/>
                <w:color w:val="auto"/>
                <w:szCs w:val="21"/>
              </w:rPr>
              <w:t>该矿山使用的挖掘机不属于禁止使用设备。</w:t>
            </w:r>
          </w:p>
        </w:tc>
      </w:tr>
    </w:tbl>
    <w:p>
      <w:pPr>
        <w:widowControl/>
        <w:spacing w:line="500" w:lineRule="exact"/>
        <w:ind w:firstLine="480" w:firstLineChars="200"/>
        <w:rPr>
          <w:rFonts w:ascii="宋体" w:hAnsi="宋体"/>
          <w:color w:val="auto"/>
          <w:sz w:val="24"/>
        </w:rPr>
      </w:pPr>
      <w:r>
        <w:rPr>
          <w:rFonts w:ascii="宋体" w:hAnsi="宋体"/>
          <w:color w:val="auto"/>
          <w:sz w:val="24"/>
        </w:rPr>
        <w:t>评价结果：</w:t>
      </w:r>
      <w:r>
        <w:rPr>
          <w:rFonts w:hint="eastAsia" w:ascii="宋体" w:hAnsi="宋体"/>
          <w:color w:val="auto"/>
          <w:sz w:val="24"/>
        </w:rPr>
        <w:t>《可行性研究报告》中拟设台阶高度为5m，但编制的图纸中，台阶高度为4</w:t>
      </w:r>
      <w:r>
        <w:rPr>
          <w:rFonts w:ascii="宋体" w:hAnsi="宋体"/>
          <w:color w:val="auto"/>
          <w:sz w:val="24"/>
        </w:rPr>
        <w:t>-12</w:t>
      </w:r>
      <w:r>
        <w:rPr>
          <w:rFonts w:hint="eastAsia" w:ascii="宋体" w:hAnsi="宋体"/>
          <w:color w:val="auto"/>
          <w:sz w:val="24"/>
        </w:rPr>
        <w:t>m，建议下步设计确定工作台阶参数。除台阶高度外，可行性研究报告其余选用的采场要素、开采方式符合国家相关法律、法规、标准和规范的要求。</w:t>
      </w:r>
    </w:p>
    <w:p>
      <w:pPr>
        <w:pStyle w:val="5"/>
        <w:keepLines w:val="0"/>
        <w:widowControl/>
        <w:spacing w:before="120" w:after="120" w:line="500" w:lineRule="exact"/>
        <w:rPr>
          <w:rFonts w:ascii="宋体" w:hAnsi="宋体"/>
          <w:color w:val="auto"/>
          <w:kern w:val="28"/>
          <w:sz w:val="28"/>
          <w:szCs w:val="28"/>
        </w:rPr>
      </w:pPr>
      <w:r>
        <w:rPr>
          <w:rFonts w:ascii="宋体" w:hAnsi="宋体"/>
          <w:color w:val="auto"/>
          <w:kern w:val="28"/>
          <w:sz w:val="28"/>
          <w:szCs w:val="28"/>
        </w:rPr>
        <w:t>3.4.2</w:t>
      </w:r>
      <w:r>
        <w:rPr>
          <w:rFonts w:hint="eastAsia" w:ascii="宋体" w:hAnsi="宋体"/>
          <w:color w:val="auto"/>
          <w:kern w:val="28"/>
          <w:sz w:val="28"/>
          <w:szCs w:val="28"/>
        </w:rPr>
        <w:t>剥离与矿岩开采子单元</w:t>
      </w:r>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5 </w:t>
      </w:r>
      <w:r>
        <w:rPr>
          <w:rFonts w:hint="eastAsia" w:ascii="宋体" w:hAnsi="宋体"/>
          <w:b/>
          <w:color w:val="auto"/>
          <w:sz w:val="24"/>
        </w:rPr>
        <w:t>剥离与矿岩开采子单元预先危险性分析表</w:t>
      </w:r>
    </w:p>
    <w:tbl>
      <w:tblPr>
        <w:tblStyle w:val="41"/>
        <w:tblW w:w="14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34"/>
        <w:gridCol w:w="907"/>
        <w:gridCol w:w="4819"/>
        <w:gridCol w:w="1077"/>
        <w:gridCol w:w="868"/>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4" w:type="dxa"/>
            <w:vAlign w:val="center"/>
          </w:tcPr>
          <w:p>
            <w:pPr>
              <w:widowControl/>
              <w:jc w:val="center"/>
              <w:rPr>
                <w:rFonts w:ascii="宋体" w:hAnsi="宋体"/>
                <w:b/>
                <w:color w:val="auto"/>
                <w:szCs w:val="21"/>
              </w:rPr>
            </w:pPr>
            <w:r>
              <w:rPr>
                <w:rFonts w:hint="eastAsia" w:ascii="宋体" w:hAnsi="宋体"/>
                <w:b/>
                <w:color w:val="auto"/>
                <w:szCs w:val="21"/>
              </w:rPr>
              <w:t>序号</w:t>
            </w:r>
          </w:p>
        </w:tc>
        <w:tc>
          <w:tcPr>
            <w:tcW w:w="1134" w:type="dxa"/>
            <w:vAlign w:val="center"/>
          </w:tcPr>
          <w:p>
            <w:pPr>
              <w:widowControl/>
              <w:jc w:val="center"/>
              <w:rPr>
                <w:rFonts w:ascii="宋体" w:hAnsi="宋体"/>
                <w:b/>
                <w:color w:val="auto"/>
                <w:szCs w:val="21"/>
              </w:rPr>
            </w:pPr>
            <w:r>
              <w:rPr>
                <w:rFonts w:hint="eastAsia" w:ascii="宋体" w:hAnsi="宋体"/>
                <w:b/>
                <w:color w:val="auto"/>
                <w:szCs w:val="21"/>
              </w:rPr>
              <w:t>主要危险源位置</w:t>
            </w:r>
          </w:p>
        </w:tc>
        <w:tc>
          <w:tcPr>
            <w:tcW w:w="907" w:type="dxa"/>
            <w:vAlign w:val="center"/>
          </w:tcPr>
          <w:p>
            <w:pPr>
              <w:widowControl/>
              <w:jc w:val="center"/>
              <w:rPr>
                <w:rFonts w:ascii="宋体" w:hAnsi="宋体"/>
                <w:b/>
                <w:color w:val="auto"/>
                <w:szCs w:val="21"/>
              </w:rPr>
            </w:pPr>
            <w:r>
              <w:rPr>
                <w:rFonts w:hint="eastAsia" w:ascii="宋体" w:hAnsi="宋体"/>
                <w:b/>
                <w:color w:val="auto"/>
                <w:szCs w:val="21"/>
              </w:rPr>
              <w:t>潜在事故类型</w:t>
            </w:r>
          </w:p>
        </w:tc>
        <w:tc>
          <w:tcPr>
            <w:tcW w:w="4819" w:type="dxa"/>
            <w:vAlign w:val="center"/>
          </w:tcPr>
          <w:p>
            <w:pPr>
              <w:widowControl/>
              <w:jc w:val="center"/>
              <w:rPr>
                <w:rFonts w:ascii="宋体" w:hAnsi="宋体"/>
                <w:b/>
                <w:color w:val="auto"/>
                <w:szCs w:val="21"/>
              </w:rPr>
            </w:pPr>
            <w:r>
              <w:rPr>
                <w:rFonts w:hint="eastAsia" w:ascii="宋体" w:hAnsi="宋体"/>
                <w:b/>
                <w:color w:val="auto"/>
                <w:szCs w:val="21"/>
              </w:rPr>
              <w:t>触发条件</w:t>
            </w:r>
          </w:p>
        </w:tc>
        <w:tc>
          <w:tcPr>
            <w:tcW w:w="1077" w:type="dxa"/>
            <w:vAlign w:val="center"/>
          </w:tcPr>
          <w:p>
            <w:pPr>
              <w:widowControl/>
              <w:jc w:val="center"/>
              <w:rPr>
                <w:rFonts w:ascii="宋体" w:hAnsi="宋体"/>
                <w:b/>
                <w:color w:val="auto"/>
                <w:szCs w:val="21"/>
              </w:rPr>
            </w:pPr>
            <w:r>
              <w:rPr>
                <w:rFonts w:hint="eastAsia" w:ascii="宋体" w:hAnsi="宋体"/>
                <w:b/>
                <w:color w:val="auto"/>
                <w:szCs w:val="21"/>
              </w:rPr>
              <w:t>可能导致的后果</w:t>
            </w:r>
          </w:p>
        </w:tc>
        <w:tc>
          <w:tcPr>
            <w:tcW w:w="868" w:type="dxa"/>
            <w:vAlign w:val="center"/>
          </w:tcPr>
          <w:p>
            <w:pPr>
              <w:widowControl/>
              <w:jc w:val="center"/>
              <w:rPr>
                <w:rFonts w:ascii="宋体" w:hAnsi="宋体"/>
                <w:b/>
                <w:color w:val="auto"/>
                <w:szCs w:val="21"/>
              </w:rPr>
            </w:pPr>
            <w:r>
              <w:rPr>
                <w:rFonts w:hint="eastAsia" w:ascii="宋体" w:hAnsi="宋体"/>
                <w:b/>
                <w:color w:val="auto"/>
                <w:szCs w:val="21"/>
              </w:rPr>
              <w:t>危险性等级</w:t>
            </w:r>
          </w:p>
        </w:tc>
        <w:tc>
          <w:tcPr>
            <w:tcW w:w="4688" w:type="dxa"/>
            <w:vAlign w:val="center"/>
          </w:tcPr>
          <w:p>
            <w:pPr>
              <w:widowControl/>
              <w:jc w:val="center"/>
              <w:rPr>
                <w:rFonts w:ascii="宋体" w:hAnsi="宋体"/>
                <w:b/>
                <w:color w:val="auto"/>
                <w:szCs w:val="21"/>
              </w:rPr>
            </w:pPr>
            <w:r>
              <w:rPr>
                <w:rFonts w:hint="eastAsia" w:ascii="宋体" w:hAnsi="宋体"/>
                <w:b/>
                <w:color w:val="auto"/>
                <w:szCs w:val="21"/>
              </w:rPr>
              <w:t>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restart"/>
            <w:vAlign w:val="center"/>
          </w:tcPr>
          <w:p>
            <w:pPr>
              <w:widowControl/>
              <w:jc w:val="center"/>
              <w:rPr>
                <w:rFonts w:ascii="宋体" w:hAnsi="宋体"/>
                <w:color w:val="auto"/>
                <w:szCs w:val="21"/>
              </w:rPr>
            </w:pPr>
            <w:r>
              <w:rPr>
                <w:rFonts w:hint="eastAsia" w:ascii="宋体" w:hAnsi="宋体"/>
                <w:color w:val="auto"/>
                <w:szCs w:val="21"/>
              </w:rPr>
              <w:t>1</w:t>
            </w:r>
          </w:p>
        </w:tc>
        <w:tc>
          <w:tcPr>
            <w:tcW w:w="1134" w:type="dxa"/>
            <w:vMerge w:val="restart"/>
            <w:vAlign w:val="center"/>
          </w:tcPr>
          <w:p>
            <w:pPr>
              <w:widowControl/>
              <w:jc w:val="center"/>
              <w:rPr>
                <w:rFonts w:ascii="宋体" w:hAnsi="宋体"/>
                <w:color w:val="auto"/>
                <w:szCs w:val="21"/>
              </w:rPr>
            </w:pPr>
            <w:r>
              <w:rPr>
                <w:rFonts w:hint="eastAsia" w:ascii="宋体" w:hAnsi="宋体"/>
                <w:color w:val="auto"/>
                <w:szCs w:val="21"/>
              </w:rPr>
              <w:t>采场边坡</w:t>
            </w:r>
          </w:p>
        </w:tc>
        <w:tc>
          <w:tcPr>
            <w:tcW w:w="907" w:type="dxa"/>
            <w:vAlign w:val="center"/>
          </w:tcPr>
          <w:p>
            <w:pPr>
              <w:widowControl/>
              <w:jc w:val="center"/>
              <w:rPr>
                <w:rFonts w:ascii="宋体" w:hAnsi="宋体"/>
                <w:color w:val="auto"/>
                <w:szCs w:val="21"/>
              </w:rPr>
            </w:pPr>
            <w:r>
              <w:rPr>
                <w:rFonts w:hint="eastAsia" w:ascii="宋体" w:hAnsi="宋体"/>
                <w:color w:val="auto"/>
                <w:szCs w:val="21"/>
              </w:rPr>
              <w:t>坍塌</w:t>
            </w:r>
          </w:p>
          <w:p>
            <w:pPr>
              <w:widowControl/>
              <w:jc w:val="center"/>
              <w:rPr>
                <w:rFonts w:ascii="宋体" w:hAnsi="宋体"/>
                <w:color w:val="auto"/>
                <w:szCs w:val="21"/>
              </w:rPr>
            </w:pPr>
            <w:r>
              <w:rPr>
                <w:rFonts w:hint="eastAsia" w:ascii="宋体" w:hAnsi="宋体"/>
                <w:color w:val="auto"/>
                <w:szCs w:val="21"/>
              </w:rPr>
              <w:t>滑坡</w:t>
            </w:r>
          </w:p>
        </w:tc>
        <w:tc>
          <w:tcPr>
            <w:tcW w:w="4819" w:type="dxa"/>
            <w:vAlign w:val="center"/>
          </w:tcPr>
          <w:p>
            <w:pPr>
              <w:widowControl/>
              <w:rPr>
                <w:rFonts w:ascii="宋体" w:hAnsi="宋体"/>
                <w:color w:val="auto"/>
                <w:szCs w:val="21"/>
              </w:rPr>
            </w:pPr>
            <w:r>
              <w:rPr>
                <w:rFonts w:hint="eastAsia" w:ascii="宋体" w:hAnsi="宋体"/>
                <w:color w:val="auto"/>
                <w:szCs w:val="21"/>
              </w:rPr>
              <w:t>（1）台阶施工时没有按设计的要素进行施工或设计参数不合理，导致开采平台过高、坡面角过陡。</w:t>
            </w:r>
          </w:p>
          <w:p>
            <w:pPr>
              <w:widowControl/>
              <w:rPr>
                <w:rFonts w:ascii="宋体" w:hAnsi="宋体"/>
                <w:color w:val="auto"/>
                <w:szCs w:val="21"/>
              </w:rPr>
            </w:pPr>
            <w:r>
              <w:rPr>
                <w:rFonts w:hint="eastAsia" w:ascii="宋体" w:hAnsi="宋体"/>
                <w:color w:val="auto"/>
                <w:szCs w:val="21"/>
              </w:rPr>
              <w:t>（2）采场及各分层平台未设置防排水设施或防排水设施排水能力不能满足排水要求。</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）不按设计的开采顺序开采，违章掏采、滥采乱挖。</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）作业设备，与台阶坡顶线安全距离不够。</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）未根据岩体的地质构造情况及时对不稳固的边坡采取加固措施。</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）矿区内边坡软弱面未及时处理、终了边坡台阶不连续、边坡监控与管理措施不完善、雨水冲刷边坡。</w:t>
            </w:r>
          </w:p>
        </w:tc>
        <w:tc>
          <w:tcPr>
            <w:tcW w:w="1077" w:type="dxa"/>
            <w:vAlign w:val="center"/>
          </w:tcPr>
          <w:p>
            <w:pPr>
              <w:widowControl/>
              <w:jc w:val="center"/>
              <w:rPr>
                <w:rFonts w:ascii="宋体" w:hAnsi="宋体"/>
                <w:color w:val="auto"/>
                <w:szCs w:val="21"/>
              </w:rPr>
            </w:pPr>
            <w:r>
              <w:rPr>
                <w:rFonts w:hint="eastAsia" w:ascii="宋体" w:hAnsi="宋体"/>
                <w:color w:val="auto"/>
                <w:szCs w:val="21"/>
              </w:rPr>
              <w:t>人员重大伤亡、设备严重损坏</w:t>
            </w:r>
          </w:p>
        </w:tc>
        <w:tc>
          <w:tcPr>
            <w:tcW w:w="868" w:type="dxa"/>
            <w:vAlign w:val="center"/>
          </w:tcPr>
          <w:p>
            <w:pPr>
              <w:widowControl/>
              <w:jc w:val="center"/>
              <w:rPr>
                <w:rFonts w:ascii="宋体" w:hAnsi="宋体"/>
                <w:color w:val="auto"/>
                <w:szCs w:val="21"/>
              </w:rPr>
            </w:pPr>
            <w:r>
              <w:rPr>
                <w:rFonts w:hint="eastAsia" w:ascii="宋体" w:hAnsi="宋体"/>
                <w:color w:val="auto"/>
                <w:szCs w:val="21"/>
              </w:rPr>
              <w:t>Ⅳ</w:t>
            </w:r>
          </w:p>
        </w:tc>
        <w:tc>
          <w:tcPr>
            <w:tcW w:w="4688" w:type="dxa"/>
          </w:tcPr>
          <w:p>
            <w:pPr>
              <w:widowControl/>
              <w:rPr>
                <w:rFonts w:ascii="宋体" w:hAnsi="宋体"/>
                <w:color w:val="auto"/>
                <w:szCs w:val="21"/>
              </w:rPr>
            </w:pPr>
            <w:r>
              <w:rPr>
                <w:rFonts w:hint="eastAsia" w:ascii="宋体" w:hAnsi="宋体"/>
                <w:color w:val="auto"/>
                <w:szCs w:val="21"/>
              </w:rPr>
              <w:t>（1）设计时，选择合理的台阶参数，台阶作业时按设计的要素进行施工。</w:t>
            </w:r>
          </w:p>
          <w:p>
            <w:pPr>
              <w:widowControl/>
              <w:rPr>
                <w:rFonts w:ascii="宋体" w:hAnsi="宋体"/>
                <w:color w:val="auto"/>
                <w:szCs w:val="21"/>
              </w:rPr>
            </w:pPr>
            <w:r>
              <w:rPr>
                <w:rFonts w:hint="eastAsia" w:ascii="宋体" w:hAnsi="宋体"/>
                <w:color w:val="auto"/>
                <w:szCs w:val="21"/>
              </w:rPr>
              <w:t>（2）采场应设置截水沟，各分层台阶设排水沟，截排水沟的排水能力应能满足暴雨季节的排水要求。</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）严格按照设计的开采顺序开采，严禁掏采、滥采乱挖。加强边坡的监督、检查、管理和维护。</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）作业设备应与台阶坡顶线保持安全距离，并设置安全警示标志。</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在开采过程中遇到</w:t>
            </w:r>
            <w:r>
              <w:rPr>
                <w:rFonts w:hint="eastAsia" w:ascii="宋体" w:hAnsi="宋体"/>
                <w:color w:val="auto"/>
                <w:szCs w:val="21"/>
              </w:rPr>
              <w:t>节理、裂隙发育</w:t>
            </w:r>
            <w:r>
              <w:rPr>
                <w:rFonts w:ascii="宋体" w:hAnsi="宋体"/>
                <w:color w:val="auto"/>
                <w:szCs w:val="21"/>
              </w:rPr>
              <w:t>的地段</w:t>
            </w:r>
            <w:r>
              <w:rPr>
                <w:rFonts w:hint="eastAsia" w:ascii="宋体" w:hAnsi="宋体"/>
                <w:color w:val="auto"/>
                <w:szCs w:val="21"/>
              </w:rPr>
              <w:t>，应及时调整台阶参数。必要时采取加固措施。</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）加强矿区内边坡的治理、监测监控与管理措施。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widowControl/>
              <w:jc w:val="center"/>
              <w:rPr>
                <w:rFonts w:ascii="宋体" w:hAnsi="宋体"/>
                <w:color w:val="auto"/>
                <w:szCs w:val="21"/>
              </w:rPr>
            </w:pPr>
          </w:p>
        </w:tc>
        <w:tc>
          <w:tcPr>
            <w:tcW w:w="1134" w:type="dxa"/>
            <w:vMerge w:val="continue"/>
            <w:vAlign w:val="center"/>
          </w:tcPr>
          <w:p>
            <w:pPr>
              <w:widowControl/>
              <w:jc w:val="center"/>
              <w:rPr>
                <w:rFonts w:ascii="宋体" w:hAnsi="宋体"/>
                <w:color w:val="auto"/>
                <w:szCs w:val="21"/>
              </w:rPr>
            </w:pPr>
          </w:p>
        </w:tc>
        <w:tc>
          <w:tcPr>
            <w:tcW w:w="907" w:type="dxa"/>
            <w:vAlign w:val="center"/>
          </w:tcPr>
          <w:p>
            <w:pPr>
              <w:widowControl/>
              <w:jc w:val="center"/>
              <w:rPr>
                <w:rFonts w:ascii="宋体" w:hAnsi="宋体"/>
                <w:color w:val="auto"/>
                <w:szCs w:val="21"/>
              </w:rPr>
            </w:pPr>
            <w:r>
              <w:rPr>
                <w:rFonts w:hint="eastAsia" w:ascii="宋体" w:hAnsi="宋体"/>
                <w:color w:val="auto"/>
                <w:szCs w:val="21"/>
              </w:rPr>
              <w:t>高处</w:t>
            </w:r>
          </w:p>
          <w:p>
            <w:pPr>
              <w:widowControl/>
              <w:jc w:val="center"/>
              <w:rPr>
                <w:rFonts w:ascii="宋体" w:hAnsi="宋体"/>
                <w:color w:val="auto"/>
                <w:szCs w:val="21"/>
              </w:rPr>
            </w:pPr>
            <w:r>
              <w:rPr>
                <w:rFonts w:hint="eastAsia" w:ascii="宋体" w:hAnsi="宋体"/>
                <w:color w:val="auto"/>
                <w:szCs w:val="21"/>
              </w:rPr>
              <w:t>坠落</w:t>
            </w:r>
          </w:p>
        </w:tc>
        <w:tc>
          <w:tcPr>
            <w:tcW w:w="4819" w:type="dxa"/>
            <w:vAlign w:val="center"/>
          </w:tcPr>
          <w:p>
            <w:pPr>
              <w:widowControl/>
              <w:autoSpaceDE w:val="0"/>
              <w:autoSpaceDN w:val="0"/>
              <w:adjustRightInd w:val="0"/>
              <w:rPr>
                <w:rFonts w:ascii="宋体" w:hAnsi="宋体"/>
                <w:color w:val="auto"/>
                <w:szCs w:val="21"/>
              </w:rPr>
            </w:pPr>
            <w:r>
              <w:rPr>
                <w:rFonts w:hint="eastAsia" w:ascii="宋体" w:hAnsi="宋体"/>
                <w:color w:val="auto"/>
                <w:szCs w:val="21"/>
              </w:rPr>
              <w:t>（1）人员、设备过于靠近工作平台边缘；</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）台阶边缘无警示标志、防护栏；</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）设备器具在不稳固的平台上或距边坡外缘过近作业。</w:t>
            </w:r>
          </w:p>
        </w:tc>
        <w:tc>
          <w:tcPr>
            <w:tcW w:w="1077" w:type="dxa"/>
            <w:vAlign w:val="center"/>
          </w:tcPr>
          <w:p>
            <w:pPr>
              <w:widowControl/>
              <w:jc w:val="center"/>
              <w:rPr>
                <w:rFonts w:ascii="宋体" w:hAnsi="宋体"/>
                <w:color w:val="auto"/>
                <w:szCs w:val="21"/>
              </w:rPr>
            </w:pPr>
            <w:r>
              <w:rPr>
                <w:rFonts w:hint="eastAsia" w:ascii="宋体" w:hAnsi="宋体"/>
                <w:color w:val="auto"/>
                <w:szCs w:val="21"/>
              </w:rPr>
              <w:t>设备损环人员伤亡</w:t>
            </w:r>
          </w:p>
        </w:tc>
        <w:tc>
          <w:tcPr>
            <w:tcW w:w="868" w:type="dxa"/>
            <w:vAlign w:val="center"/>
          </w:tcPr>
          <w:p>
            <w:pPr>
              <w:widowControl/>
              <w:jc w:val="center"/>
              <w:rPr>
                <w:rFonts w:ascii="宋体" w:hAnsi="宋体"/>
                <w:color w:val="auto"/>
                <w:szCs w:val="21"/>
              </w:rPr>
            </w:pPr>
            <w:r>
              <w:rPr>
                <w:rFonts w:hint="eastAsia" w:ascii="宋体" w:hAnsi="宋体"/>
                <w:color w:val="auto"/>
                <w:szCs w:val="21"/>
              </w:rPr>
              <w:t>Ⅲ</w:t>
            </w:r>
          </w:p>
        </w:tc>
        <w:tc>
          <w:tcPr>
            <w:tcW w:w="4688" w:type="dxa"/>
            <w:vAlign w:val="center"/>
          </w:tcPr>
          <w:p>
            <w:pPr>
              <w:widowControl/>
              <w:autoSpaceDE w:val="0"/>
              <w:autoSpaceDN w:val="0"/>
              <w:adjustRightInd w:val="0"/>
              <w:rPr>
                <w:rFonts w:ascii="宋体" w:hAnsi="宋体"/>
                <w:color w:val="auto"/>
                <w:szCs w:val="21"/>
              </w:rPr>
            </w:pPr>
            <w:r>
              <w:rPr>
                <w:rFonts w:hint="eastAsia" w:ascii="宋体" w:hAnsi="宋体"/>
                <w:color w:val="auto"/>
                <w:szCs w:val="21"/>
              </w:rPr>
              <w:t>（1）作业时应距台阶边缘、临空面保持1m以上安全距离；</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）在明显位置设警示标志及防护栏；</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）临近矿区内台阶外缘作业时，应划定危险区域，设立警示标志，并加强检查。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widowControl/>
              <w:jc w:val="center"/>
              <w:rPr>
                <w:rFonts w:ascii="宋体" w:hAnsi="宋体"/>
                <w:color w:val="auto"/>
                <w:szCs w:val="21"/>
              </w:rPr>
            </w:pPr>
          </w:p>
        </w:tc>
        <w:tc>
          <w:tcPr>
            <w:tcW w:w="1134" w:type="dxa"/>
            <w:vMerge w:val="continue"/>
            <w:vAlign w:val="center"/>
          </w:tcPr>
          <w:p>
            <w:pPr>
              <w:widowControl/>
              <w:jc w:val="center"/>
              <w:rPr>
                <w:rFonts w:ascii="宋体" w:hAnsi="宋体"/>
                <w:color w:val="auto"/>
                <w:szCs w:val="21"/>
              </w:rPr>
            </w:pPr>
          </w:p>
        </w:tc>
        <w:tc>
          <w:tcPr>
            <w:tcW w:w="907" w:type="dxa"/>
            <w:vAlign w:val="center"/>
          </w:tcPr>
          <w:p>
            <w:pPr>
              <w:widowControl/>
              <w:jc w:val="center"/>
              <w:rPr>
                <w:rFonts w:ascii="宋体" w:hAnsi="宋体"/>
                <w:color w:val="auto"/>
                <w:szCs w:val="21"/>
              </w:rPr>
            </w:pPr>
            <w:r>
              <w:rPr>
                <w:rFonts w:hint="eastAsia" w:ascii="宋体" w:hAnsi="宋体"/>
                <w:color w:val="auto"/>
                <w:szCs w:val="21"/>
              </w:rPr>
              <w:t>物体</w:t>
            </w:r>
          </w:p>
          <w:p>
            <w:pPr>
              <w:widowControl/>
              <w:jc w:val="center"/>
              <w:rPr>
                <w:rFonts w:ascii="宋体" w:hAnsi="宋体"/>
                <w:color w:val="auto"/>
                <w:szCs w:val="21"/>
              </w:rPr>
            </w:pPr>
            <w:r>
              <w:rPr>
                <w:rFonts w:hint="eastAsia" w:ascii="宋体" w:hAnsi="宋体"/>
                <w:color w:val="auto"/>
                <w:szCs w:val="21"/>
              </w:rPr>
              <w:t>打击</w:t>
            </w:r>
          </w:p>
        </w:tc>
        <w:tc>
          <w:tcPr>
            <w:tcW w:w="4819" w:type="dxa"/>
            <w:vAlign w:val="center"/>
          </w:tcPr>
          <w:p>
            <w:pPr>
              <w:widowControl/>
              <w:autoSpaceDE w:val="0"/>
              <w:autoSpaceDN w:val="0"/>
              <w:adjustRightInd w:val="0"/>
              <w:rPr>
                <w:rFonts w:ascii="宋体" w:hAnsi="宋体"/>
                <w:color w:val="auto"/>
                <w:szCs w:val="21"/>
              </w:rPr>
            </w:pPr>
            <w:r>
              <w:rPr>
                <w:rFonts w:hint="eastAsia" w:ascii="宋体" w:hAnsi="宋体"/>
                <w:color w:val="auto"/>
                <w:szCs w:val="21"/>
              </w:rPr>
              <w:t>（1）伞檐、危石、浮石清理不及时；</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）掏采矿石；</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）上下层同时立体交叉作业；</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）临近台阶边缘防护措施不当。</w:t>
            </w:r>
          </w:p>
        </w:tc>
        <w:tc>
          <w:tcPr>
            <w:tcW w:w="1077" w:type="dxa"/>
            <w:vAlign w:val="center"/>
          </w:tcPr>
          <w:p>
            <w:pPr>
              <w:widowControl/>
              <w:jc w:val="center"/>
              <w:rPr>
                <w:rFonts w:ascii="宋体" w:hAnsi="宋体"/>
                <w:color w:val="auto"/>
                <w:szCs w:val="21"/>
              </w:rPr>
            </w:pPr>
            <w:r>
              <w:rPr>
                <w:rFonts w:hint="eastAsia" w:ascii="宋体" w:hAnsi="宋体"/>
                <w:color w:val="auto"/>
                <w:szCs w:val="21"/>
              </w:rPr>
              <w:t>设备损环人员伤亡</w:t>
            </w:r>
          </w:p>
        </w:tc>
        <w:tc>
          <w:tcPr>
            <w:tcW w:w="868" w:type="dxa"/>
            <w:vAlign w:val="center"/>
          </w:tcPr>
          <w:p>
            <w:pPr>
              <w:widowControl/>
              <w:jc w:val="center"/>
              <w:rPr>
                <w:rFonts w:ascii="宋体" w:hAnsi="宋体"/>
                <w:color w:val="auto"/>
                <w:szCs w:val="21"/>
              </w:rPr>
            </w:pPr>
            <w:r>
              <w:rPr>
                <w:rFonts w:hint="eastAsia" w:ascii="宋体" w:hAnsi="宋体"/>
                <w:color w:val="auto"/>
                <w:szCs w:val="21"/>
              </w:rPr>
              <w:t>Ⅲ</w:t>
            </w:r>
          </w:p>
        </w:tc>
        <w:tc>
          <w:tcPr>
            <w:tcW w:w="4688" w:type="dxa"/>
            <w:vAlign w:val="center"/>
          </w:tcPr>
          <w:p>
            <w:pPr>
              <w:widowControl/>
              <w:autoSpaceDE w:val="0"/>
              <w:autoSpaceDN w:val="0"/>
              <w:adjustRightInd w:val="0"/>
              <w:rPr>
                <w:rFonts w:ascii="宋体" w:hAnsi="宋体"/>
                <w:color w:val="auto"/>
                <w:szCs w:val="21"/>
              </w:rPr>
            </w:pPr>
            <w:r>
              <w:rPr>
                <w:rFonts w:hint="eastAsia" w:ascii="宋体" w:hAnsi="宋体"/>
                <w:color w:val="auto"/>
                <w:szCs w:val="21"/>
              </w:rPr>
              <w:t>（1）装载矿石前，利用挖掘机处理好边坡上的伞檐、松石和浮石；</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）严禁掏采；</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）规范作业，严禁上下层台阶垂直交叉作业，</w:t>
            </w:r>
            <w:r>
              <w:rPr>
                <w:rFonts w:ascii="宋体" w:hAnsi="宋体"/>
                <w:color w:val="auto"/>
                <w:szCs w:val="21"/>
              </w:rPr>
              <w:t>若需立体</w:t>
            </w:r>
            <w:r>
              <w:rPr>
                <w:rFonts w:hint="eastAsia" w:ascii="宋体" w:hAnsi="宋体"/>
                <w:color w:val="auto"/>
                <w:szCs w:val="21"/>
              </w:rPr>
              <w:t>作业</w:t>
            </w:r>
            <w:r>
              <w:rPr>
                <w:rFonts w:ascii="宋体" w:hAnsi="宋体"/>
                <w:color w:val="auto"/>
                <w:szCs w:val="21"/>
              </w:rPr>
              <w:t>，两设备相距必须＞</w:t>
            </w:r>
            <w:r>
              <w:rPr>
                <w:rFonts w:hint="eastAsia" w:ascii="宋体" w:hAnsi="宋体"/>
                <w:color w:val="auto"/>
                <w:szCs w:val="21"/>
              </w:rPr>
              <w:t>50</w:t>
            </w:r>
            <w:r>
              <w:rPr>
                <w:rFonts w:ascii="宋体" w:hAnsi="宋体"/>
                <w:color w:val="auto"/>
                <w:szCs w:val="21"/>
              </w:rPr>
              <w:t>m</w:t>
            </w:r>
            <w:r>
              <w:rPr>
                <w:rFonts w:hint="eastAsia" w:ascii="宋体" w:hAnsi="宋体"/>
                <w:color w:val="auto"/>
                <w:szCs w:val="21"/>
              </w:rPr>
              <w:t>；加强现场管理，清扫及处理边坡时其下方严禁有人员；</w:t>
            </w:r>
          </w:p>
          <w:p>
            <w:pPr>
              <w:widowControl/>
              <w:autoSpaceDE w:val="0"/>
              <w:autoSpaceDN w:val="0"/>
              <w:adjustRightInd w:val="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）临近台阶外缘作业时，应划定危险区域，设立警示标志。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tabs>
                <w:tab w:val="left" w:pos="1260"/>
                <w:tab w:val="left" w:leader="middleDot" w:pos="7560"/>
              </w:tabs>
              <w:jc w:val="center"/>
              <w:rPr>
                <w:rFonts w:ascii="宋体" w:hAnsi="宋体"/>
                <w:color w:val="auto"/>
                <w:szCs w:val="21"/>
              </w:rPr>
            </w:pPr>
            <w:r>
              <w:rPr>
                <w:rFonts w:ascii="宋体" w:hAnsi="宋体"/>
                <w:color w:val="auto"/>
                <w:szCs w:val="21"/>
              </w:rPr>
              <w:t>2</w:t>
            </w:r>
          </w:p>
        </w:tc>
        <w:tc>
          <w:tcPr>
            <w:tcW w:w="1134" w:type="dxa"/>
            <w:vAlign w:val="center"/>
          </w:tcPr>
          <w:p>
            <w:pPr>
              <w:widowControl/>
              <w:tabs>
                <w:tab w:val="left" w:pos="1260"/>
                <w:tab w:val="left" w:leader="middleDot" w:pos="7560"/>
              </w:tabs>
              <w:jc w:val="center"/>
              <w:rPr>
                <w:rFonts w:ascii="宋体" w:hAnsi="宋体"/>
                <w:color w:val="auto"/>
                <w:szCs w:val="21"/>
              </w:rPr>
            </w:pPr>
            <w:r>
              <w:rPr>
                <w:rFonts w:hint="eastAsia" w:ascii="宋体" w:hAnsi="宋体"/>
                <w:color w:val="auto"/>
                <w:szCs w:val="21"/>
              </w:rPr>
              <w:t>采场、运输道路</w:t>
            </w:r>
          </w:p>
        </w:tc>
        <w:tc>
          <w:tcPr>
            <w:tcW w:w="907" w:type="dxa"/>
            <w:vAlign w:val="center"/>
          </w:tcPr>
          <w:p>
            <w:pPr>
              <w:widowControl/>
              <w:tabs>
                <w:tab w:val="left" w:pos="1260"/>
                <w:tab w:val="left" w:leader="middleDot" w:pos="7560"/>
              </w:tabs>
              <w:jc w:val="center"/>
              <w:rPr>
                <w:rFonts w:ascii="宋体" w:hAnsi="宋体"/>
                <w:color w:val="auto"/>
                <w:szCs w:val="21"/>
              </w:rPr>
            </w:pPr>
            <w:r>
              <w:rPr>
                <w:rFonts w:ascii="宋体" w:hAnsi="宋体"/>
                <w:color w:val="auto"/>
                <w:szCs w:val="21"/>
              </w:rPr>
              <w:t>车辆</w:t>
            </w:r>
          </w:p>
          <w:p>
            <w:pPr>
              <w:widowControl/>
              <w:tabs>
                <w:tab w:val="left" w:pos="1260"/>
                <w:tab w:val="left" w:leader="middleDot" w:pos="7560"/>
              </w:tabs>
              <w:jc w:val="center"/>
              <w:rPr>
                <w:rFonts w:ascii="宋体" w:hAnsi="宋体"/>
                <w:color w:val="auto"/>
                <w:szCs w:val="21"/>
              </w:rPr>
            </w:pPr>
            <w:r>
              <w:rPr>
                <w:rFonts w:ascii="宋体" w:hAnsi="宋体"/>
                <w:color w:val="auto"/>
                <w:szCs w:val="21"/>
              </w:rPr>
              <w:t>伤害</w:t>
            </w:r>
          </w:p>
        </w:tc>
        <w:tc>
          <w:tcPr>
            <w:tcW w:w="4819" w:type="dxa"/>
            <w:vAlign w:val="center"/>
          </w:tcPr>
          <w:p>
            <w:pPr>
              <w:widowControl/>
              <w:tabs>
                <w:tab w:val="left" w:pos="1260"/>
                <w:tab w:val="left" w:leader="middleDot" w:pos="7560"/>
              </w:tabs>
              <w:jc w:val="left"/>
              <w:rPr>
                <w:rFonts w:ascii="宋体" w:hAnsi="宋体"/>
                <w:color w:val="auto"/>
                <w:szCs w:val="21"/>
              </w:rPr>
            </w:pPr>
            <w:r>
              <w:rPr>
                <w:rFonts w:hint="eastAsia" w:ascii="宋体" w:hAnsi="宋体"/>
                <w:color w:val="auto"/>
                <w:szCs w:val="21"/>
              </w:rPr>
              <w:t>1）</w:t>
            </w:r>
            <w:r>
              <w:rPr>
                <w:rFonts w:ascii="宋体" w:hAnsi="宋体"/>
                <w:color w:val="auto"/>
                <w:szCs w:val="21"/>
              </w:rPr>
              <w:t>操作人员误操作，现场无专人指挥</w:t>
            </w:r>
            <w:r>
              <w:rPr>
                <w:rFonts w:hint="eastAsia" w:ascii="宋体" w:hAnsi="宋体"/>
                <w:color w:val="auto"/>
                <w:szCs w:val="21"/>
              </w:rPr>
              <w:t>。</w:t>
            </w:r>
          </w:p>
          <w:p>
            <w:pPr>
              <w:widowControl/>
              <w:tabs>
                <w:tab w:val="left" w:pos="1260"/>
                <w:tab w:val="left" w:leader="middleDot" w:pos="7560"/>
              </w:tabs>
              <w:jc w:val="left"/>
              <w:rPr>
                <w:rFonts w:ascii="宋体" w:hAnsi="宋体"/>
                <w:color w:val="auto"/>
                <w:szCs w:val="21"/>
              </w:rPr>
            </w:pPr>
            <w:r>
              <w:rPr>
                <w:rFonts w:hint="eastAsia" w:ascii="宋体" w:hAnsi="宋体"/>
                <w:color w:val="auto"/>
                <w:szCs w:val="21"/>
              </w:rPr>
              <w:t>2）</w:t>
            </w:r>
            <w:r>
              <w:rPr>
                <w:rFonts w:ascii="宋体" w:hAnsi="宋体"/>
                <w:color w:val="auto"/>
                <w:szCs w:val="21"/>
              </w:rPr>
              <w:t>车辆及场内工作人员在挖掘机旋转半径范围内行走</w:t>
            </w:r>
            <w:r>
              <w:rPr>
                <w:rFonts w:hint="eastAsia" w:ascii="宋体" w:hAnsi="宋体"/>
                <w:color w:val="auto"/>
                <w:szCs w:val="21"/>
              </w:rPr>
              <w:t>。</w:t>
            </w:r>
          </w:p>
          <w:p>
            <w:pPr>
              <w:widowControl/>
              <w:tabs>
                <w:tab w:val="left" w:pos="1260"/>
                <w:tab w:val="left" w:leader="middleDot" w:pos="7560"/>
              </w:tabs>
              <w:jc w:val="left"/>
              <w:rPr>
                <w:rFonts w:ascii="宋体" w:hAnsi="宋体"/>
                <w:color w:val="auto"/>
                <w:szCs w:val="21"/>
              </w:rPr>
            </w:pPr>
            <w:r>
              <w:rPr>
                <w:rFonts w:hint="eastAsia" w:ascii="宋体" w:hAnsi="宋体"/>
                <w:color w:val="auto"/>
                <w:szCs w:val="21"/>
              </w:rPr>
              <w:t>3）</w:t>
            </w:r>
            <w:r>
              <w:rPr>
                <w:rFonts w:ascii="宋体" w:hAnsi="宋体"/>
                <w:color w:val="auto"/>
                <w:szCs w:val="21"/>
              </w:rPr>
              <w:t>危险地段</w:t>
            </w:r>
            <w:r>
              <w:rPr>
                <w:rFonts w:hint="eastAsia" w:ascii="宋体" w:hAnsi="宋体"/>
                <w:color w:val="auto"/>
                <w:szCs w:val="21"/>
              </w:rPr>
              <w:t>无</w:t>
            </w:r>
            <w:r>
              <w:rPr>
                <w:rFonts w:ascii="宋体" w:hAnsi="宋体"/>
                <w:color w:val="auto"/>
                <w:szCs w:val="21"/>
              </w:rPr>
              <w:t>安全标志，路肩无安全垛，车况不好</w:t>
            </w:r>
            <w:r>
              <w:rPr>
                <w:rFonts w:hint="eastAsia" w:ascii="宋体" w:hAnsi="宋体"/>
                <w:color w:val="auto"/>
                <w:szCs w:val="21"/>
              </w:rPr>
              <w:t>，车辆带病上路，</w:t>
            </w:r>
            <w:r>
              <w:rPr>
                <w:rFonts w:ascii="宋体" w:hAnsi="宋体"/>
                <w:color w:val="auto"/>
                <w:szCs w:val="21"/>
              </w:rPr>
              <w:t>车速过快</w:t>
            </w:r>
            <w:r>
              <w:rPr>
                <w:rFonts w:hint="eastAsia" w:ascii="宋体" w:hAnsi="宋体"/>
                <w:color w:val="auto"/>
                <w:szCs w:val="21"/>
              </w:rPr>
              <w:t>。</w:t>
            </w:r>
          </w:p>
          <w:p>
            <w:pPr>
              <w:widowControl/>
              <w:tabs>
                <w:tab w:val="left" w:pos="1260"/>
                <w:tab w:val="left" w:leader="middleDot" w:pos="7560"/>
              </w:tabs>
              <w:jc w:val="left"/>
              <w:rPr>
                <w:rFonts w:ascii="宋体" w:hAnsi="宋体"/>
                <w:color w:val="auto"/>
                <w:szCs w:val="21"/>
              </w:rPr>
            </w:pPr>
            <w:r>
              <w:rPr>
                <w:rFonts w:hint="eastAsia" w:ascii="宋体" w:hAnsi="宋体"/>
                <w:color w:val="auto"/>
                <w:szCs w:val="21"/>
              </w:rPr>
              <w:t>4）</w:t>
            </w:r>
            <w:r>
              <w:rPr>
                <w:rFonts w:ascii="宋体" w:hAnsi="宋体"/>
                <w:color w:val="auto"/>
                <w:szCs w:val="21"/>
              </w:rPr>
              <w:t>驾驶员无证上岗、违章操作、酒后</w:t>
            </w:r>
            <w:r>
              <w:rPr>
                <w:rFonts w:hint="eastAsia" w:ascii="宋体" w:hAnsi="宋体"/>
                <w:color w:val="auto"/>
                <w:szCs w:val="21"/>
              </w:rPr>
              <w:t>或带病</w:t>
            </w:r>
            <w:r>
              <w:rPr>
                <w:rFonts w:ascii="宋体" w:hAnsi="宋体"/>
                <w:color w:val="auto"/>
                <w:szCs w:val="21"/>
              </w:rPr>
              <w:t>上班</w:t>
            </w:r>
            <w:r>
              <w:rPr>
                <w:rFonts w:hint="eastAsia" w:ascii="宋体" w:hAnsi="宋体"/>
                <w:color w:val="auto"/>
                <w:szCs w:val="21"/>
              </w:rPr>
              <w:t>。</w:t>
            </w:r>
          </w:p>
          <w:p>
            <w:pPr>
              <w:widowControl/>
              <w:tabs>
                <w:tab w:val="left" w:pos="1260"/>
                <w:tab w:val="left" w:leader="middleDot" w:pos="7560"/>
              </w:tabs>
              <w:jc w:val="left"/>
              <w:rPr>
                <w:rFonts w:ascii="宋体" w:hAnsi="宋体"/>
                <w:color w:val="auto"/>
                <w:szCs w:val="21"/>
              </w:rPr>
            </w:pPr>
            <w:r>
              <w:rPr>
                <w:rFonts w:ascii="宋体" w:hAnsi="宋体"/>
                <w:color w:val="auto"/>
                <w:szCs w:val="21"/>
              </w:rPr>
              <w:t>5</w:t>
            </w:r>
            <w:r>
              <w:rPr>
                <w:rFonts w:hint="eastAsia" w:ascii="宋体" w:hAnsi="宋体"/>
                <w:color w:val="auto"/>
                <w:szCs w:val="21"/>
              </w:rPr>
              <w:t>）</w:t>
            </w:r>
            <w:r>
              <w:rPr>
                <w:rFonts w:ascii="宋体" w:hAnsi="宋体"/>
                <w:color w:val="auto"/>
                <w:szCs w:val="21"/>
              </w:rPr>
              <w:t>在坡陡、弯急、路基松软道路未采取必要的防滑、防沉陷加固等措施。</w:t>
            </w:r>
          </w:p>
        </w:tc>
        <w:tc>
          <w:tcPr>
            <w:tcW w:w="1077" w:type="dxa"/>
            <w:vAlign w:val="center"/>
          </w:tcPr>
          <w:p>
            <w:pPr>
              <w:widowControl/>
              <w:tabs>
                <w:tab w:val="left" w:pos="1260"/>
                <w:tab w:val="left" w:leader="middleDot" w:pos="7560"/>
              </w:tabs>
              <w:jc w:val="center"/>
              <w:rPr>
                <w:rFonts w:ascii="宋体" w:hAnsi="宋体"/>
                <w:color w:val="auto"/>
                <w:szCs w:val="21"/>
              </w:rPr>
            </w:pPr>
            <w:r>
              <w:rPr>
                <w:rFonts w:hint="eastAsia" w:ascii="宋体" w:hAnsi="宋体"/>
                <w:color w:val="auto"/>
                <w:szCs w:val="21"/>
              </w:rPr>
              <w:t>车辆损毁</w:t>
            </w:r>
          </w:p>
        </w:tc>
        <w:tc>
          <w:tcPr>
            <w:tcW w:w="868" w:type="dxa"/>
            <w:vAlign w:val="center"/>
          </w:tcPr>
          <w:p>
            <w:pPr>
              <w:widowControl/>
              <w:tabs>
                <w:tab w:val="left" w:pos="1260"/>
                <w:tab w:val="left" w:leader="middleDot" w:pos="7560"/>
              </w:tabs>
              <w:jc w:val="center"/>
              <w:rPr>
                <w:rFonts w:ascii="宋体" w:hAnsi="宋体"/>
                <w:color w:val="auto"/>
                <w:szCs w:val="21"/>
              </w:rPr>
            </w:pPr>
            <w:r>
              <w:rPr>
                <w:rFonts w:ascii="宋体" w:hAnsi="宋体"/>
                <w:color w:val="auto"/>
                <w:szCs w:val="21"/>
              </w:rPr>
              <w:t>Ⅲ</w:t>
            </w:r>
          </w:p>
        </w:tc>
        <w:tc>
          <w:tcPr>
            <w:tcW w:w="4688" w:type="dxa"/>
            <w:vAlign w:val="center"/>
          </w:tcPr>
          <w:p>
            <w:pPr>
              <w:widowControl/>
              <w:tabs>
                <w:tab w:val="left" w:pos="1260"/>
                <w:tab w:val="left" w:leader="middleDot" w:pos="7560"/>
              </w:tabs>
              <w:jc w:val="left"/>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加强作业人员培训教育，现场</w:t>
            </w:r>
            <w:r>
              <w:rPr>
                <w:rFonts w:hint="eastAsia" w:ascii="宋体" w:hAnsi="宋体"/>
                <w:color w:val="auto"/>
                <w:szCs w:val="21"/>
              </w:rPr>
              <w:t>设</w:t>
            </w:r>
            <w:r>
              <w:rPr>
                <w:rFonts w:ascii="宋体" w:hAnsi="宋体"/>
                <w:color w:val="auto"/>
                <w:szCs w:val="21"/>
              </w:rPr>
              <w:t>专人指挥。</w:t>
            </w:r>
          </w:p>
          <w:p>
            <w:pPr>
              <w:widowControl/>
              <w:tabs>
                <w:tab w:val="left" w:pos="1260"/>
                <w:tab w:val="left" w:leader="middleDot" w:pos="7560"/>
              </w:tabs>
              <w:jc w:val="left"/>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加强管理；明确</w:t>
            </w:r>
            <w:r>
              <w:rPr>
                <w:rFonts w:hint="eastAsia" w:ascii="宋体" w:hAnsi="宋体"/>
                <w:color w:val="auto"/>
                <w:szCs w:val="21"/>
              </w:rPr>
              <w:t>作业</w:t>
            </w:r>
            <w:r>
              <w:rPr>
                <w:rFonts w:ascii="宋体" w:hAnsi="宋体"/>
                <w:color w:val="auto"/>
                <w:szCs w:val="21"/>
              </w:rPr>
              <w:t>信号</w:t>
            </w:r>
            <w:r>
              <w:rPr>
                <w:rFonts w:hint="eastAsia" w:ascii="宋体" w:hAnsi="宋体"/>
                <w:color w:val="auto"/>
                <w:szCs w:val="21"/>
              </w:rPr>
              <w:t>。</w:t>
            </w:r>
          </w:p>
          <w:p>
            <w:pPr>
              <w:widowControl/>
              <w:tabs>
                <w:tab w:val="left" w:pos="1260"/>
                <w:tab w:val="left" w:leader="middleDot" w:pos="7560"/>
              </w:tabs>
              <w:jc w:val="left"/>
              <w:rPr>
                <w:rFonts w:ascii="宋体" w:hAnsi="宋体"/>
                <w:color w:val="auto"/>
                <w:szCs w:val="21"/>
              </w:rPr>
            </w:pPr>
            <w:r>
              <w:rPr>
                <w:rFonts w:ascii="宋体" w:hAnsi="宋体"/>
                <w:color w:val="auto"/>
                <w:szCs w:val="21"/>
              </w:rPr>
              <w:t>3</w:t>
            </w:r>
            <w:r>
              <w:rPr>
                <w:rFonts w:hint="eastAsia" w:ascii="宋体" w:hAnsi="宋体"/>
                <w:color w:val="auto"/>
                <w:szCs w:val="21"/>
              </w:rPr>
              <w:t>）边坡外侧设安全垛和安全警示标志。保持车辆完好。</w:t>
            </w:r>
          </w:p>
          <w:p>
            <w:pPr>
              <w:widowControl/>
              <w:tabs>
                <w:tab w:val="left" w:pos="1260"/>
                <w:tab w:val="left" w:leader="middleDot" w:pos="7560"/>
              </w:tabs>
              <w:jc w:val="left"/>
              <w:rPr>
                <w:rFonts w:ascii="宋体" w:hAnsi="宋体"/>
                <w:color w:val="auto"/>
                <w:szCs w:val="21"/>
              </w:rPr>
            </w:pPr>
            <w:r>
              <w:rPr>
                <w:rFonts w:hint="eastAsia" w:ascii="宋体" w:hAnsi="宋体"/>
                <w:color w:val="auto"/>
                <w:szCs w:val="21"/>
              </w:rPr>
              <w:t>4）驾驶员持证上岗，且保持精力充沛，不开疲劳车；严禁酒后或带病开车。</w:t>
            </w:r>
          </w:p>
          <w:p>
            <w:pPr>
              <w:widowControl/>
              <w:tabs>
                <w:tab w:val="left" w:pos="1260"/>
                <w:tab w:val="left" w:leader="middleDot" w:pos="7560"/>
              </w:tabs>
              <w:jc w:val="left"/>
              <w:rPr>
                <w:rFonts w:ascii="宋体" w:hAnsi="宋体"/>
                <w:color w:val="auto"/>
                <w:szCs w:val="21"/>
              </w:rPr>
            </w:pPr>
            <w:r>
              <w:rPr>
                <w:rFonts w:hint="eastAsia" w:ascii="宋体" w:hAnsi="宋体"/>
                <w:color w:val="auto"/>
                <w:szCs w:val="21"/>
              </w:rPr>
              <w:t>5）危险地段设置限速等安全交通警示标志。</w:t>
            </w:r>
          </w:p>
        </w:tc>
      </w:tr>
    </w:tbl>
    <w:p>
      <w:pPr>
        <w:widowControl/>
        <w:spacing w:line="500" w:lineRule="exact"/>
        <w:ind w:firstLine="480" w:firstLineChars="200"/>
        <w:rPr>
          <w:rFonts w:ascii="宋体" w:hAnsi="宋体"/>
          <w:color w:val="auto"/>
          <w:sz w:val="24"/>
        </w:rPr>
      </w:pPr>
      <w:r>
        <w:rPr>
          <w:rFonts w:hint="eastAsia" w:ascii="宋体" w:hAnsi="宋体"/>
          <w:color w:val="auto"/>
          <w:sz w:val="24"/>
        </w:rPr>
        <w:t>评价结果：存在的危险有害因素为坍塌滑坡、高处坠落、物体打击、车辆伤害，主要防治的为坍塌滑坡。</w:t>
      </w:r>
    </w:p>
    <w:p>
      <w:pPr>
        <w:pStyle w:val="4"/>
        <w:keepLines w:val="0"/>
        <w:widowControl/>
        <w:spacing w:before="120" w:after="120" w:line="500" w:lineRule="exact"/>
        <w:rPr>
          <w:rFonts w:ascii="宋体" w:hAnsi="宋体" w:eastAsia="宋体"/>
          <w:b/>
          <w:bCs w:val="0"/>
          <w:color w:val="auto"/>
          <w:kern w:val="28"/>
          <w:sz w:val="28"/>
          <w:szCs w:val="28"/>
        </w:rPr>
      </w:pPr>
      <w:bookmarkStart w:id="189" w:name="_Toc21511325"/>
      <w:bookmarkStart w:id="190" w:name="_Toc150262779"/>
      <w:r>
        <w:rPr>
          <w:rFonts w:ascii="宋体" w:hAnsi="宋体" w:eastAsia="宋体"/>
          <w:b/>
          <w:bCs w:val="0"/>
          <w:color w:val="auto"/>
          <w:kern w:val="28"/>
          <w:sz w:val="28"/>
          <w:szCs w:val="28"/>
        </w:rPr>
        <w:t>3.5通风系统单元</w:t>
      </w:r>
      <w:bookmarkEnd w:id="189"/>
      <w:bookmarkEnd w:id="190"/>
    </w:p>
    <w:p>
      <w:pPr>
        <w:widowControl/>
        <w:spacing w:line="500" w:lineRule="exact"/>
        <w:ind w:firstLine="480" w:firstLineChars="200"/>
        <w:rPr>
          <w:rFonts w:ascii="宋体" w:hAnsi="宋体"/>
          <w:color w:val="auto"/>
          <w:sz w:val="24"/>
        </w:rPr>
      </w:pPr>
      <w:r>
        <w:rPr>
          <w:rFonts w:hint="eastAsia" w:ascii="宋体" w:hAnsi="宋体"/>
          <w:color w:val="auto"/>
          <w:sz w:val="24"/>
        </w:rPr>
        <w:t>该矿山为露天山坡开采，矿山开采作业所产生的粉尘均可自行消散，因此不设置通风系统。</w:t>
      </w:r>
    </w:p>
    <w:p>
      <w:pPr>
        <w:widowControl/>
        <w:spacing w:line="500" w:lineRule="exact"/>
        <w:ind w:firstLine="480" w:firstLineChars="200"/>
        <w:rPr>
          <w:rFonts w:ascii="宋体" w:hAnsi="宋体"/>
          <w:color w:val="auto"/>
          <w:sz w:val="24"/>
        </w:rPr>
      </w:pPr>
      <w:r>
        <w:rPr>
          <w:rFonts w:hint="eastAsia" w:ascii="宋体" w:hAnsi="宋体"/>
          <w:color w:val="auto"/>
          <w:sz w:val="24"/>
        </w:rPr>
        <w:t>可行性研究报告中拟采用洒水车进行道路降尘，建议下步设计明确洒水车规格型号、数量等内容。</w:t>
      </w:r>
    </w:p>
    <w:p>
      <w:pPr>
        <w:pStyle w:val="4"/>
        <w:keepLines w:val="0"/>
        <w:widowControl/>
        <w:spacing w:before="120" w:after="120" w:line="500" w:lineRule="exact"/>
        <w:rPr>
          <w:rFonts w:ascii="宋体" w:hAnsi="宋体" w:eastAsia="宋体"/>
          <w:b/>
          <w:bCs w:val="0"/>
          <w:color w:val="auto"/>
          <w:kern w:val="28"/>
          <w:sz w:val="28"/>
          <w:szCs w:val="28"/>
        </w:rPr>
      </w:pPr>
      <w:bookmarkStart w:id="191" w:name="_Toc21511326"/>
      <w:bookmarkStart w:id="192" w:name="_Toc150262780"/>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6</w:t>
      </w:r>
      <w:r>
        <w:rPr>
          <w:rFonts w:hint="eastAsia" w:ascii="宋体" w:hAnsi="宋体" w:eastAsia="宋体"/>
          <w:b/>
          <w:bCs w:val="0"/>
          <w:color w:val="auto"/>
          <w:kern w:val="28"/>
          <w:sz w:val="28"/>
          <w:szCs w:val="28"/>
        </w:rPr>
        <w:t>矿山供配电设施单元评价</w:t>
      </w:r>
      <w:bookmarkEnd w:id="191"/>
      <w:bookmarkEnd w:id="192"/>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6</w:t>
      </w:r>
      <w:r>
        <w:rPr>
          <w:rFonts w:hint="eastAsia" w:ascii="宋体" w:hAnsi="宋体"/>
          <w:color w:val="auto"/>
          <w:kern w:val="28"/>
          <w:sz w:val="28"/>
          <w:szCs w:val="28"/>
        </w:rPr>
        <w:t>.1供电电源可靠性</w:t>
      </w:r>
    </w:p>
    <w:p>
      <w:pPr>
        <w:widowControl/>
        <w:spacing w:line="500" w:lineRule="exact"/>
        <w:ind w:firstLine="480" w:firstLineChars="200"/>
        <w:rPr>
          <w:rFonts w:ascii="宋体" w:hAnsi="宋体"/>
          <w:color w:val="auto"/>
          <w:sz w:val="24"/>
        </w:rPr>
      </w:pPr>
      <w:r>
        <w:rPr>
          <w:rFonts w:hint="eastAsia" w:ascii="宋体" w:hAnsi="宋体"/>
          <w:color w:val="auto"/>
          <w:sz w:val="24"/>
        </w:rPr>
        <w:t>矿山露天采场生产设备全部为柴油动力设备，无需电力。矿山办公生活区、机修房等辅助设施用电接用当地低压供电线路，当地低压供电线路可</w:t>
      </w:r>
      <w:r>
        <w:rPr>
          <w:rFonts w:ascii="宋体" w:hAnsi="宋体"/>
          <w:color w:val="auto"/>
          <w:sz w:val="24"/>
        </w:rPr>
        <w:t>满足使用</w:t>
      </w:r>
      <w:r>
        <w:rPr>
          <w:rFonts w:hint="eastAsia" w:ascii="宋体" w:hAnsi="宋体"/>
          <w:color w:val="auto"/>
          <w:sz w:val="24"/>
        </w:rPr>
        <w:t>要求。</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6</w:t>
      </w:r>
      <w:r>
        <w:rPr>
          <w:rFonts w:hint="eastAsia" w:ascii="宋体" w:hAnsi="宋体"/>
          <w:color w:val="auto"/>
          <w:kern w:val="28"/>
          <w:sz w:val="28"/>
          <w:szCs w:val="28"/>
        </w:rPr>
        <w:t>.2电气单元预先危险性分析</w:t>
      </w:r>
    </w:p>
    <w:p>
      <w:pPr>
        <w:rPr>
          <w:rFonts w:hint="eastAsia" w:ascii="宋体" w:hAnsi="宋体"/>
          <w:b/>
          <w:color w:val="auto"/>
          <w:sz w:val="24"/>
        </w:rPr>
      </w:pPr>
      <w:r>
        <w:rPr>
          <w:rFonts w:hint="eastAsia" w:ascii="宋体" w:hAnsi="宋体"/>
          <w:b/>
          <w:color w:val="auto"/>
          <w:sz w:val="24"/>
        </w:rPr>
        <w:br w:type="page"/>
      </w:r>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6 </w:t>
      </w:r>
      <w:r>
        <w:rPr>
          <w:rFonts w:hint="eastAsia" w:ascii="宋体" w:hAnsi="宋体"/>
          <w:b/>
          <w:color w:val="auto"/>
          <w:sz w:val="24"/>
        </w:rPr>
        <w:t>矿山电气预先危险性分析表</w:t>
      </w:r>
    </w:p>
    <w:tbl>
      <w:tblPr>
        <w:tblStyle w:val="41"/>
        <w:tblW w:w="14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34"/>
        <w:gridCol w:w="907"/>
        <w:gridCol w:w="4533"/>
        <w:gridCol w:w="1087"/>
        <w:gridCol w:w="882"/>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序号</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主要危险源位置</w:t>
            </w:r>
          </w:p>
        </w:tc>
        <w:tc>
          <w:tcPr>
            <w:tcW w:w="90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潜在事故类型</w:t>
            </w:r>
          </w:p>
        </w:tc>
        <w:tc>
          <w:tcPr>
            <w:tcW w:w="45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触发条件</w:t>
            </w:r>
          </w:p>
        </w:tc>
        <w:tc>
          <w:tcPr>
            <w:tcW w:w="10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可能导致的后果</w:t>
            </w:r>
          </w:p>
        </w:tc>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危险性等级</w:t>
            </w:r>
          </w:p>
        </w:tc>
        <w:tc>
          <w:tcPr>
            <w:tcW w:w="49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b/>
                <w:color w:val="auto"/>
                <w:szCs w:val="21"/>
              </w:rPr>
            </w:pPr>
            <w:r>
              <w:rPr>
                <w:rFonts w:hint="eastAsia" w:ascii="宋体" w:hAnsi="宋体"/>
                <w:b/>
                <w:color w:val="auto"/>
                <w:szCs w:val="21"/>
              </w:rPr>
              <w:t>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1</w:t>
            </w:r>
          </w:p>
        </w:tc>
        <w:tc>
          <w:tcPr>
            <w:tcW w:w="113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电气线路</w:t>
            </w:r>
          </w:p>
        </w:tc>
        <w:tc>
          <w:tcPr>
            <w:tcW w:w="90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触电</w:t>
            </w:r>
          </w:p>
        </w:tc>
        <w:tc>
          <w:tcPr>
            <w:tcW w:w="453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（1）电气作业人员无证上岗，上岗未穿戴和使用防护用品、用具进行操作。</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（2）矿山人员随意维修电气线路。</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（3）供电线路的停电和送电，未执行工作票制度。</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（4）在电源线路上断电作业时，该线路的电源开关把手未加锁或设专人看护，未悬挂“有人作业，不准送电”的警示牌。</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（5）在未采取验电和挂接地线等安全措施情况下在停电线路上工作。</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（6）线路跳闸后，强行送电。</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（7）线路意外破损，人员及设备误碰。</w:t>
            </w:r>
          </w:p>
        </w:tc>
        <w:tc>
          <w:tcPr>
            <w:tcW w:w="10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设备损环人员伤亡</w:t>
            </w:r>
          </w:p>
        </w:tc>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5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（1）电气作业人员应按规定考核合格方准上岗，上岗应穿戴和使用防护用品、用具进行操作。</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（2）电气线路维修应由电气作业人员进行，其他人员严禁电气线路维修。</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（3）供电线路的停电和送电，应执行工作票制度。</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（4）在电源线路上断电作业时，该线路的电源开关把手，应加锁或设专人看护，并悬挂“有人作业，不准送电”的警示牌。</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（5）在停电线路上工作时，应采取验电和挂接地线等安全措施。</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（6）线路跳闸后，不应强行送电，应立即报告由电气作业人员查明原因，排除故障后，方可送电。</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pacing w:val="-11"/>
                <w:sz w:val="21"/>
                <w:szCs w:val="21"/>
              </w:rPr>
              <w:t>（7）定期对输电线路进行检查，发现损坏后及时修复。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p>
        </w:tc>
        <w:tc>
          <w:tcPr>
            <w:tcW w:w="90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火灾</w:t>
            </w:r>
          </w:p>
        </w:tc>
        <w:tc>
          <w:tcPr>
            <w:tcW w:w="453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（1）在带电的导线附近，存在易燃易爆物品。</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（2）供电线路凌乱，绝缘老化导致短路，引起火灾。</w:t>
            </w:r>
          </w:p>
        </w:tc>
        <w:tc>
          <w:tcPr>
            <w:tcW w:w="10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设备损环人员伤亡</w:t>
            </w:r>
          </w:p>
        </w:tc>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5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（1）在带电的导线附近，严禁存放易燃易爆物品，附近茅草应清除。</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（2）电气线路布置有序，及时更换绝缘老化线路。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2</w:t>
            </w:r>
          </w:p>
        </w:tc>
        <w:tc>
          <w:tcPr>
            <w:tcW w:w="113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用电设备</w:t>
            </w:r>
          </w:p>
        </w:tc>
        <w:tc>
          <w:tcPr>
            <w:tcW w:w="90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触电（雷击）</w:t>
            </w:r>
          </w:p>
        </w:tc>
        <w:tc>
          <w:tcPr>
            <w:tcW w:w="453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（1）电气设备可能被人触及的裸露带电部分未设置保护罩或遮栏及警示标志。</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（2）电气设备、设施无漏电保护装置；没有接地（零）装置或保护装置失效。</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pacing w:val="-6"/>
                <w:sz w:val="21"/>
                <w:szCs w:val="21"/>
              </w:rPr>
              <w:t>（3）电气设备和装置的金属框架或外壳、电缆和金属包皮、互感器的二次绕组，未设置保护接地。</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（4）设备的控制开关、闸刀开关未按要求设置安全警示标志。</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（5）作业人员违规操作。</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（6）矿山未安装避雷设施。</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（7）电气设备未定期检查，存在漏电现象。</w:t>
            </w:r>
          </w:p>
        </w:tc>
        <w:tc>
          <w:tcPr>
            <w:tcW w:w="10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设备损环人员伤亡</w:t>
            </w:r>
          </w:p>
        </w:tc>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5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（1）电气设备可能被人触及的裸露带电部分，应设置保护罩或遮栏及警示标志</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（2）电气设备、设施应设置漏电保护装置，接地（零）装置或保护装置。</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（3）电气设备和装置的金属框架或外壳、电缆和金属包皮、互感器的二次绕组，应按有关规定进行保护接地。</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（4）严格按规定进行断电作业；悬挂警示标志。</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（5）加强</w:t>
            </w:r>
            <w:r>
              <w:rPr>
                <w:rFonts w:ascii="宋体" w:hAnsi="宋体"/>
                <w:color w:val="auto"/>
                <w:szCs w:val="21"/>
              </w:rPr>
              <w:t>作业人员教育，杜绝违规操作</w:t>
            </w:r>
            <w:r>
              <w:rPr>
                <w:rFonts w:hint="eastAsia" w:ascii="宋体" w:hAnsi="宋体"/>
                <w:color w:val="auto"/>
                <w:szCs w:val="21"/>
              </w:rPr>
              <w:t>。</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（6）矿山应安装避雷设施。</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（7）电气设备定期检查，确保设备正常运转。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p>
        </w:tc>
        <w:tc>
          <w:tcPr>
            <w:tcW w:w="113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p>
        </w:tc>
        <w:tc>
          <w:tcPr>
            <w:tcW w:w="90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火灾</w:t>
            </w:r>
          </w:p>
        </w:tc>
        <w:tc>
          <w:tcPr>
            <w:tcW w:w="4533"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（1）用电设备长时或带病运行，导致设备外壳过热。</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（2）用电设备周边存有易燃易爆物品。</w:t>
            </w:r>
          </w:p>
        </w:tc>
        <w:tc>
          <w:tcPr>
            <w:tcW w:w="108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设备损环人员伤亡</w:t>
            </w:r>
          </w:p>
        </w:tc>
        <w:tc>
          <w:tcPr>
            <w:tcW w:w="88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olor w:val="auto"/>
                <w:szCs w:val="21"/>
              </w:rPr>
            </w:pPr>
            <w:r>
              <w:rPr>
                <w:rFonts w:hint="eastAsia" w:ascii="宋体" w:hAnsi="宋体"/>
                <w:color w:val="auto"/>
                <w:szCs w:val="21"/>
              </w:rPr>
              <w:t>Ⅲ</w:t>
            </w:r>
          </w:p>
        </w:tc>
        <w:tc>
          <w:tcPr>
            <w:tcW w:w="4950"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（1）定期对用电设备进行检修，长时运转时应检查外壳温度。配备过流保护装置。</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olor w:val="auto"/>
                <w:szCs w:val="21"/>
              </w:rPr>
            </w:pPr>
            <w:r>
              <w:rPr>
                <w:rFonts w:hint="eastAsia" w:ascii="宋体" w:hAnsi="宋体"/>
                <w:color w:val="auto"/>
                <w:szCs w:val="21"/>
              </w:rPr>
              <w:t>（2）用电设备周边严禁存放易燃易爆物品。</w:t>
            </w:r>
          </w:p>
        </w:tc>
      </w:tr>
    </w:tbl>
    <w:p>
      <w:pPr>
        <w:widowControl/>
        <w:spacing w:line="500" w:lineRule="exact"/>
        <w:ind w:firstLine="480" w:firstLineChars="200"/>
        <w:rPr>
          <w:rFonts w:ascii="宋体" w:hAnsi="宋体"/>
          <w:color w:val="auto"/>
          <w:sz w:val="24"/>
        </w:rPr>
      </w:pPr>
      <w:r>
        <w:rPr>
          <w:rFonts w:hint="eastAsia" w:ascii="宋体" w:hAnsi="宋体"/>
          <w:color w:val="auto"/>
          <w:sz w:val="24"/>
        </w:rPr>
        <w:t>评价结果：存在的危险有害因素为触电（雷击）、火灾，主要防治的为触电（雷击）、火灾。</w:t>
      </w:r>
    </w:p>
    <w:p>
      <w:pPr>
        <w:pStyle w:val="4"/>
        <w:keepLines w:val="0"/>
        <w:widowControl/>
        <w:spacing w:before="120" w:after="120" w:line="500" w:lineRule="exact"/>
        <w:rPr>
          <w:rFonts w:ascii="宋体" w:hAnsi="宋体" w:eastAsia="宋体"/>
          <w:b/>
          <w:bCs w:val="0"/>
          <w:color w:val="auto"/>
          <w:kern w:val="28"/>
          <w:sz w:val="28"/>
          <w:szCs w:val="28"/>
        </w:rPr>
      </w:pPr>
      <w:bookmarkStart w:id="193" w:name="_Toc21511327"/>
      <w:bookmarkStart w:id="194" w:name="_Toc150262781"/>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7</w:t>
      </w:r>
      <w:r>
        <w:rPr>
          <w:rFonts w:hint="eastAsia" w:ascii="宋体" w:hAnsi="宋体" w:eastAsia="宋体"/>
          <w:b/>
          <w:bCs w:val="0"/>
          <w:color w:val="auto"/>
          <w:kern w:val="28"/>
          <w:sz w:val="28"/>
          <w:szCs w:val="28"/>
        </w:rPr>
        <w:t>防排水单元评价</w:t>
      </w:r>
      <w:bookmarkEnd w:id="193"/>
      <w:bookmarkEnd w:id="194"/>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7</w:t>
      </w:r>
      <w:r>
        <w:rPr>
          <w:rFonts w:hint="eastAsia" w:ascii="宋体" w:hAnsi="宋体"/>
          <w:color w:val="auto"/>
          <w:kern w:val="28"/>
          <w:sz w:val="28"/>
          <w:szCs w:val="28"/>
        </w:rPr>
        <w:t>.1防排水单元预先危险性分析</w:t>
      </w:r>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7 </w:t>
      </w:r>
      <w:r>
        <w:rPr>
          <w:rFonts w:hint="eastAsia" w:ascii="宋体" w:hAnsi="宋体"/>
          <w:b/>
          <w:color w:val="auto"/>
          <w:sz w:val="24"/>
        </w:rPr>
        <w:t>防排水子单元预先危险性分析表</w:t>
      </w:r>
    </w:p>
    <w:tbl>
      <w:tblPr>
        <w:tblStyle w:val="41"/>
        <w:tblW w:w="14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34"/>
        <w:gridCol w:w="907"/>
        <w:gridCol w:w="4819"/>
        <w:gridCol w:w="1077"/>
        <w:gridCol w:w="1077"/>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794" w:type="dxa"/>
            <w:vAlign w:val="center"/>
          </w:tcPr>
          <w:p>
            <w:pPr>
              <w:widowControl/>
              <w:jc w:val="center"/>
              <w:rPr>
                <w:rFonts w:ascii="宋体" w:hAnsi="宋体"/>
                <w:b/>
                <w:color w:val="auto"/>
                <w:szCs w:val="21"/>
              </w:rPr>
            </w:pPr>
            <w:r>
              <w:rPr>
                <w:rFonts w:hint="eastAsia" w:ascii="宋体" w:hAnsi="宋体"/>
                <w:b/>
                <w:color w:val="auto"/>
                <w:szCs w:val="21"/>
              </w:rPr>
              <w:t>序号</w:t>
            </w:r>
          </w:p>
        </w:tc>
        <w:tc>
          <w:tcPr>
            <w:tcW w:w="1134" w:type="dxa"/>
            <w:vAlign w:val="center"/>
          </w:tcPr>
          <w:p>
            <w:pPr>
              <w:widowControl/>
              <w:jc w:val="center"/>
              <w:rPr>
                <w:rFonts w:ascii="宋体" w:hAnsi="宋体"/>
                <w:b/>
                <w:color w:val="auto"/>
                <w:szCs w:val="21"/>
              </w:rPr>
            </w:pPr>
            <w:r>
              <w:rPr>
                <w:rFonts w:hint="eastAsia" w:ascii="宋体" w:hAnsi="宋体"/>
                <w:b/>
                <w:color w:val="auto"/>
                <w:szCs w:val="21"/>
              </w:rPr>
              <w:t>主要危险源位置</w:t>
            </w:r>
          </w:p>
        </w:tc>
        <w:tc>
          <w:tcPr>
            <w:tcW w:w="907" w:type="dxa"/>
            <w:vAlign w:val="center"/>
          </w:tcPr>
          <w:p>
            <w:pPr>
              <w:widowControl/>
              <w:jc w:val="center"/>
              <w:rPr>
                <w:rFonts w:ascii="宋体" w:hAnsi="宋体"/>
                <w:b/>
                <w:color w:val="auto"/>
                <w:szCs w:val="21"/>
              </w:rPr>
            </w:pPr>
            <w:r>
              <w:rPr>
                <w:rFonts w:hint="eastAsia" w:ascii="宋体" w:hAnsi="宋体"/>
                <w:b/>
                <w:color w:val="auto"/>
                <w:szCs w:val="21"/>
              </w:rPr>
              <w:t>潜在事故类型</w:t>
            </w:r>
          </w:p>
        </w:tc>
        <w:tc>
          <w:tcPr>
            <w:tcW w:w="4819" w:type="dxa"/>
            <w:vAlign w:val="center"/>
          </w:tcPr>
          <w:p>
            <w:pPr>
              <w:widowControl/>
              <w:jc w:val="center"/>
              <w:rPr>
                <w:rFonts w:ascii="宋体" w:hAnsi="宋体"/>
                <w:b/>
                <w:color w:val="auto"/>
                <w:szCs w:val="21"/>
              </w:rPr>
            </w:pPr>
            <w:r>
              <w:rPr>
                <w:rFonts w:hint="eastAsia" w:ascii="宋体" w:hAnsi="宋体"/>
                <w:b/>
                <w:color w:val="auto"/>
                <w:szCs w:val="21"/>
              </w:rPr>
              <w:t>触发条件</w:t>
            </w:r>
          </w:p>
        </w:tc>
        <w:tc>
          <w:tcPr>
            <w:tcW w:w="1077" w:type="dxa"/>
            <w:vAlign w:val="center"/>
          </w:tcPr>
          <w:p>
            <w:pPr>
              <w:widowControl/>
              <w:jc w:val="center"/>
              <w:rPr>
                <w:rFonts w:ascii="宋体" w:hAnsi="宋体"/>
                <w:b/>
                <w:color w:val="auto"/>
                <w:szCs w:val="21"/>
              </w:rPr>
            </w:pPr>
            <w:r>
              <w:rPr>
                <w:rFonts w:hint="eastAsia" w:ascii="宋体" w:hAnsi="宋体"/>
                <w:b/>
                <w:color w:val="auto"/>
                <w:szCs w:val="21"/>
              </w:rPr>
              <w:t>可能导致的后果</w:t>
            </w:r>
          </w:p>
        </w:tc>
        <w:tc>
          <w:tcPr>
            <w:tcW w:w="1077" w:type="dxa"/>
            <w:vAlign w:val="center"/>
          </w:tcPr>
          <w:p>
            <w:pPr>
              <w:widowControl/>
              <w:jc w:val="center"/>
              <w:rPr>
                <w:rFonts w:ascii="宋体" w:hAnsi="宋体"/>
                <w:b/>
                <w:color w:val="auto"/>
                <w:szCs w:val="21"/>
              </w:rPr>
            </w:pPr>
            <w:r>
              <w:rPr>
                <w:rFonts w:hint="eastAsia" w:ascii="宋体" w:hAnsi="宋体"/>
                <w:b/>
                <w:color w:val="auto"/>
                <w:szCs w:val="21"/>
              </w:rPr>
              <w:t>危险性等级</w:t>
            </w:r>
          </w:p>
        </w:tc>
        <w:tc>
          <w:tcPr>
            <w:tcW w:w="4479" w:type="dxa"/>
            <w:vAlign w:val="center"/>
          </w:tcPr>
          <w:p>
            <w:pPr>
              <w:widowControl/>
              <w:jc w:val="center"/>
              <w:rPr>
                <w:rFonts w:ascii="宋体" w:hAnsi="宋体"/>
                <w:b/>
                <w:color w:val="auto"/>
                <w:szCs w:val="21"/>
              </w:rPr>
            </w:pPr>
            <w:r>
              <w:rPr>
                <w:rFonts w:hint="eastAsia" w:ascii="宋体" w:hAnsi="宋体"/>
                <w:b/>
                <w:color w:val="auto"/>
                <w:szCs w:val="21"/>
              </w:rPr>
              <w:t>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794" w:type="dxa"/>
            <w:vAlign w:val="center"/>
          </w:tcPr>
          <w:p>
            <w:pPr>
              <w:widowControl/>
              <w:jc w:val="center"/>
              <w:rPr>
                <w:rFonts w:ascii="宋体" w:hAnsi="宋体"/>
                <w:color w:val="auto"/>
                <w:szCs w:val="21"/>
              </w:rPr>
            </w:pPr>
            <w:r>
              <w:rPr>
                <w:rFonts w:hint="eastAsia" w:ascii="宋体" w:hAnsi="宋体"/>
                <w:color w:val="auto"/>
                <w:szCs w:val="21"/>
              </w:rPr>
              <w:t>1</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w:t>
            </w:r>
          </w:p>
          <w:p>
            <w:pPr>
              <w:widowControl/>
              <w:jc w:val="center"/>
              <w:rPr>
                <w:rFonts w:ascii="宋体" w:hAnsi="宋体"/>
                <w:color w:val="auto"/>
                <w:szCs w:val="21"/>
              </w:rPr>
            </w:pPr>
            <w:r>
              <w:rPr>
                <w:rFonts w:hint="eastAsia" w:ascii="宋体" w:hAnsi="宋体"/>
                <w:color w:val="auto"/>
                <w:szCs w:val="21"/>
              </w:rPr>
              <w:t>排土场</w:t>
            </w:r>
          </w:p>
        </w:tc>
        <w:tc>
          <w:tcPr>
            <w:tcW w:w="907" w:type="dxa"/>
            <w:vAlign w:val="center"/>
          </w:tcPr>
          <w:p>
            <w:pPr>
              <w:widowControl/>
              <w:jc w:val="center"/>
              <w:rPr>
                <w:rFonts w:ascii="宋体" w:hAnsi="宋体"/>
                <w:color w:val="auto"/>
                <w:szCs w:val="21"/>
              </w:rPr>
            </w:pPr>
            <w:r>
              <w:rPr>
                <w:rFonts w:hint="eastAsia" w:ascii="宋体" w:hAnsi="宋体"/>
                <w:color w:val="auto"/>
                <w:szCs w:val="21"/>
              </w:rPr>
              <w:t>坍塌</w:t>
            </w:r>
          </w:p>
          <w:p>
            <w:pPr>
              <w:widowControl/>
              <w:jc w:val="center"/>
              <w:rPr>
                <w:rFonts w:ascii="宋体" w:hAnsi="宋体"/>
                <w:color w:val="auto"/>
                <w:szCs w:val="21"/>
              </w:rPr>
            </w:pPr>
            <w:r>
              <w:rPr>
                <w:rFonts w:hint="eastAsia" w:ascii="宋体" w:hAnsi="宋体"/>
                <w:color w:val="auto"/>
                <w:szCs w:val="21"/>
              </w:rPr>
              <w:t>滑坡</w:t>
            </w:r>
          </w:p>
        </w:tc>
        <w:tc>
          <w:tcPr>
            <w:tcW w:w="4819" w:type="dxa"/>
            <w:vAlign w:val="center"/>
          </w:tcPr>
          <w:p>
            <w:pPr>
              <w:widowControl/>
              <w:rPr>
                <w:rFonts w:ascii="宋体" w:hAnsi="宋体"/>
                <w:color w:val="auto"/>
                <w:szCs w:val="21"/>
              </w:rPr>
            </w:pPr>
            <w:r>
              <w:rPr>
                <w:rFonts w:hint="eastAsia" w:ascii="宋体" w:hAnsi="宋体"/>
                <w:color w:val="auto"/>
                <w:szCs w:val="21"/>
              </w:rPr>
              <w:t>（1）设计排水系统不合理，排水能力无法满足在日最大降雨量条件下排水能力要求。</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）矿山开采过程中未按设计要求进行防排水系统修建，或定期进行检查及维护。</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）采场、排土场各台阶内侧无修筑临时排水沟。</w:t>
            </w:r>
          </w:p>
        </w:tc>
        <w:tc>
          <w:tcPr>
            <w:tcW w:w="1077" w:type="dxa"/>
            <w:vAlign w:val="center"/>
          </w:tcPr>
          <w:p>
            <w:pPr>
              <w:widowControl/>
              <w:jc w:val="center"/>
              <w:rPr>
                <w:rFonts w:ascii="宋体" w:hAnsi="宋体"/>
                <w:color w:val="auto"/>
                <w:szCs w:val="21"/>
              </w:rPr>
            </w:pPr>
            <w:r>
              <w:rPr>
                <w:rFonts w:hint="eastAsia" w:ascii="宋体" w:hAnsi="宋体"/>
                <w:color w:val="auto"/>
                <w:szCs w:val="21"/>
              </w:rPr>
              <w:t>人员重大伤亡、设备严重损坏</w:t>
            </w:r>
          </w:p>
        </w:tc>
        <w:tc>
          <w:tcPr>
            <w:tcW w:w="1077" w:type="dxa"/>
            <w:vAlign w:val="center"/>
          </w:tcPr>
          <w:p>
            <w:pPr>
              <w:widowControl/>
              <w:jc w:val="center"/>
              <w:rPr>
                <w:rFonts w:ascii="宋体" w:hAnsi="宋体"/>
                <w:color w:val="auto"/>
                <w:szCs w:val="21"/>
              </w:rPr>
            </w:pPr>
            <w:r>
              <w:rPr>
                <w:rFonts w:hint="eastAsia" w:ascii="宋体" w:hAnsi="宋体"/>
                <w:color w:val="auto"/>
                <w:szCs w:val="21"/>
              </w:rPr>
              <w:t>Ⅳ</w:t>
            </w:r>
          </w:p>
        </w:tc>
        <w:tc>
          <w:tcPr>
            <w:tcW w:w="4479" w:type="dxa"/>
            <w:vAlign w:val="center"/>
          </w:tcPr>
          <w:p>
            <w:pPr>
              <w:widowControl/>
              <w:rPr>
                <w:rFonts w:ascii="宋体" w:hAnsi="宋体"/>
                <w:color w:val="auto"/>
                <w:szCs w:val="21"/>
              </w:rPr>
            </w:pPr>
            <w:r>
              <w:rPr>
                <w:rFonts w:hint="eastAsia" w:ascii="宋体" w:hAnsi="宋体"/>
                <w:color w:val="auto"/>
                <w:szCs w:val="21"/>
              </w:rPr>
              <w:t>（1）设计应按日最大降雨量对截排水沟排水能力进行校核。</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）矿山应严格按设计要求进行防排水系统修建并定期进行检查及维护。</w:t>
            </w:r>
          </w:p>
          <w:p>
            <w:pPr>
              <w:widowControl/>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）在采场、排土场各台阶内侧修筑排水沟。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94" w:type="dxa"/>
            <w:vAlign w:val="center"/>
          </w:tcPr>
          <w:p>
            <w:pPr>
              <w:widowControl/>
              <w:jc w:val="center"/>
              <w:rPr>
                <w:rFonts w:ascii="宋体" w:hAnsi="宋体"/>
                <w:color w:val="auto"/>
                <w:szCs w:val="21"/>
              </w:rPr>
            </w:pPr>
            <w:r>
              <w:rPr>
                <w:rFonts w:hint="eastAsia" w:ascii="宋体" w:hAnsi="宋体"/>
                <w:color w:val="auto"/>
                <w:szCs w:val="21"/>
              </w:rPr>
              <w:t>2</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采场、排土场上部</w:t>
            </w:r>
          </w:p>
          <w:p>
            <w:pPr>
              <w:widowControl/>
              <w:jc w:val="center"/>
              <w:rPr>
                <w:rFonts w:ascii="宋体" w:hAnsi="宋体"/>
                <w:color w:val="auto"/>
                <w:szCs w:val="21"/>
              </w:rPr>
            </w:pPr>
            <w:r>
              <w:rPr>
                <w:rFonts w:hint="eastAsia" w:ascii="宋体" w:hAnsi="宋体"/>
                <w:color w:val="auto"/>
                <w:szCs w:val="21"/>
              </w:rPr>
              <w:t>采场、排土场边坡</w:t>
            </w:r>
          </w:p>
        </w:tc>
        <w:tc>
          <w:tcPr>
            <w:tcW w:w="907" w:type="dxa"/>
            <w:vAlign w:val="center"/>
          </w:tcPr>
          <w:p>
            <w:pPr>
              <w:widowControl/>
              <w:jc w:val="center"/>
              <w:rPr>
                <w:rFonts w:ascii="宋体" w:hAnsi="宋体"/>
                <w:color w:val="auto"/>
                <w:szCs w:val="21"/>
              </w:rPr>
            </w:pPr>
            <w:r>
              <w:rPr>
                <w:rFonts w:hint="eastAsia" w:ascii="宋体" w:hAnsi="宋体"/>
                <w:color w:val="auto"/>
                <w:szCs w:val="21"/>
              </w:rPr>
              <w:t>坍塌</w:t>
            </w:r>
          </w:p>
        </w:tc>
        <w:tc>
          <w:tcPr>
            <w:tcW w:w="4819" w:type="dxa"/>
            <w:vAlign w:val="center"/>
          </w:tcPr>
          <w:p>
            <w:pPr>
              <w:widowControl/>
              <w:rPr>
                <w:rFonts w:ascii="宋体" w:hAnsi="宋体"/>
                <w:color w:val="auto"/>
                <w:szCs w:val="21"/>
              </w:rPr>
            </w:pPr>
            <w:r>
              <w:rPr>
                <w:rFonts w:hint="eastAsia" w:ascii="宋体" w:hAnsi="宋体"/>
                <w:color w:val="auto"/>
                <w:szCs w:val="21"/>
              </w:rPr>
              <w:t>①采场、排土场采场、排土场上部无截（排）水沟；</w:t>
            </w:r>
          </w:p>
          <w:p>
            <w:pPr>
              <w:widowControl/>
              <w:rPr>
                <w:rFonts w:ascii="宋体" w:hAnsi="宋体"/>
                <w:color w:val="auto"/>
                <w:szCs w:val="21"/>
              </w:rPr>
            </w:pPr>
            <w:r>
              <w:rPr>
                <w:rFonts w:hint="eastAsia" w:ascii="宋体" w:hAnsi="宋体"/>
                <w:color w:val="auto"/>
                <w:szCs w:val="21"/>
              </w:rPr>
              <w:t>②采场、排土场雨水冲刷边坡。</w:t>
            </w:r>
          </w:p>
        </w:tc>
        <w:tc>
          <w:tcPr>
            <w:tcW w:w="1077" w:type="dxa"/>
            <w:vAlign w:val="center"/>
          </w:tcPr>
          <w:p>
            <w:pPr>
              <w:widowControl/>
              <w:jc w:val="center"/>
              <w:rPr>
                <w:rFonts w:ascii="宋体" w:hAnsi="宋体"/>
                <w:color w:val="auto"/>
                <w:szCs w:val="21"/>
              </w:rPr>
            </w:pPr>
            <w:r>
              <w:rPr>
                <w:rFonts w:hint="eastAsia" w:ascii="宋体" w:hAnsi="宋体"/>
                <w:color w:val="auto"/>
                <w:szCs w:val="21"/>
              </w:rPr>
              <w:t>人员重大伤亡、财产损失</w:t>
            </w:r>
          </w:p>
        </w:tc>
        <w:tc>
          <w:tcPr>
            <w:tcW w:w="1077" w:type="dxa"/>
            <w:vAlign w:val="center"/>
          </w:tcPr>
          <w:p>
            <w:pPr>
              <w:widowControl/>
              <w:jc w:val="center"/>
              <w:rPr>
                <w:rFonts w:ascii="宋体" w:hAnsi="宋体"/>
                <w:color w:val="auto"/>
                <w:szCs w:val="21"/>
              </w:rPr>
            </w:pPr>
            <w:r>
              <w:rPr>
                <w:rFonts w:hint="eastAsia" w:ascii="宋体" w:hAnsi="宋体"/>
                <w:color w:val="auto"/>
                <w:szCs w:val="21"/>
              </w:rPr>
              <w:t>Ⅳ</w:t>
            </w:r>
          </w:p>
        </w:tc>
        <w:tc>
          <w:tcPr>
            <w:tcW w:w="4479" w:type="dxa"/>
            <w:vAlign w:val="center"/>
          </w:tcPr>
          <w:p>
            <w:pPr>
              <w:widowControl/>
              <w:rPr>
                <w:rFonts w:ascii="宋体" w:hAnsi="宋体"/>
                <w:color w:val="auto"/>
                <w:szCs w:val="21"/>
              </w:rPr>
            </w:pPr>
            <w:r>
              <w:rPr>
                <w:rFonts w:hint="eastAsia" w:ascii="宋体" w:hAnsi="宋体"/>
                <w:color w:val="auto"/>
                <w:szCs w:val="21"/>
              </w:rPr>
              <w:t>（1）完善采场、排土场上部的排水沟；</w:t>
            </w:r>
          </w:p>
          <w:p>
            <w:pPr>
              <w:widowControl/>
              <w:rPr>
                <w:rFonts w:ascii="宋体" w:hAnsi="宋体"/>
                <w:color w:val="auto"/>
                <w:szCs w:val="21"/>
              </w:rPr>
            </w:pPr>
            <w:r>
              <w:rPr>
                <w:rFonts w:hint="eastAsia" w:ascii="宋体" w:hAnsi="宋体"/>
                <w:color w:val="auto"/>
                <w:szCs w:val="21"/>
              </w:rPr>
              <w:t>（2）加强采场、排土场边坡的监测。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vAlign w:val="center"/>
          </w:tcPr>
          <w:p>
            <w:pPr>
              <w:widowControl/>
              <w:jc w:val="center"/>
              <w:rPr>
                <w:rFonts w:ascii="宋体" w:hAnsi="宋体"/>
                <w:color w:val="auto"/>
                <w:szCs w:val="21"/>
              </w:rPr>
            </w:pPr>
            <w:r>
              <w:rPr>
                <w:rFonts w:ascii="宋体" w:hAnsi="宋体"/>
                <w:color w:val="auto"/>
                <w:szCs w:val="21"/>
              </w:rPr>
              <w:t>3</w:t>
            </w:r>
          </w:p>
        </w:tc>
        <w:tc>
          <w:tcPr>
            <w:tcW w:w="1134" w:type="dxa"/>
            <w:vAlign w:val="center"/>
          </w:tcPr>
          <w:p>
            <w:pPr>
              <w:widowControl/>
              <w:jc w:val="center"/>
              <w:rPr>
                <w:rFonts w:ascii="宋体" w:hAnsi="宋体"/>
                <w:color w:val="auto"/>
                <w:szCs w:val="21"/>
              </w:rPr>
            </w:pPr>
            <w:r>
              <w:rPr>
                <w:rFonts w:hint="eastAsia" w:ascii="宋体" w:hAnsi="宋体"/>
                <w:color w:val="auto"/>
                <w:szCs w:val="21"/>
              </w:rPr>
              <w:t>运输道路</w:t>
            </w:r>
          </w:p>
        </w:tc>
        <w:tc>
          <w:tcPr>
            <w:tcW w:w="907" w:type="dxa"/>
            <w:vAlign w:val="center"/>
          </w:tcPr>
          <w:p>
            <w:pPr>
              <w:widowControl/>
              <w:jc w:val="center"/>
              <w:rPr>
                <w:rFonts w:ascii="宋体" w:hAnsi="宋体"/>
                <w:color w:val="auto"/>
                <w:szCs w:val="21"/>
              </w:rPr>
            </w:pPr>
            <w:r>
              <w:rPr>
                <w:rFonts w:hint="eastAsia" w:ascii="宋体" w:hAnsi="宋体"/>
                <w:color w:val="auto"/>
                <w:szCs w:val="21"/>
              </w:rPr>
              <w:t>车辆</w:t>
            </w:r>
          </w:p>
          <w:p>
            <w:pPr>
              <w:widowControl/>
              <w:jc w:val="center"/>
              <w:rPr>
                <w:rFonts w:ascii="宋体" w:hAnsi="宋体"/>
                <w:color w:val="auto"/>
                <w:szCs w:val="21"/>
              </w:rPr>
            </w:pPr>
            <w:r>
              <w:rPr>
                <w:rFonts w:hint="eastAsia" w:ascii="宋体" w:hAnsi="宋体"/>
                <w:color w:val="auto"/>
                <w:szCs w:val="21"/>
              </w:rPr>
              <w:t>伤害</w:t>
            </w:r>
          </w:p>
        </w:tc>
        <w:tc>
          <w:tcPr>
            <w:tcW w:w="4819" w:type="dxa"/>
            <w:vAlign w:val="center"/>
          </w:tcPr>
          <w:p>
            <w:pPr>
              <w:widowControl/>
              <w:rPr>
                <w:rFonts w:ascii="宋体" w:hAnsi="宋体"/>
                <w:color w:val="auto"/>
                <w:szCs w:val="21"/>
              </w:rPr>
            </w:pPr>
            <w:r>
              <w:rPr>
                <w:rFonts w:hint="eastAsia" w:ascii="宋体" w:hAnsi="宋体"/>
                <w:color w:val="auto"/>
                <w:szCs w:val="21"/>
              </w:rPr>
              <w:t>（1）道路傍山侧无水沟。</w:t>
            </w:r>
          </w:p>
          <w:p>
            <w:pPr>
              <w:widowControl/>
              <w:rPr>
                <w:rFonts w:ascii="宋体" w:hAnsi="宋体"/>
                <w:color w:val="auto"/>
                <w:szCs w:val="21"/>
              </w:rPr>
            </w:pPr>
            <w:r>
              <w:rPr>
                <w:rFonts w:hint="eastAsia" w:ascii="宋体" w:hAnsi="宋体"/>
                <w:color w:val="auto"/>
                <w:szCs w:val="21"/>
              </w:rPr>
              <w:t>（2）山坡水冲刷路面、边坡。</w:t>
            </w:r>
          </w:p>
        </w:tc>
        <w:tc>
          <w:tcPr>
            <w:tcW w:w="1077" w:type="dxa"/>
            <w:vAlign w:val="center"/>
          </w:tcPr>
          <w:p>
            <w:pPr>
              <w:widowControl/>
              <w:jc w:val="center"/>
              <w:rPr>
                <w:rFonts w:ascii="宋体" w:hAnsi="宋体"/>
                <w:color w:val="auto"/>
                <w:szCs w:val="21"/>
              </w:rPr>
            </w:pPr>
            <w:r>
              <w:rPr>
                <w:rFonts w:hint="eastAsia" w:ascii="宋体" w:hAnsi="宋体"/>
                <w:color w:val="auto"/>
                <w:szCs w:val="21"/>
              </w:rPr>
              <w:t>人员伤亡财产损失</w:t>
            </w:r>
          </w:p>
        </w:tc>
        <w:tc>
          <w:tcPr>
            <w:tcW w:w="1077" w:type="dxa"/>
            <w:vAlign w:val="center"/>
          </w:tcPr>
          <w:p>
            <w:pPr>
              <w:widowControl/>
              <w:jc w:val="center"/>
              <w:rPr>
                <w:rFonts w:ascii="宋体" w:hAnsi="宋体"/>
                <w:color w:val="auto"/>
                <w:szCs w:val="21"/>
              </w:rPr>
            </w:pPr>
            <w:r>
              <w:rPr>
                <w:rFonts w:hint="eastAsia" w:ascii="宋体" w:hAnsi="宋体"/>
                <w:color w:val="auto"/>
                <w:szCs w:val="21"/>
              </w:rPr>
              <w:t>Ⅲ</w:t>
            </w:r>
          </w:p>
        </w:tc>
        <w:tc>
          <w:tcPr>
            <w:tcW w:w="4479" w:type="dxa"/>
            <w:vAlign w:val="center"/>
          </w:tcPr>
          <w:p>
            <w:pPr>
              <w:widowControl/>
              <w:rPr>
                <w:rFonts w:ascii="宋体" w:hAnsi="宋体"/>
                <w:color w:val="auto"/>
                <w:szCs w:val="21"/>
              </w:rPr>
            </w:pPr>
            <w:r>
              <w:rPr>
                <w:rFonts w:hint="eastAsia" w:ascii="宋体" w:hAnsi="宋体"/>
                <w:color w:val="auto"/>
                <w:szCs w:val="21"/>
              </w:rPr>
              <w:t>（1）修筑好道路内侧的排水沟。</w:t>
            </w:r>
          </w:p>
          <w:p>
            <w:pPr>
              <w:widowControl/>
              <w:rPr>
                <w:rFonts w:ascii="宋体" w:hAnsi="宋体"/>
                <w:color w:val="auto"/>
                <w:szCs w:val="21"/>
              </w:rPr>
            </w:pPr>
            <w:r>
              <w:rPr>
                <w:rFonts w:hint="eastAsia" w:ascii="宋体" w:hAnsi="宋体"/>
                <w:color w:val="auto"/>
                <w:szCs w:val="21"/>
              </w:rPr>
              <w:t>（2）加强管理。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color w:val="auto"/>
                <w:szCs w:val="21"/>
              </w:rPr>
            </w:pPr>
            <w:r>
              <w:rPr>
                <w:rFonts w:ascii="宋体" w:hAnsi="宋体"/>
                <w:color w:val="auto"/>
                <w:szCs w:val="21"/>
              </w:rPr>
              <w:t>4</w:t>
            </w:r>
          </w:p>
        </w:tc>
        <w:tc>
          <w:tcPr>
            <w:tcW w:w="1134" w:type="dxa"/>
            <w:vAlign w:val="center"/>
          </w:tcPr>
          <w:p>
            <w:pPr>
              <w:widowControl/>
              <w:jc w:val="center"/>
              <w:rPr>
                <w:rFonts w:ascii="宋体" w:hAnsi="宋体"/>
                <w:color w:val="auto"/>
                <w:szCs w:val="21"/>
              </w:rPr>
            </w:pPr>
            <w:r>
              <w:rPr>
                <w:rFonts w:hint="eastAsia" w:ascii="宋体" w:hAnsi="宋体"/>
                <w:color w:val="auto"/>
                <w:szCs w:val="21"/>
              </w:rPr>
              <w:t>办公生活区</w:t>
            </w:r>
          </w:p>
        </w:tc>
        <w:tc>
          <w:tcPr>
            <w:tcW w:w="907" w:type="dxa"/>
            <w:vAlign w:val="center"/>
          </w:tcPr>
          <w:p>
            <w:pPr>
              <w:widowControl/>
              <w:jc w:val="center"/>
              <w:rPr>
                <w:rFonts w:ascii="宋体" w:hAnsi="宋体"/>
                <w:color w:val="auto"/>
                <w:szCs w:val="21"/>
              </w:rPr>
            </w:pPr>
            <w:r>
              <w:rPr>
                <w:rFonts w:hint="eastAsia" w:ascii="宋体" w:hAnsi="宋体"/>
                <w:color w:val="auto"/>
                <w:szCs w:val="21"/>
              </w:rPr>
              <w:t>火灾</w:t>
            </w:r>
          </w:p>
        </w:tc>
        <w:tc>
          <w:tcPr>
            <w:tcW w:w="4819" w:type="dxa"/>
            <w:vAlign w:val="center"/>
          </w:tcPr>
          <w:p>
            <w:pPr>
              <w:widowControl/>
              <w:rPr>
                <w:rFonts w:ascii="宋体" w:hAnsi="宋体"/>
                <w:color w:val="auto"/>
                <w:szCs w:val="21"/>
              </w:rPr>
            </w:pPr>
            <w:r>
              <w:rPr>
                <w:rFonts w:hint="eastAsia" w:ascii="宋体" w:hAnsi="宋体"/>
                <w:color w:val="auto"/>
                <w:szCs w:val="21"/>
              </w:rPr>
              <w:t>①有其他原因引起的火灾；</w:t>
            </w:r>
          </w:p>
          <w:p>
            <w:pPr>
              <w:widowControl/>
              <w:rPr>
                <w:rFonts w:ascii="宋体" w:hAnsi="宋体"/>
                <w:color w:val="auto"/>
                <w:szCs w:val="21"/>
              </w:rPr>
            </w:pPr>
            <w:r>
              <w:rPr>
                <w:rFonts w:hint="eastAsia" w:ascii="宋体" w:hAnsi="宋体"/>
                <w:color w:val="auto"/>
                <w:szCs w:val="21"/>
              </w:rPr>
              <w:t>②矿山没设蓄水池。</w:t>
            </w:r>
          </w:p>
        </w:tc>
        <w:tc>
          <w:tcPr>
            <w:tcW w:w="1077" w:type="dxa"/>
            <w:vAlign w:val="center"/>
          </w:tcPr>
          <w:p>
            <w:pPr>
              <w:widowControl/>
              <w:jc w:val="center"/>
              <w:rPr>
                <w:rFonts w:ascii="宋体" w:hAnsi="宋体"/>
                <w:color w:val="auto"/>
                <w:szCs w:val="21"/>
              </w:rPr>
            </w:pPr>
            <w:r>
              <w:rPr>
                <w:rFonts w:hint="eastAsia" w:ascii="宋体" w:hAnsi="宋体"/>
                <w:color w:val="auto"/>
                <w:szCs w:val="21"/>
              </w:rPr>
              <w:t>人员伤亡财产损失</w:t>
            </w:r>
          </w:p>
        </w:tc>
        <w:tc>
          <w:tcPr>
            <w:tcW w:w="1077" w:type="dxa"/>
            <w:vAlign w:val="center"/>
          </w:tcPr>
          <w:p>
            <w:pPr>
              <w:widowControl/>
              <w:jc w:val="center"/>
              <w:rPr>
                <w:rFonts w:ascii="宋体" w:hAnsi="宋体"/>
                <w:color w:val="auto"/>
                <w:szCs w:val="21"/>
              </w:rPr>
            </w:pPr>
            <w:r>
              <w:rPr>
                <w:rFonts w:hint="eastAsia" w:ascii="宋体" w:hAnsi="宋体"/>
                <w:color w:val="auto"/>
                <w:szCs w:val="21"/>
              </w:rPr>
              <w:t>Ⅲ</w:t>
            </w:r>
          </w:p>
        </w:tc>
        <w:tc>
          <w:tcPr>
            <w:tcW w:w="4479" w:type="dxa"/>
            <w:vAlign w:val="center"/>
          </w:tcPr>
          <w:p>
            <w:pPr>
              <w:widowControl/>
              <w:rPr>
                <w:rFonts w:ascii="宋体" w:hAnsi="宋体"/>
                <w:color w:val="auto"/>
                <w:szCs w:val="21"/>
              </w:rPr>
            </w:pPr>
            <w:r>
              <w:rPr>
                <w:rFonts w:hint="eastAsia" w:ascii="宋体" w:hAnsi="宋体"/>
                <w:color w:val="auto"/>
                <w:szCs w:val="21"/>
              </w:rPr>
              <w:t>（1）建立蓄水设施；</w:t>
            </w:r>
          </w:p>
          <w:p>
            <w:pPr>
              <w:widowControl/>
              <w:rPr>
                <w:rFonts w:ascii="宋体" w:hAnsi="宋体"/>
                <w:color w:val="auto"/>
                <w:szCs w:val="21"/>
              </w:rPr>
            </w:pPr>
            <w:r>
              <w:rPr>
                <w:rFonts w:hint="eastAsia" w:ascii="宋体" w:hAnsi="宋体"/>
                <w:color w:val="auto"/>
                <w:szCs w:val="21"/>
              </w:rPr>
              <w:t>（2）配备相应的灭火器材；</w:t>
            </w:r>
          </w:p>
          <w:p>
            <w:pPr>
              <w:widowControl/>
              <w:rPr>
                <w:rFonts w:ascii="宋体" w:hAnsi="宋体"/>
                <w:color w:val="auto"/>
                <w:szCs w:val="21"/>
              </w:rPr>
            </w:pPr>
            <w:r>
              <w:rPr>
                <w:rFonts w:hint="eastAsia" w:ascii="宋体" w:hAnsi="宋体"/>
                <w:color w:val="auto"/>
                <w:szCs w:val="21"/>
              </w:rPr>
              <w:t>（3）完善矿区的供水系统及供水设施。</w:t>
            </w:r>
          </w:p>
        </w:tc>
      </w:tr>
    </w:tbl>
    <w:p>
      <w:pPr>
        <w:widowControl/>
        <w:spacing w:line="500" w:lineRule="exact"/>
        <w:ind w:firstLine="480" w:firstLineChars="200"/>
        <w:rPr>
          <w:rFonts w:ascii="宋体" w:hAnsi="宋体"/>
          <w:color w:val="auto"/>
          <w:sz w:val="24"/>
        </w:rPr>
      </w:pPr>
      <w:r>
        <w:rPr>
          <w:rFonts w:hint="eastAsia" w:ascii="宋体" w:hAnsi="宋体"/>
          <w:color w:val="auto"/>
          <w:sz w:val="24"/>
        </w:rPr>
        <w:t>评价结果：存在的危险有害因素为坍塌滑坡、车辆伤害、火灾。主要防治的为坍塌滑坡。</w:t>
      </w:r>
    </w:p>
    <w:p>
      <w:pPr>
        <w:rPr>
          <w:rFonts w:hint="eastAsia" w:ascii="宋体" w:hAnsi="宋体"/>
          <w:color w:val="auto"/>
          <w:kern w:val="28"/>
          <w:sz w:val="28"/>
          <w:szCs w:val="28"/>
        </w:rPr>
      </w:pPr>
      <w:r>
        <w:rPr>
          <w:rFonts w:hint="eastAsia" w:ascii="宋体" w:hAnsi="宋体"/>
          <w:color w:val="auto"/>
          <w:kern w:val="28"/>
          <w:sz w:val="28"/>
          <w:szCs w:val="28"/>
        </w:rPr>
        <w:br w:type="page"/>
      </w:r>
    </w:p>
    <w:p>
      <w:pPr>
        <w:pStyle w:val="5"/>
        <w:keepLines w:val="0"/>
        <w:widowControl/>
        <w:spacing w:before="120" w:after="120" w:line="500" w:lineRule="exact"/>
        <w:rPr>
          <w:rFonts w:hint="eastAsia"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7</w:t>
      </w:r>
      <w:r>
        <w:rPr>
          <w:rFonts w:hint="eastAsia" w:ascii="宋体" w:hAnsi="宋体"/>
          <w:color w:val="auto"/>
          <w:kern w:val="28"/>
          <w:sz w:val="28"/>
          <w:szCs w:val="28"/>
        </w:rPr>
        <w:t>.</w:t>
      </w:r>
      <w:r>
        <w:rPr>
          <w:rFonts w:ascii="宋体" w:hAnsi="宋体"/>
          <w:color w:val="auto"/>
          <w:kern w:val="28"/>
          <w:sz w:val="28"/>
          <w:szCs w:val="28"/>
        </w:rPr>
        <w:t>2</w:t>
      </w:r>
      <w:r>
        <w:rPr>
          <w:rFonts w:hint="eastAsia" w:ascii="宋体" w:hAnsi="宋体"/>
          <w:color w:val="auto"/>
          <w:kern w:val="28"/>
          <w:sz w:val="28"/>
          <w:szCs w:val="28"/>
        </w:rPr>
        <w:t>防排水单元建议</w:t>
      </w:r>
    </w:p>
    <w:p>
      <w:pPr>
        <w:spacing w:line="500" w:lineRule="exact"/>
        <w:ind w:firstLine="480" w:firstLineChars="200"/>
        <w:rPr>
          <w:rFonts w:ascii="宋体" w:hAnsi="宋体"/>
          <w:bCs/>
          <w:color w:val="auto"/>
          <w:sz w:val="24"/>
        </w:rPr>
      </w:pPr>
      <w:r>
        <w:rPr>
          <w:rFonts w:hint="eastAsia" w:ascii="宋体" w:hAnsi="宋体"/>
          <w:bCs/>
          <w:color w:val="auto"/>
          <w:sz w:val="24"/>
        </w:rPr>
        <w:t>矿区总排水沟设计参照《开发建设项目水土保持方案技术规范》设计标准10年一遇，清水洪峰流量按下式计算：</w:t>
      </w:r>
    </w:p>
    <w:p>
      <w:pPr>
        <w:ind w:firstLine="480" w:firstLineChars="200"/>
        <w:rPr>
          <w:rFonts w:ascii="宋体" w:hAnsi="宋体" w:cs="宋体"/>
          <w:color w:val="auto"/>
          <w:sz w:val="24"/>
        </w:rPr>
      </w:pPr>
      <w:r>
        <w:rPr>
          <w:rFonts w:hint="eastAsia" w:ascii="宋体" w:hAnsi="宋体" w:cs="宋体"/>
          <w:color w:val="auto"/>
          <w:sz w:val="24"/>
        </w:rPr>
        <w:object>
          <v:shape id="_x0000_i1025" o:spt="75" type="#_x0000_t75" style="height:101.45pt;width:324.8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p>
      <w:pPr>
        <w:spacing w:line="500" w:lineRule="exact"/>
        <w:ind w:firstLine="480" w:firstLineChars="200"/>
        <w:rPr>
          <w:rFonts w:ascii="宋体" w:hAnsi="宋体" w:cs="宋体"/>
          <w:color w:val="auto"/>
          <w:sz w:val="24"/>
          <w:vertAlign w:val="superscript"/>
        </w:rPr>
      </w:pPr>
      <w:r>
        <w:rPr>
          <w:rFonts w:hint="eastAsia" w:ascii="宋体" w:hAnsi="宋体" w:cs="宋体"/>
          <w:color w:val="auto"/>
          <w:sz w:val="24"/>
        </w:rPr>
        <w:t>上式中，</w:t>
      </w:r>
      <w:r>
        <w:rPr>
          <w:rFonts w:hint="eastAsia" w:ascii="宋体" w:hAnsi="宋体" w:cs="宋体"/>
          <w:color w:val="auto"/>
          <w:sz w:val="24"/>
        </w:rPr>
        <w:object>
          <v:shape id="_x0000_i1026" o:spt="75" type="#_x0000_t75" style="height:19.65pt;width:13.1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ascii="宋体" w:hAnsi="宋体"/>
          <w:color w:val="auto"/>
          <w:sz w:val="24"/>
        </w:rPr>
        <w:t>取0.6，</w:t>
      </w:r>
      <w:r>
        <w:rPr>
          <w:rFonts w:hint="eastAsia" w:ascii="宋体" w:hAnsi="宋体" w:cs="宋体"/>
          <w:color w:val="auto"/>
          <w:sz w:val="24"/>
        </w:rPr>
        <w:t>根据气象资料，降雨强度</w:t>
      </w:r>
      <w:r>
        <w:rPr>
          <w:rFonts w:hint="eastAsia" w:ascii="宋体" w:hAnsi="宋体" w:cs="宋体"/>
          <w:color w:val="auto"/>
          <w:sz w:val="24"/>
        </w:rPr>
        <w:object>
          <v:shape id="_x0000_i1027" o:spt="75" type="#_x0000_t75" style="height:17.2pt;width:7.3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ascii="宋体" w:hAnsi="宋体"/>
          <w:color w:val="auto"/>
          <w:sz w:val="24"/>
        </w:rPr>
        <w:t>取8.94mm/h；</w:t>
      </w:r>
      <w:r>
        <w:rPr>
          <w:rFonts w:ascii="宋体" w:hAnsi="宋体"/>
          <w:color w:val="auto"/>
          <w:sz w:val="24"/>
        </w:rPr>
        <w:object>
          <v:shape id="_x0000_i1028" o:spt="75" type="#_x0000_t75" style="height:13.9pt;width:13.9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ascii="宋体" w:hAnsi="宋体"/>
          <w:color w:val="auto"/>
          <w:sz w:val="24"/>
        </w:rPr>
        <w:t>=0.279km</w:t>
      </w:r>
      <w:r>
        <w:rPr>
          <w:rFonts w:ascii="宋体" w:hAnsi="宋体"/>
          <w:color w:val="auto"/>
          <w:sz w:val="24"/>
          <w:vertAlign w:val="superscript"/>
        </w:rPr>
        <w:t>2</w:t>
      </w:r>
    </w:p>
    <w:p>
      <w:pPr>
        <w:spacing w:line="500" w:lineRule="exact"/>
        <w:ind w:firstLine="480" w:firstLineChars="200"/>
        <w:rPr>
          <w:rFonts w:ascii="宋体" w:hAnsi="宋体" w:cs="宋体"/>
          <w:color w:val="auto"/>
          <w:sz w:val="24"/>
        </w:rPr>
      </w:pPr>
      <w:r>
        <w:rPr>
          <w:rFonts w:hint="eastAsia" w:ascii="宋体" w:hAnsi="宋体" w:cs="宋体"/>
          <w:color w:val="auto"/>
          <w:sz w:val="24"/>
        </w:rPr>
        <w:t>代入上式，有</w:t>
      </w:r>
    </w:p>
    <w:p>
      <w:pPr>
        <w:spacing w:line="500" w:lineRule="exact"/>
        <w:ind w:firstLine="480" w:firstLineChars="200"/>
        <w:rPr>
          <w:rFonts w:ascii="宋体" w:hAnsi="宋体" w:cs="宋体"/>
          <w:color w:val="auto"/>
          <w:sz w:val="24"/>
        </w:rPr>
      </w:pPr>
      <w:r>
        <w:rPr>
          <w:rFonts w:hint="eastAsia" w:ascii="宋体" w:hAnsi="宋体" w:cs="宋体"/>
          <w:color w:val="auto"/>
          <w:sz w:val="24"/>
        </w:rPr>
        <w:object>
          <v:shape id="_x0000_i1029" o:spt="75" type="#_x0000_t75" style="height:22.1pt;width:329.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p>
    <w:p>
      <w:pPr>
        <w:spacing w:line="500" w:lineRule="exact"/>
        <w:ind w:firstLine="480" w:firstLineChars="200"/>
        <w:rPr>
          <w:rFonts w:ascii="宋体" w:hAnsi="宋体"/>
          <w:color w:val="auto"/>
          <w:sz w:val="24"/>
        </w:rPr>
      </w:pPr>
      <w:r>
        <w:rPr>
          <w:rFonts w:hint="eastAsia" w:ascii="宋体" w:hAnsi="宋体"/>
          <w:color w:val="auto"/>
          <w:sz w:val="24"/>
        </w:rPr>
        <w:t>《可行性研究报告》建议</w:t>
      </w:r>
      <w:r>
        <w:rPr>
          <w:rFonts w:ascii="宋体" w:hAnsi="宋体"/>
          <w:color w:val="auto"/>
          <w:sz w:val="24"/>
        </w:rPr>
        <w:t>矿山下游总排水沟设计为矩形断面，排水沟宽1.0m，深1</w:t>
      </w:r>
      <w:r>
        <w:rPr>
          <w:rFonts w:hint="eastAsia" w:ascii="宋体" w:hAnsi="宋体"/>
          <w:color w:val="auto"/>
          <w:sz w:val="24"/>
        </w:rPr>
        <w:t>.0</w:t>
      </w:r>
      <w:r>
        <w:rPr>
          <w:rFonts w:ascii="宋体" w:hAnsi="宋体"/>
          <w:color w:val="auto"/>
          <w:sz w:val="24"/>
        </w:rPr>
        <w:t>m。</w:t>
      </w:r>
    </w:p>
    <w:p>
      <w:pPr>
        <w:pStyle w:val="25"/>
        <w:widowControl/>
        <w:spacing w:line="500" w:lineRule="exact"/>
        <w:ind w:firstLine="480"/>
        <w:rPr>
          <w:color w:val="auto"/>
          <w:sz w:val="24"/>
        </w:rPr>
      </w:pPr>
      <w:r>
        <w:rPr>
          <w:color w:val="auto"/>
          <w:sz w:val="24"/>
        </w:rPr>
        <w:t>矿区内汇水泥沙含量较高，必需设置沉砂池进行水处理——主要是沉淀泥砂、澄清水质。根据环保要求，矿区废水排放指标应达到泥沙含量不大于500g/m³。</w:t>
      </w:r>
    </w:p>
    <w:p>
      <w:pPr>
        <w:pStyle w:val="25"/>
        <w:widowControl/>
        <w:spacing w:line="500" w:lineRule="exact"/>
        <w:ind w:firstLine="480"/>
        <w:rPr>
          <w:rFonts w:hint="eastAsia"/>
          <w:color w:val="auto"/>
          <w:sz w:val="24"/>
        </w:rPr>
      </w:pPr>
      <w:r>
        <w:rPr>
          <w:rFonts w:hint="eastAsia"/>
          <w:color w:val="auto"/>
          <w:sz w:val="24"/>
        </w:rPr>
        <w:t>建议下步安全设施设计计算拟设置的排水沟与当地最大涌水量是否匹配。</w:t>
      </w:r>
    </w:p>
    <w:p>
      <w:pPr>
        <w:widowControl/>
        <w:spacing w:line="500" w:lineRule="exact"/>
        <w:ind w:firstLine="480" w:firstLineChars="200"/>
        <w:rPr>
          <w:rFonts w:ascii="宋体" w:hAnsi="宋体"/>
          <w:color w:val="auto"/>
          <w:sz w:val="24"/>
        </w:rPr>
      </w:pPr>
      <w:r>
        <w:rPr>
          <w:rFonts w:hint="eastAsia" w:ascii="宋体" w:hAnsi="宋体"/>
          <w:color w:val="auto"/>
          <w:sz w:val="24"/>
        </w:rPr>
        <w:t>《可行性研究报告》拟在距离采场边界</w:t>
      </w:r>
      <w:r>
        <w:rPr>
          <w:rFonts w:ascii="宋体" w:hAnsi="宋体"/>
          <w:color w:val="auto"/>
          <w:sz w:val="24"/>
        </w:rPr>
        <w:t>5-10</w:t>
      </w:r>
      <w:r>
        <w:rPr>
          <w:rFonts w:hint="eastAsia" w:ascii="宋体" w:hAnsi="宋体"/>
          <w:color w:val="auto"/>
          <w:sz w:val="24"/>
        </w:rPr>
        <w:t>m挖掘截洪沟，建议企业与相关部门协商，完成征地工作。</w:t>
      </w:r>
    </w:p>
    <w:p>
      <w:pPr>
        <w:pStyle w:val="4"/>
        <w:keepLines w:val="0"/>
        <w:spacing w:before="120" w:after="120" w:line="500" w:lineRule="exact"/>
        <w:jc w:val="left"/>
        <w:rPr>
          <w:rFonts w:ascii="宋体" w:hAnsi="宋体" w:eastAsia="宋体"/>
          <w:b/>
          <w:bCs w:val="0"/>
          <w:color w:val="auto"/>
          <w:sz w:val="28"/>
          <w:szCs w:val="28"/>
        </w:rPr>
      </w:pPr>
      <w:bookmarkStart w:id="195" w:name="_Toc503172419"/>
      <w:bookmarkStart w:id="196" w:name="_Toc142758815"/>
      <w:bookmarkStart w:id="197" w:name="_Toc150262782"/>
      <w:bookmarkStart w:id="198" w:name="_Toc21511329"/>
      <w:r>
        <w:rPr>
          <w:rFonts w:hint="eastAsia" w:ascii="宋体" w:hAnsi="宋体" w:eastAsia="宋体"/>
          <w:b/>
          <w:bCs w:val="0"/>
          <w:color w:val="auto"/>
          <w:sz w:val="28"/>
          <w:szCs w:val="28"/>
        </w:rPr>
        <w:t>3.</w:t>
      </w:r>
      <w:r>
        <w:rPr>
          <w:rFonts w:ascii="宋体" w:hAnsi="宋体" w:eastAsia="宋体"/>
          <w:b/>
          <w:bCs w:val="0"/>
          <w:color w:val="auto"/>
          <w:sz w:val="28"/>
          <w:szCs w:val="28"/>
        </w:rPr>
        <w:t>8</w:t>
      </w:r>
      <w:r>
        <w:rPr>
          <w:rFonts w:hint="eastAsia" w:ascii="宋体" w:hAnsi="宋体" w:eastAsia="宋体"/>
          <w:b/>
          <w:bCs w:val="0"/>
          <w:color w:val="auto"/>
          <w:sz w:val="28"/>
          <w:szCs w:val="28"/>
        </w:rPr>
        <w:t>排土场单元评价</w:t>
      </w:r>
      <w:bookmarkEnd w:id="195"/>
      <w:bookmarkEnd w:id="196"/>
      <w:bookmarkEnd w:id="197"/>
    </w:p>
    <w:p>
      <w:pPr>
        <w:adjustRightInd w:val="0"/>
        <w:snapToGrid w:val="0"/>
        <w:spacing w:line="500" w:lineRule="exact"/>
        <w:ind w:firstLine="480" w:firstLineChars="200"/>
        <w:rPr>
          <w:rFonts w:ascii="宋体" w:hAnsi="宋体"/>
          <w:color w:val="auto"/>
          <w:sz w:val="24"/>
        </w:rPr>
      </w:pPr>
      <w:r>
        <w:rPr>
          <w:rFonts w:hint="eastAsia" w:ascii="宋体" w:hAnsi="宋体"/>
          <w:color w:val="auto"/>
          <w:sz w:val="24"/>
        </w:rPr>
        <w:t>1）对排土场单元采用预先危险性分析方法评价，详见表3</w:t>
      </w:r>
      <w:r>
        <w:rPr>
          <w:rFonts w:ascii="宋体" w:hAnsi="宋体"/>
          <w:color w:val="auto"/>
          <w:sz w:val="24"/>
        </w:rPr>
        <w:t>-8</w:t>
      </w:r>
      <w:r>
        <w:rPr>
          <w:rFonts w:hint="eastAsia" w:ascii="宋体" w:hAnsi="宋体"/>
          <w:color w:val="auto"/>
          <w:sz w:val="24"/>
        </w:rPr>
        <w:t>。</w:t>
      </w:r>
    </w:p>
    <w:p>
      <w:pPr>
        <w:rPr>
          <w:rFonts w:hint="eastAsia" w:ascii="宋体" w:hAnsi="宋体"/>
          <w:b/>
          <w:color w:val="auto"/>
          <w:sz w:val="24"/>
        </w:rPr>
      </w:pPr>
      <w:bookmarkStart w:id="199" w:name="_Hlk502915061"/>
      <w:r>
        <w:rPr>
          <w:rFonts w:hint="eastAsia" w:ascii="宋体" w:hAnsi="宋体"/>
          <w:b/>
          <w:color w:val="auto"/>
          <w:sz w:val="24"/>
        </w:rPr>
        <w:br w:type="page"/>
      </w:r>
    </w:p>
    <w:p>
      <w:pPr>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 xml:space="preserve">3-8 </w:t>
      </w:r>
      <w:r>
        <w:rPr>
          <w:rFonts w:hint="eastAsia" w:ascii="宋体" w:hAnsi="宋体"/>
          <w:b/>
          <w:color w:val="auto"/>
          <w:sz w:val="24"/>
        </w:rPr>
        <w:t>排土场单元预先危险性分析表</w:t>
      </w:r>
    </w:p>
    <w:tbl>
      <w:tblPr>
        <w:tblStyle w:val="41"/>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35"/>
        <w:gridCol w:w="907"/>
        <w:gridCol w:w="4823"/>
        <w:gridCol w:w="1077"/>
        <w:gridCol w:w="1077"/>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794" w:type="dxa"/>
            <w:vAlign w:val="center"/>
          </w:tcPr>
          <w:p>
            <w:pPr>
              <w:jc w:val="center"/>
              <w:rPr>
                <w:rFonts w:ascii="宋体" w:hAnsi="宋体"/>
                <w:b/>
                <w:color w:val="auto"/>
                <w:szCs w:val="21"/>
              </w:rPr>
            </w:pPr>
            <w:r>
              <w:rPr>
                <w:rFonts w:hint="eastAsia" w:ascii="宋体" w:hAnsi="宋体"/>
                <w:b/>
                <w:color w:val="auto"/>
                <w:szCs w:val="21"/>
              </w:rPr>
              <w:t>序号</w:t>
            </w:r>
          </w:p>
        </w:tc>
        <w:tc>
          <w:tcPr>
            <w:tcW w:w="1135" w:type="dxa"/>
            <w:vAlign w:val="center"/>
          </w:tcPr>
          <w:p>
            <w:pPr>
              <w:jc w:val="center"/>
              <w:rPr>
                <w:rFonts w:ascii="宋体" w:hAnsi="宋体"/>
                <w:b/>
                <w:color w:val="auto"/>
                <w:szCs w:val="21"/>
              </w:rPr>
            </w:pPr>
            <w:r>
              <w:rPr>
                <w:rFonts w:hint="eastAsia" w:ascii="宋体" w:hAnsi="宋体"/>
                <w:b/>
                <w:color w:val="auto"/>
                <w:szCs w:val="21"/>
              </w:rPr>
              <w:t>主要危险源位置</w:t>
            </w:r>
          </w:p>
        </w:tc>
        <w:tc>
          <w:tcPr>
            <w:tcW w:w="907" w:type="dxa"/>
            <w:vAlign w:val="center"/>
          </w:tcPr>
          <w:p>
            <w:pPr>
              <w:jc w:val="center"/>
              <w:rPr>
                <w:rFonts w:ascii="宋体" w:hAnsi="宋体"/>
                <w:b/>
                <w:color w:val="auto"/>
                <w:szCs w:val="21"/>
              </w:rPr>
            </w:pPr>
            <w:r>
              <w:rPr>
                <w:rFonts w:hint="eastAsia" w:ascii="宋体" w:hAnsi="宋体"/>
                <w:b/>
                <w:color w:val="auto"/>
                <w:szCs w:val="21"/>
              </w:rPr>
              <w:t>潜在事故类型</w:t>
            </w:r>
          </w:p>
        </w:tc>
        <w:tc>
          <w:tcPr>
            <w:tcW w:w="4823" w:type="dxa"/>
            <w:vAlign w:val="center"/>
          </w:tcPr>
          <w:p>
            <w:pPr>
              <w:jc w:val="center"/>
              <w:rPr>
                <w:rFonts w:ascii="宋体" w:hAnsi="宋体"/>
                <w:b/>
                <w:color w:val="auto"/>
                <w:szCs w:val="21"/>
              </w:rPr>
            </w:pPr>
            <w:r>
              <w:rPr>
                <w:rFonts w:hint="eastAsia" w:ascii="宋体" w:hAnsi="宋体"/>
                <w:b/>
                <w:color w:val="auto"/>
                <w:szCs w:val="21"/>
              </w:rPr>
              <w:t>触发条件</w:t>
            </w:r>
          </w:p>
        </w:tc>
        <w:tc>
          <w:tcPr>
            <w:tcW w:w="1077" w:type="dxa"/>
            <w:vAlign w:val="center"/>
          </w:tcPr>
          <w:p>
            <w:pPr>
              <w:jc w:val="center"/>
              <w:rPr>
                <w:rFonts w:ascii="宋体" w:hAnsi="宋体"/>
                <w:b/>
                <w:color w:val="auto"/>
                <w:szCs w:val="21"/>
              </w:rPr>
            </w:pPr>
            <w:r>
              <w:rPr>
                <w:rFonts w:hint="eastAsia" w:ascii="宋体" w:hAnsi="宋体"/>
                <w:b/>
                <w:color w:val="auto"/>
                <w:szCs w:val="21"/>
              </w:rPr>
              <w:t>可能导致的后果</w:t>
            </w:r>
          </w:p>
        </w:tc>
        <w:tc>
          <w:tcPr>
            <w:tcW w:w="1077" w:type="dxa"/>
            <w:vAlign w:val="center"/>
          </w:tcPr>
          <w:p>
            <w:pPr>
              <w:jc w:val="center"/>
              <w:rPr>
                <w:rFonts w:ascii="宋体" w:hAnsi="宋体"/>
                <w:b/>
                <w:color w:val="auto"/>
                <w:szCs w:val="21"/>
              </w:rPr>
            </w:pPr>
            <w:r>
              <w:rPr>
                <w:rFonts w:hint="eastAsia" w:ascii="宋体" w:hAnsi="宋体"/>
                <w:b/>
                <w:color w:val="auto"/>
                <w:szCs w:val="21"/>
              </w:rPr>
              <w:t>危险性等级</w:t>
            </w:r>
          </w:p>
        </w:tc>
        <w:tc>
          <w:tcPr>
            <w:tcW w:w="4483" w:type="dxa"/>
            <w:vAlign w:val="center"/>
          </w:tcPr>
          <w:p>
            <w:pPr>
              <w:jc w:val="center"/>
              <w:rPr>
                <w:rFonts w:ascii="宋体" w:hAnsi="宋体"/>
                <w:b/>
                <w:color w:val="auto"/>
                <w:szCs w:val="21"/>
              </w:rPr>
            </w:pPr>
            <w:r>
              <w:rPr>
                <w:rFonts w:hint="eastAsia" w:ascii="宋体" w:hAnsi="宋体"/>
                <w:b/>
                <w:color w:val="auto"/>
                <w:szCs w:val="21"/>
              </w:rPr>
              <w:t>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94" w:type="dxa"/>
            <w:vAlign w:val="center"/>
          </w:tcPr>
          <w:p>
            <w:pPr>
              <w:jc w:val="center"/>
              <w:rPr>
                <w:rFonts w:ascii="宋体" w:hAnsi="宋体"/>
                <w:color w:val="auto"/>
                <w:szCs w:val="21"/>
              </w:rPr>
            </w:pPr>
            <w:r>
              <w:rPr>
                <w:rFonts w:hint="eastAsia" w:ascii="宋体" w:hAnsi="宋体"/>
                <w:color w:val="auto"/>
                <w:szCs w:val="21"/>
              </w:rPr>
              <w:t>1</w:t>
            </w:r>
          </w:p>
        </w:tc>
        <w:tc>
          <w:tcPr>
            <w:tcW w:w="1135" w:type="dxa"/>
            <w:vAlign w:val="center"/>
          </w:tcPr>
          <w:p>
            <w:pPr>
              <w:jc w:val="center"/>
              <w:rPr>
                <w:rFonts w:ascii="宋体" w:hAnsi="宋体"/>
                <w:color w:val="auto"/>
                <w:szCs w:val="21"/>
              </w:rPr>
            </w:pPr>
            <w:r>
              <w:rPr>
                <w:rFonts w:hint="eastAsia" w:ascii="宋体" w:hAnsi="宋体"/>
                <w:color w:val="auto"/>
                <w:szCs w:val="21"/>
              </w:rPr>
              <w:t>排土场边坡</w:t>
            </w:r>
          </w:p>
        </w:tc>
        <w:tc>
          <w:tcPr>
            <w:tcW w:w="907" w:type="dxa"/>
            <w:vAlign w:val="center"/>
          </w:tcPr>
          <w:p>
            <w:pPr>
              <w:jc w:val="center"/>
              <w:rPr>
                <w:rFonts w:ascii="宋体" w:hAnsi="宋体"/>
                <w:color w:val="auto"/>
                <w:szCs w:val="21"/>
              </w:rPr>
            </w:pPr>
            <w:r>
              <w:rPr>
                <w:rFonts w:hint="eastAsia" w:ascii="宋体" w:hAnsi="宋体"/>
                <w:color w:val="auto"/>
                <w:szCs w:val="21"/>
              </w:rPr>
              <w:t>坍塌、滑坡</w:t>
            </w:r>
          </w:p>
        </w:tc>
        <w:tc>
          <w:tcPr>
            <w:tcW w:w="4823" w:type="dxa"/>
            <w:vAlign w:val="center"/>
          </w:tcPr>
          <w:p>
            <w:pPr>
              <w:rPr>
                <w:rFonts w:ascii="宋体" w:hAnsi="宋体"/>
                <w:color w:val="auto"/>
                <w:szCs w:val="21"/>
              </w:rPr>
            </w:pPr>
            <w:r>
              <w:rPr>
                <w:rFonts w:hint="eastAsia" w:ascii="宋体" w:hAnsi="宋体"/>
                <w:color w:val="auto"/>
                <w:szCs w:val="21"/>
              </w:rPr>
              <w:t>（1）堆填过高。</w:t>
            </w:r>
          </w:p>
          <w:p>
            <w:pPr>
              <w:rPr>
                <w:rFonts w:ascii="宋体" w:hAnsi="宋体"/>
                <w:color w:val="auto"/>
                <w:szCs w:val="21"/>
              </w:rPr>
            </w:pPr>
            <w:r>
              <w:rPr>
                <w:rFonts w:hint="eastAsia" w:ascii="宋体" w:hAnsi="宋体"/>
                <w:color w:val="auto"/>
                <w:szCs w:val="21"/>
              </w:rPr>
              <w:t>（2）截排水设施不完善或缺失。</w:t>
            </w:r>
          </w:p>
          <w:p>
            <w:pPr>
              <w:rPr>
                <w:rFonts w:ascii="宋体" w:hAnsi="宋体"/>
                <w:color w:val="auto"/>
                <w:szCs w:val="21"/>
              </w:rPr>
            </w:pPr>
            <w:r>
              <w:rPr>
                <w:rFonts w:hint="eastAsia" w:ascii="宋体" w:hAnsi="宋体"/>
                <w:color w:val="auto"/>
                <w:szCs w:val="21"/>
              </w:rPr>
              <w:t>（3）作业参数设计缺陷。</w:t>
            </w:r>
          </w:p>
          <w:p>
            <w:pPr>
              <w:rPr>
                <w:rFonts w:ascii="宋体" w:hAnsi="宋体"/>
                <w:color w:val="auto"/>
                <w:szCs w:val="21"/>
              </w:rPr>
            </w:pPr>
            <w:r>
              <w:rPr>
                <w:rFonts w:hint="eastAsia" w:ascii="宋体" w:hAnsi="宋体"/>
                <w:color w:val="auto"/>
                <w:szCs w:val="21"/>
              </w:rPr>
              <w:t>（4）违章进行堆排作业。</w:t>
            </w:r>
          </w:p>
        </w:tc>
        <w:tc>
          <w:tcPr>
            <w:tcW w:w="1077" w:type="dxa"/>
            <w:vAlign w:val="center"/>
          </w:tcPr>
          <w:p>
            <w:pPr>
              <w:jc w:val="center"/>
              <w:rPr>
                <w:rFonts w:ascii="宋体" w:hAnsi="宋体"/>
                <w:color w:val="auto"/>
                <w:szCs w:val="21"/>
              </w:rPr>
            </w:pPr>
            <w:r>
              <w:rPr>
                <w:rFonts w:hint="eastAsia" w:ascii="宋体" w:hAnsi="宋体"/>
                <w:color w:val="auto"/>
                <w:szCs w:val="21"/>
              </w:rPr>
              <w:t>人员重大伤亡、设备损坏</w:t>
            </w:r>
          </w:p>
        </w:tc>
        <w:tc>
          <w:tcPr>
            <w:tcW w:w="1077" w:type="dxa"/>
            <w:vAlign w:val="center"/>
          </w:tcPr>
          <w:p>
            <w:pPr>
              <w:jc w:val="center"/>
              <w:rPr>
                <w:rFonts w:ascii="宋体" w:hAnsi="宋体"/>
                <w:color w:val="auto"/>
                <w:szCs w:val="21"/>
              </w:rPr>
            </w:pPr>
            <w:r>
              <w:rPr>
                <w:rFonts w:hint="eastAsia" w:ascii="宋体" w:hAnsi="宋体"/>
                <w:color w:val="auto"/>
                <w:szCs w:val="21"/>
              </w:rPr>
              <w:t>Ⅳ</w:t>
            </w:r>
          </w:p>
        </w:tc>
        <w:tc>
          <w:tcPr>
            <w:tcW w:w="4483" w:type="dxa"/>
            <w:vAlign w:val="center"/>
          </w:tcPr>
          <w:p>
            <w:pPr>
              <w:rPr>
                <w:rFonts w:ascii="宋体" w:hAnsi="宋体"/>
                <w:color w:val="auto"/>
                <w:szCs w:val="21"/>
              </w:rPr>
            </w:pPr>
            <w:r>
              <w:rPr>
                <w:rFonts w:hint="eastAsia" w:ascii="宋体" w:hAnsi="宋体"/>
                <w:color w:val="auto"/>
                <w:szCs w:val="21"/>
              </w:rPr>
              <w:t>（1）按设计参数堆排。</w:t>
            </w:r>
          </w:p>
          <w:p>
            <w:pPr>
              <w:rPr>
                <w:rFonts w:ascii="宋体" w:hAnsi="宋体"/>
                <w:color w:val="auto"/>
                <w:szCs w:val="21"/>
              </w:rPr>
            </w:pPr>
            <w:r>
              <w:rPr>
                <w:rFonts w:hint="eastAsia" w:ascii="宋体" w:hAnsi="宋体"/>
                <w:color w:val="auto"/>
                <w:szCs w:val="21"/>
              </w:rPr>
              <w:t>（2）按设计设置截排水设施。</w:t>
            </w:r>
          </w:p>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）由有资质的设计单位进行设计，并建立监测系统观察。</w:t>
            </w:r>
          </w:p>
          <w:p>
            <w:pPr>
              <w:rPr>
                <w:rFonts w:ascii="宋体" w:hAnsi="宋体"/>
                <w:color w:val="auto"/>
                <w:szCs w:val="21"/>
              </w:rPr>
            </w:pPr>
            <w:r>
              <w:rPr>
                <w:rFonts w:hint="eastAsia" w:ascii="宋体" w:hAnsi="宋体"/>
                <w:color w:val="auto"/>
                <w:szCs w:val="21"/>
              </w:rPr>
              <w:t xml:space="preserve">（4）按作业安全规程作业。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94" w:type="dxa"/>
            <w:vMerge w:val="restart"/>
            <w:vAlign w:val="center"/>
          </w:tcPr>
          <w:p>
            <w:pPr>
              <w:jc w:val="center"/>
              <w:rPr>
                <w:rFonts w:ascii="宋体" w:hAnsi="宋体"/>
                <w:color w:val="auto"/>
                <w:szCs w:val="21"/>
              </w:rPr>
            </w:pPr>
            <w:r>
              <w:rPr>
                <w:rFonts w:hint="eastAsia" w:ascii="宋体" w:hAnsi="宋体"/>
                <w:color w:val="auto"/>
                <w:szCs w:val="21"/>
              </w:rPr>
              <w:t>2</w:t>
            </w:r>
          </w:p>
        </w:tc>
        <w:tc>
          <w:tcPr>
            <w:tcW w:w="1135" w:type="dxa"/>
            <w:vMerge w:val="restart"/>
            <w:vAlign w:val="center"/>
          </w:tcPr>
          <w:p>
            <w:pPr>
              <w:jc w:val="center"/>
              <w:rPr>
                <w:rFonts w:ascii="宋体" w:hAnsi="宋体"/>
                <w:color w:val="auto"/>
                <w:szCs w:val="21"/>
              </w:rPr>
            </w:pPr>
            <w:r>
              <w:rPr>
                <w:rFonts w:hint="eastAsia" w:ascii="宋体" w:hAnsi="宋体"/>
                <w:color w:val="auto"/>
                <w:szCs w:val="21"/>
              </w:rPr>
              <w:t>作业面</w:t>
            </w:r>
          </w:p>
        </w:tc>
        <w:tc>
          <w:tcPr>
            <w:tcW w:w="907" w:type="dxa"/>
            <w:vAlign w:val="center"/>
          </w:tcPr>
          <w:p>
            <w:pPr>
              <w:jc w:val="center"/>
              <w:rPr>
                <w:rFonts w:ascii="宋体" w:hAnsi="宋体"/>
                <w:color w:val="auto"/>
                <w:szCs w:val="21"/>
              </w:rPr>
            </w:pPr>
            <w:r>
              <w:rPr>
                <w:rFonts w:hint="eastAsia" w:ascii="宋体" w:hAnsi="宋体"/>
                <w:color w:val="auto"/>
                <w:szCs w:val="21"/>
              </w:rPr>
              <w:t>车辆伤害</w:t>
            </w:r>
          </w:p>
        </w:tc>
        <w:tc>
          <w:tcPr>
            <w:tcW w:w="4823" w:type="dxa"/>
            <w:vAlign w:val="center"/>
          </w:tcPr>
          <w:p>
            <w:pPr>
              <w:rPr>
                <w:rFonts w:ascii="宋体" w:hAnsi="宋体"/>
                <w:color w:val="auto"/>
                <w:szCs w:val="21"/>
              </w:rPr>
            </w:pPr>
            <w:r>
              <w:rPr>
                <w:rFonts w:hint="eastAsia" w:ascii="宋体" w:hAnsi="宋体"/>
                <w:color w:val="auto"/>
                <w:szCs w:val="21"/>
              </w:rPr>
              <w:t>（1）误操作，堆排作业时过于接近边缘。</w:t>
            </w:r>
          </w:p>
          <w:p>
            <w:pPr>
              <w:rPr>
                <w:rFonts w:ascii="宋体" w:hAnsi="宋体"/>
                <w:color w:val="auto"/>
                <w:szCs w:val="21"/>
              </w:rPr>
            </w:pPr>
            <w:r>
              <w:rPr>
                <w:rFonts w:hint="eastAsia" w:ascii="宋体" w:hAnsi="宋体"/>
                <w:color w:val="auto"/>
                <w:szCs w:val="21"/>
              </w:rPr>
              <w:t>（2）无反坡、无安全堤、车速快</w:t>
            </w:r>
          </w:p>
          <w:p>
            <w:pPr>
              <w:rPr>
                <w:rFonts w:ascii="宋体" w:hAnsi="宋体"/>
                <w:color w:val="auto"/>
                <w:szCs w:val="21"/>
              </w:rPr>
            </w:pPr>
            <w:r>
              <w:rPr>
                <w:rFonts w:hint="eastAsia" w:ascii="宋体" w:hAnsi="宋体"/>
                <w:color w:val="auto"/>
                <w:szCs w:val="21"/>
              </w:rPr>
              <w:t>（3）无人指挥。</w:t>
            </w:r>
          </w:p>
        </w:tc>
        <w:tc>
          <w:tcPr>
            <w:tcW w:w="1077" w:type="dxa"/>
            <w:vAlign w:val="center"/>
          </w:tcPr>
          <w:p>
            <w:pPr>
              <w:jc w:val="center"/>
              <w:rPr>
                <w:rFonts w:ascii="宋体" w:hAnsi="宋体"/>
                <w:color w:val="auto"/>
                <w:szCs w:val="21"/>
              </w:rPr>
            </w:pPr>
            <w:r>
              <w:rPr>
                <w:rFonts w:hint="eastAsia" w:ascii="宋体" w:hAnsi="宋体"/>
                <w:color w:val="auto"/>
                <w:szCs w:val="21"/>
              </w:rPr>
              <w:t>人员伤亡、设备损坏</w:t>
            </w:r>
          </w:p>
        </w:tc>
        <w:tc>
          <w:tcPr>
            <w:tcW w:w="1077" w:type="dxa"/>
            <w:vAlign w:val="center"/>
          </w:tcPr>
          <w:p>
            <w:pPr>
              <w:jc w:val="center"/>
              <w:rPr>
                <w:rFonts w:ascii="宋体" w:hAnsi="宋体"/>
                <w:color w:val="auto"/>
                <w:szCs w:val="21"/>
              </w:rPr>
            </w:pPr>
            <w:r>
              <w:rPr>
                <w:rFonts w:hint="eastAsia" w:ascii="宋体" w:hAnsi="宋体"/>
                <w:color w:val="auto"/>
                <w:szCs w:val="21"/>
              </w:rPr>
              <w:t>Ⅲ</w:t>
            </w:r>
          </w:p>
        </w:tc>
        <w:tc>
          <w:tcPr>
            <w:tcW w:w="4483" w:type="dxa"/>
            <w:vAlign w:val="center"/>
          </w:tcPr>
          <w:p>
            <w:pPr>
              <w:rPr>
                <w:rFonts w:ascii="宋体" w:hAnsi="宋体"/>
                <w:color w:val="auto"/>
                <w:szCs w:val="21"/>
              </w:rPr>
            </w:pPr>
            <w:r>
              <w:rPr>
                <w:rFonts w:hint="eastAsia" w:ascii="宋体" w:hAnsi="宋体"/>
                <w:color w:val="auto"/>
                <w:szCs w:val="21"/>
              </w:rPr>
              <w:t>（1）设挡车堤。</w:t>
            </w:r>
          </w:p>
          <w:p>
            <w:pPr>
              <w:rPr>
                <w:rFonts w:ascii="宋体" w:hAnsi="宋体"/>
                <w:color w:val="auto"/>
                <w:szCs w:val="21"/>
              </w:rPr>
            </w:pPr>
            <w:r>
              <w:rPr>
                <w:rFonts w:hint="eastAsia" w:ascii="宋体" w:hAnsi="宋体"/>
                <w:color w:val="auto"/>
                <w:szCs w:val="21"/>
              </w:rPr>
              <w:t>（2）工作面设反坡。</w:t>
            </w:r>
          </w:p>
          <w:p>
            <w:pPr>
              <w:rPr>
                <w:rFonts w:ascii="宋体" w:hAnsi="宋体"/>
                <w:color w:val="auto"/>
                <w:szCs w:val="21"/>
              </w:rPr>
            </w:pPr>
            <w:r>
              <w:rPr>
                <w:rFonts w:hint="eastAsia" w:ascii="宋体" w:hAnsi="宋体"/>
                <w:color w:val="auto"/>
                <w:szCs w:val="21"/>
              </w:rPr>
              <w:t>（3）专人指挥。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94" w:type="dxa"/>
            <w:vMerge w:val="continue"/>
            <w:vAlign w:val="center"/>
          </w:tcPr>
          <w:p>
            <w:pPr>
              <w:jc w:val="center"/>
              <w:rPr>
                <w:rFonts w:ascii="宋体" w:hAnsi="宋体"/>
                <w:color w:val="auto"/>
                <w:szCs w:val="21"/>
              </w:rPr>
            </w:pPr>
          </w:p>
        </w:tc>
        <w:tc>
          <w:tcPr>
            <w:tcW w:w="1135" w:type="dxa"/>
            <w:vMerge w:val="continue"/>
            <w:vAlign w:val="center"/>
          </w:tcPr>
          <w:p>
            <w:pPr>
              <w:jc w:val="center"/>
              <w:rPr>
                <w:rFonts w:ascii="宋体" w:hAnsi="宋体"/>
                <w:color w:val="auto"/>
                <w:szCs w:val="21"/>
              </w:rPr>
            </w:pPr>
          </w:p>
        </w:tc>
        <w:tc>
          <w:tcPr>
            <w:tcW w:w="907" w:type="dxa"/>
            <w:vAlign w:val="center"/>
          </w:tcPr>
          <w:p>
            <w:pPr>
              <w:jc w:val="center"/>
              <w:rPr>
                <w:rFonts w:ascii="宋体" w:hAnsi="宋体"/>
                <w:color w:val="auto"/>
                <w:szCs w:val="21"/>
              </w:rPr>
            </w:pPr>
            <w:r>
              <w:rPr>
                <w:rFonts w:hint="eastAsia" w:ascii="宋体" w:hAnsi="宋体"/>
                <w:color w:val="auto"/>
                <w:szCs w:val="21"/>
              </w:rPr>
              <w:t>高处坠落</w:t>
            </w:r>
          </w:p>
        </w:tc>
        <w:tc>
          <w:tcPr>
            <w:tcW w:w="4823" w:type="dxa"/>
            <w:vAlign w:val="center"/>
          </w:tcPr>
          <w:p>
            <w:pPr>
              <w:rPr>
                <w:rFonts w:ascii="宋体" w:hAnsi="宋体"/>
                <w:color w:val="auto"/>
                <w:szCs w:val="21"/>
              </w:rPr>
            </w:pPr>
            <w:r>
              <w:rPr>
                <w:rFonts w:hint="eastAsia" w:ascii="宋体" w:hAnsi="宋体"/>
                <w:color w:val="auto"/>
                <w:szCs w:val="21"/>
              </w:rPr>
              <w:t>（1）人员违反现场管理规定。</w:t>
            </w:r>
          </w:p>
          <w:p>
            <w:pPr>
              <w:rPr>
                <w:rFonts w:ascii="宋体" w:hAnsi="宋体"/>
                <w:color w:val="auto"/>
                <w:szCs w:val="21"/>
              </w:rPr>
            </w:pPr>
            <w:r>
              <w:rPr>
                <w:rFonts w:hint="eastAsia" w:ascii="宋体" w:hAnsi="宋体"/>
                <w:color w:val="auto"/>
                <w:szCs w:val="21"/>
              </w:rPr>
              <w:t>（2）现场无人监督指挥。</w:t>
            </w:r>
          </w:p>
        </w:tc>
        <w:tc>
          <w:tcPr>
            <w:tcW w:w="1077" w:type="dxa"/>
            <w:vAlign w:val="center"/>
          </w:tcPr>
          <w:p>
            <w:pPr>
              <w:jc w:val="center"/>
              <w:rPr>
                <w:rFonts w:ascii="宋体" w:hAnsi="宋体"/>
                <w:color w:val="auto"/>
                <w:szCs w:val="21"/>
              </w:rPr>
            </w:pPr>
            <w:r>
              <w:rPr>
                <w:rFonts w:hint="eastAsia" w:ascii="宋体" w:hAnsi="宋体"/>
                <w:color w:val="auto"/>
                <w:szCs w:val="21"/>
              </w:rPr>
              <w:t>人员伤亡、设备损坏</w:t>
            </w:r>
          </w:p>
        </w:tc>
        <w:tc>
          <w:tcPr>
            <w:tcW w:w="1077" w:type="dxa"/>
            <w:vAlign w:val="center"/>
          </w:tcPr>
          <w:p>
            <w:pPr>
              <w:jc w:val="center"/>
              <w:rPr>
                <w:rFonts w:ascii="宋体" w:hAnsi="宋体"/>
                <w:color w:val="auto"/>
                <w:szCs w:val="21"/>
              </w:rPr>
            </w:pPr>
            <w:r>
              <w:rPr>
                <w:rFonts w:hint="eastAsia" w:ascii="宋体" w:hAnsi="宋体"/>
                <w:color w:val="auto"/>
                <w:szCs w:val="21"/>
              </w:rPr>
              <w:t>Ⅲ</w:t>
            </w:r>
          </w:p>
        </w:tc>
        <w:tc>
          <w:tcPr>
            <w:tcW w:w="4483" w:type="dxa"/>
            <w:vAlign w:val="center"/>
          </w:tcPr>
          <w:p>
            <w:pPr>
              <w:rPr>
                <w:rFonts w:ascii="宋体" w:hAnsi="宋体"/>
                <w:color w:val="auto"/>
                <w:szCs w:val="21"/>
              </w:rPr>
            </w:pPr>
            <w:r>
              <w:rPr>
                <w:rFonts w:hint="eastAsia" w:ascii="宋体" w:hAnsi="宋体"/>
                <w:color w:val="auto"/>
                <w:szCs w:val="21"/>
              </w:rPr>
              <w:t>（1）加强现场作业管理。</w:t>
            </w:r>
          </w:p>
          <w:p>
            <w:pPr>
              <w:rPr>
                <w:rFonts w:ascii="宋体" w:hAnsi="宋体"/>
                <w:color w:val="auto"/>
                <w:szCs w:val="21"/>
              </w:rPr>
            </w:pPr>
            <w:r>
              <w:rPr>
                <w:rFonts w:hint="eastAsia" w:ascii="宋体" w:hAnsi="宋体"/>
                <w:color w:val="auto"/>
                <w:szCs w:val="21"/>
              </w:rPr>
              <w:t>（2）作业时专人指挥。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4" w:type="dxa"/>
            <w:vMerge w:val="continue"/>
            <w:vAlign w:val="center"/>
          </w:tcPr>
          <w:p>
            <w:pPr>
              <w:jc w:val="center"/>
              <w:rPr>
                <w:rFonts w:ascii="宋体" w:hAnsi="宋体"/>
                <w:color w:val="auto"/>
                <w:szCs w:val="21"/>
              </w:rPr>
            </w:pPr>
          </w:p>
        </w:tc>
        <w:tc>
          <w:tcPr>
            <w:tcW w:w="1135" w:type="dxa"/>
            <w:vMerge w:val="continue"/>
            <w:vAlign w:val="center"/>
          </w:tcPr>
          <w:p>
            <w:pPr>
              <w:jc w:val="center"/>
              <w:rPr>
                <w:rFonts w:ascii="宋体" w:hAnsi="宋体"/>
                <w:color w:val="auto"/>
                <w:szCs w:val="21"/>
              </w:rPr>
            </w:pPr>
          </w:p>
        </w:tc>
        <w:tc>
          <w:tcPr>
            <w:tcW w:w="907" w:type="dxa"/>
            <w:vAlign w:val="center"/>
          </w:tcPr>
          <w:p>
            <w:pPr>
              <w:jc w:val="center"/>
              <w:rPr>
                <w:rFonts w:ascii="宋体" w:hAnsi="宋体"/>
                <w:color w:val="auto"/>
                <w:szCs w:val="21"/>
              </w:rPr>
            </w:pPr>
            <w:r>
              <w:rPr>
                <w:rFonts w:hint="eastAsia" w:ascii="宋体" w:hAnsi="宋体"/>
                <w:color w:val="auto"/>
                <w:szCs w:val="21"/>
              </w:rPr>
              <w:t>物体打击</w:t>
            </w:r>
          </w:p>
        </w:tc>
        <w:tc>
          <w:tcPr>
            <w:tcW w:w="4823" w:type="dxa"/>
            <w:vAlign w:val="center"/>
          </w:tcPr>
          <w:p>
            <w:pPr>
              <w:rPr>
                <w:rFonts w:ascii="宋体" w:hAnsi="宋体"/>
                <w:color w:val="auto"/>
                <w:szCs w:val="21"/>
              </w:rPr>
            </w:pPr>
            <w:r>
              <w:rPr>
                <w:rFonts w:hint="eastAsia" w:ascii="宋体" w:hAnsi="宋体"/>
                <w:color w:val="auto"/>
                <w:szCs w:val="21"/>
              </w:rPr>
              <w:t>边坡的浮石、危石未及时清理。</w:t>
            </w:r>
          </w:p>
        </w:tc>
        <w:tc>
          <w:tcPr>
            <w:tcW w:w="1077" w:type="dxa"/>
            <w:vAlign w:val="center"/>
          </w:tcPr>
          <w:p>
            <w:pPr>
              <w:jc w:val="center"/>
              <w:rPr>
                <w:rFonts w:ascii="宋体" w:hAnsi="宋体"/>
                <w:color w:val="auto"/>
                <w:szCs w:val="21"/>
              </w:rPr>
            </w:pPr>
            <w:r>
              <w:rPr>
                <w:rFonts w:hint="eastAsia" w:ascii="宋体" w:hAnsi="宋体"/>
                <w:color w:val="auto"/>
                <w:szCs w:val="21"/>
              </w:rPr>
              <w:t>人员伤亡</w:t>
            </w:r>
          </w:p>
        </w:tc>
        <w:tc>
          <w:tcPr>
            <w:tcW w:w="1077" w:type="dxa"/>
            <w:vAlign w:val="center"/>
          </w:tcPr>
          <w:p>
            <w:pPr>
              <w:jc w:val="center"/>
              <w:rPr>
                <w:rFonts w:ascii="宋体" w:hAnsi="宋体"/>
                <w:color w:val="auto"/>
                <w:szCs w:val="21"/>
              </w:rPr>
            </w:pPr>
            <w:r>
              <w:rPr>
                <w:rFonts w:hint="eastAsia" w:ascii="宋体" w:hAnsi="宋体"/>
                <w:color w:val="auto"/>
                <w:szCs w:val="21"/>
              </w:rPr>
              <w:t>Ⅲ</w:t>
            </w:r>
          </w:p>
        </w:tc>
        <w:tc>
          <w:tcPr>
            <w:tcW w:w="4483" w:type="dxa"/>
            <w:vAlign w:val="center"/>
          </w:tcPr>
          <w:p>
            <w:pPr>
              <w:rPr>
                <w:rFonts w:ascii="宋体" w:hAnsi="宋体"/>
                <w:color w:val="auto"/>
                <w:szCs w:val="21"/>
              </w:rPr>
            </w:pPr>
            <w:r>
              <w:rPr>
                <w:rFonts w:hint="eastAsia" w:ascii="宋体" w:hAnsi="宋体"/>
                <w:color w:val="auto"/>
                <w:szCs w:val="21"/>
              </w:rPr>
              <w:t>及时清理排土场边坡的浮石、危石。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94" w:type="dxa"/>
            <w:vAlign w:val="center"/>
          </w:tcPr>
          <w:p>
            <w:pPr>
              <w:jc w:val="center"/>
              <w:rPr>
                <w:rFonts w:ascii="宋体" w:hAnsi="宋体"/>
                <w:color w:val="auto"/>
                <w:szCs w:val="21"/>
              </w:rPr>
            </w:pPr>
            <w:r>
              <w:rPr>
                <w:rFonts w:hint="eastAsia" w:ascii="宋体" w:hAnsi="宋体"/>
                <w:color w:val="auto"/>
                <w:szCs w:val="21"/>
              </w:rPr>
              <w:t>3</w:t>
            </w:r>
          </w:p>
        </w:tc>
        <w:tc>
          <w:tcPr>
            <w:tcW w:w="1135" w:type="dxa"/>
            <w:vAlign w:val="center"/>
          </w:tcPr>
          <w:p>
            <w:pPr>
              <w:jc w:val="center"/>
              <w:rPr>
                <w:rFonts w:ascii="宋体" w:hAnsi="宋体"/>
                <w:color w:val="auto"/>
                <w:szCs w:val="21"/>
              </w:rPr>
            </w:pPr>
            <w:r>
              <w:rPr>
                <w:rFonts w:hint="eastAsia" w:ascii="宋体" w:hAnsi="宋体"/>
                <w:color w:val="auto"/>
                <w:szCs w:val="21"/>
              </w:rPr>
              <w:t>排土场</w:t>
            </w:r>
          </w:p>
        </w:tc>
        <w:tc>
          <w:tcPr>
            <w:tcW w:w="907" w:type="dxa"/>
            <w:vAlign w:val="center"/>
          </w:tcPr>
          <w:p>
            <w:pPr>
              <w:jc w:val="center"/>
              <w:rPr>
                <w:rFonts w:ascii="宋体" w:hAnsi="宋体"/>
                <w:color w:val="auto"/>
                <w:szCs w:val="21"/>
              </w:rPr>
            </w:pPr>
            <w:r>
              <w:rPr>
                <w:rFonts w:hint="eastAsia" w:ascii="宋体" w:hAnsi="宋体"/>
                <w:color w:val="auto"/>
                <w:szCs w:val="21"/>
              </w:rPr>
              <w:t>淹溺</w:t>
            </w:r>
          </w:p>
        </w:tc>
        <w:tc>
          <w:tcPr>
            <w:tcW w:w="4823" w:type="dxa"/>
            <w:vAlign w:val="center"/>
          </w:tcPr>
          <w:p>
            <w:pPr>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）违章作业或误操作。</w:t>
            </w:r>
          </w:p>
          <w:p>
            <w:pPr>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）底部鱼塘周边无安全设施与安全警示标志。</w:t>
            </w:r>
          </w:p>
        </w:tc>
        <w:tc>
          <w:tcPr>
            <w:tcW w:w="1077" w:type="dxa"/>
            <w:vAlign w:val="center"/>
          </w:tcPr>
          <w:p>
            <w:pPr>
              <w:ind w:left="-67" w:leftChars="-32" w:right="-107" w:rightChars="-51"/>
              <w:jc w:val="center"/>
              <w:rPr>
                <w:rFonts w:ascii="宋体" w:hAnsi="宋体"/>
                <w:color w:val="auto"/>
                <w:szCs w:val="21"/>
              </w:rPr>
            </w:pPr>
            <w:r>
              <w:rPr>
                <w:rFonts w:hint="eastAsia" w:ascii="宋体" w:hAnsi="宋体"/>
                <w:color w:val="auto"/>
                <w:szCs w:val="21"/>
              </w:rPr>
              <w:t>人员伤亡</w:t>
            </w:r>
          </w:p>
          <w:p>
            <w:pPr>
              <w:jc w:val="center"/>
              <w:rPr>
                <w:rFonts w:ascii="宋体" w:hAnsi="宋体"/>
                <w:color w:val="auto"/>
                <w:szCs w:val="21"/>
              </w:rPr>
            </w:pPr>
            <w:r>
              <w:rPr>
                <w:rFonts w:hint="eastAsia" w:ascii="宋体" w:hAnsi="宋体"/>
                <w:color w:val="auto"/>
                <w:szCs w:val="21"/>
              </w:rPr>
              <w:t>财产损失</w:t>
            </w:r>
          </w:p>
        </w:tc>
        <w:tc>
          <w:tcPr>
            <w:tcW w:w="1077" w:type="dxa"/>
            <w:vAlign w:val="center"/>
          </w:tcPr>
          <w:p>
            <w:pPr>
              <w:jc w:val="center"/>
              <w:rPr>
                <w:rFonts w:ascii="宋体" w:hAnsi="宋体"/>
                <w:color w:val="auto"/>
                <w:szCs w:val="21"/>
              </w:rPr>
            </w:pPr>
            <w:r>
              <w:rPr>
                <w:rFonts w:hint="eastAsia" w:ascii="宋体" w:hAnsi="宋体"/>
                <w:color w:val="auto"/>
                <w:szCs w:val="21"/>
              </w:rPr>
              <w:t>Ⅲ</w:t>
            </w:r>
          </w:p>
        </w:tc>
        <w:tc>
          <w:tcPr>
            <w:tcW w:w="4483" w:type="dxa"/>
            <w:vAlign w:val="center"/>
          </w:tcPr>
          <w:p>
            <w:pPr>
              <w:autoSpaceDE w:val="0"/>
              <w:autoSpaceDN w:val="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）加强人员管理，杜绝违章作业和误操作；</w:t>
            </w:r>
          </w:p>
          <w:p>
            <w:pPr>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）底部鱼塘周边设安全设施与安全警示标志。</w:t>
            </w:r>
          </w:p>
        </w:tc>
      </w:tr>
      <w:bookmarkEnd w:id="199"/>
    </w:tbl>
    <w:p>
      <w:pPr>
        <w:rPr>
          <w:rFonts w:hint="eastAsia"/>
          <w:color w:val="auto"/>
          <w:sz w:val="24"/>
        </w:rPr>
      </w:pPr>
      <w:r>
        <w:rPr>
          <w:rFonts w:hint="eastAsia"/>
          <w:color w:val="auto"/>
          <w:sz w:val="24"/>
        </w:rPr>
        <w:br w:type="page"/>
      </w:r>
    </w:p>
    <w:p>
      <w:pPr>
        <w:pStyle w:val="25"/>
        <w:spacing w:line="500" w:lineRule="exact"/>
        <w:ind w:firstLine="480"/>
        <w:rPr>
          <w:color w:val="auto"/>
          <w:sz w:val="24"/>
        </w:rPr>
      </w:pPr>
      <w:r>
        <w:rPr>
          <w:rFonts w:hint="eastAsia"/>
          <w:color w:val="auto"/>
          <w:sz w:val="24"/>
        </w:rPr>
        <w:t>2）采用专家评议法对排土场评价</w:t>
      </w:r>
    </w:p>
    <w:p>
      <w:pPr>
        <w:pStyle w:val="25"/>
        <w:spacing w:line="500" w:lineRule="exact"/>
        <w:ind w:firstLine="480"/>
        <w:rPr>
          <w:color w:val="auto"/>
          <w:sz w:val="24"/>
        </w:rPr>
      </w:pPr>
      <w:r>
        <w:rPr>
          <w:rFonts w:hint="eastAsia"/>
          <w:color w:val="auto"/>
          <w:sz w:val="24"/>
        </w:rPr>
        <w:t>（1）选址</w:t>
      </w:r>
    </w:p>
    <w:p>
      <w:pPr>
        <w:pStyle w:val="25"/>
        <w:spacing w:line="500" w:lineRule="exact"/>
        <w:ind w:firstLine="480"/>
        <w:rPr>
          <w:color w:val="auto"/>
          <w:sz w:val="24"/>
        </w:rPr>
      </w:pPr>
      <w:r>
        <w:rPr>
          <w:rFonts w:hint="eastAsia"/>
          <w:color w:val="auto"/>
          <w:sz w:val="24"/>
        </w:rPr>
        <w:t>根据</w:t>
      </w:r>
      <w:r>
        <w:rPr>
          <w:color w:val="auto"/>
          <w:sz w:val="24"/>
        </w:rPr>
        <w:t>可行性研究报告，</w:t>
      </w:r>
      <w:r>
        <w:rPr>
          <w:rFonts w:hint="eastAsia"/>
          <w:color w:val="auto"/>
          <w:sz w:val="24"/>
        </w:rPr>
        <w:t>矿山现有排土场位于矿体外东面山窝。现场勘查时，矿山排土场已按原开发利用方案要求进行了建设，但无拦挡坝、截排水沟，排土场未复绿。</w:t>
      </w:r>
    </w:p>
    <w:p>
      <w:pPr>
        <w:pStyle w:val="25"/>
        <w:spacing w:line="500" w:lineRule="exact"/>
        <w:ind w:firstLine="480"/>
        <w:rPr>
          <w:color w:val="auto"/>
          <w:sz w:val="24"/>
        </w:rPr>
      </w:pPr>
      <w:r>
        <w:rPr>
          <w:rFonts w:hint="eastAsia"/>
          <w:color w:val="auto"/>
          <w:sz w:val="24"/>
        </w:rPr>
        <w:t>根据测量资料，排土场上部标高为+298m，下部标高为+256m，为山坡型排土场，一个排土台阶，台阶高度为42m。弃土量约为7.47万m³。排土场边坡现状较稳定</w:t>
      </w:r>
      <w:r>
        <w:rPr>
          <w:color w:val="auto"/>
          <w:sz w:val="24"/>
        </w:rPr>
        <w:t>。</w:t>
      </w:r>
    </w:p>
    <w:p>
      <w:pPr>
        <w:spacing w:line="500" w:lineRule="exact"/>
        <w:ind w:firstLine="480" w:firstLineChars="200"/>
        <w:rPr>
          <w:rFonts w:ascii="宋体" w:hAnsi="宋体"/>
          <w:color w:val="auto"/>
          <w:kern w:val="24"/>
          <w:sz w:val="24"/>
        </w:rPr>
      </w:pPr>
      <w:r>
        <w:rPr>
          <w:rFonts w:hint="eastAsia" w:ascii="宋体" w:hAnsi="宋体"/>
          <w:color w:val="auto"/>
          <w:kern w:val="24"/>
          <w:sz w:val="24"/>
        </w:rPr>
        <w:t>根据可行性研究报告，</w:t>
      </w:r>
      <w:r>
        <w:rPr>
          <w:rFonts w:hint="eastAsia" w:ascii="宋体" w:hAnsi="宋体"/>
          <w:color w:val="auto"/>
          <w:sz w:val="24"/>
        </w:rPr>
        <w:t>矿山前期已完成矿体剥离，剥离量为0。本次设计不再新增弃土量。设计对排土场按规程要求进行完善，在排土场下游建设拦挡坝、沉淀池，在排土场周边设置截排水沟，对坡面进行复绿。</w:t>
      </w:r>
    </w:p>
    <w:p>
      <w:pPr>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）建议下一步设计对排土场进行稳定性分析。</w:t>
      </w:r>
    </w:p>
    <w:p>
      <w:pPr>
        <w:spacing w:line="500" w:lineRule="exact"/>
        <w:ind w:firstLine="480" w:firstLineChars="200"/>
        <w:rPr>
          <w:rFonts w:ascii="宋体" w:hAnsi="宋体"/>
          <w:color w:val="auto"/>
          <w:sz w:val="24"/>
        </w:rPr>
      </w:pPr>
      <w:r>
        <w:rPr>
          <w:rFonts w:hint="eastAsia" w:ascii="宋体" w:hAnsi="宋体"/>
          <w:color w:val="auto"/>
          <w:sz w:val="24"/>
        </w:rPr>
        <w:t>3）该矿山不属于有色金属矿山，建议排土场排水根据《金属非金属矿山安全规程》的相关要求进行设计。</w:t>
      </w:r>
    </w:p>
    <w:p>
      <w:pPr>
        <w:pStyle w:val="4"/>
        <w:keepLines w:val="0"/>
        <w:widowControl/>
        <w:spacing w:before="120" w:after="120" w:line="500" w:lineRule="exact"/>
        <w:rPr>
          <w:rFonts w:ascii="宋体" w:hAnsi="宋体" w:eastAsia="宋体"/>
          <w:b/>
          <w:bCs w:val="0"/>
          <w:color w:val="auto"/>
          <w:kern w:val="28"/>
          <w:sz w:val="28"/>
          <w:szCs w:val="28"/>
        </w:rPr>
      </w:pPr>
      <w:bookmarkStart w:id="200" w:name="_Toc150262783"/>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9</w:t>
      </w:r>
      <w:r>
        <w:rPr>
          <w:rFonts w:hint="eastAsia" w:ascii="宋体" w:hAnsi="宋体" w:eastAsia="宋体"/>
          <w:b/>
          <w:bCs w:val="0"/>
          <w:color w:val="auto"/>
          <w:kern w:val="28"/>
          <w:sz w:val="28"/>
          <w:szCs w:val="28"/>
        </w:rPr>
        <w:t>安全管理及其他单元评价</w:t>
      </w:r>
      <w:bookmarkEnd w:id="198"/>
      <w:bookmarkEnd w:id="200"/>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.9.1</w:t>
      </w:r>
      <w:r>
        <w:rPr>
          <w:rFonts w:hint="eastAsia" w:ascii="宋体" w:hAnsi="宋体"/>
          <w:color w:val="auto"/>
          <w:kern w:val="28"/>
          <w:sz w:val="28"/>
          <w:szCs w:val="28"/>
        </w:rPr>
        <w:t>安全管理</w:t>
      </w:r>
    </w:p>
    <w:p>
      <w:pPr>
        <w:widowControl/>
        <w:spacing w:line="500" w:lineRule="exact"/>
        <w:ind w:firstLine="480" w:firstLineChars="200"/>
        <w:rPr>
          <w:rFonts w:ascii="宋体" w:hAnsi="宋体"/>
          <w:color w:val="auto"/>
          <w:sz w:val="24"/>
        </w:rPr>
      </w:pPr>
      <w:r>
        <w:rPr>
          <w:rFonts w:hint="eastAsia" w:ascii="宋体" w:hAnsi="宋体"/>
          <w:color w:val="auto"/>
          <w:sz w:val="24"/>
        </w:rPr>
        <w:t>该矿山为扩建矿山，但已停采多年，建议下步按相关法律法规建立相应的安全生产责任制、安全生产规章制度以及相应的操作规程，设置安全生产管理机构，并配备专职安全生产管理人员，聘请注册安全工程师。</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3.</w:t>
      </w:r>
      <w:r>
        <w:rPr>
          <w:rFonts w:ascii="宋体" w:hAnsi="宋体"/>
          <w:color w:val="auto"/>
          <w:kern w:val="28"/>
          <w:sz w:val="28"/>
          <w:szCs w:val="28"/>
        </w:rPr>
        <w:t>9.2</w:t>
      </w:r>
      <w:r>
        <w:rPr>
          <w:rFonts w:hint="eastAsia" w:ascii="宋体" w:hAnsi="宋体"/>
          <w:color w:val="auto"/>
          <w:kern w:val="28"/>
          <w:sz w:val="28"/>
          <w:szCs w:val="28"/>
        </w:rPr>
        <w:t>职业危害</w:t>
      </w:r>
      <w:r>
        <w:rPr>
          <w:rFonts w:ascii="宋体" w:hAnsi="宋体"/>
          <w:color w:val="auto"/>
          <w:kern w:val="28"/>
          <w:sz w:val="28"/>
          <w:szCs w:val="28"/>
        </w:rPr>
        <w:t>子</w:t>
      </w:r>
      <w:r>
        <w:rPr>
          <w:rFonts w:hint="eastAsia" w:ascii="宋体" w:hAnsi="宋体"/>
          <w:color w:val="auto"/>
          <w:kern w:val="28"/>
          <w:sz w:val="28"/>
          <w:szCs w:val="28"/>
        </w:rPr>
        <w:t>单元评价</w:t>
      </w:r>
    </w:p>
    <w:p>
      <w:pPr>
        <w:rPr>
          <w:rFonts w:hint="eastAsia" w:ascii="宋体" w:hAnsi="宋体"/>
          <w:b/>
          <w:color w:val="auto"/>
          <w:sz w:val="24"/>
        </w:rPr>
      </w:pPr>
      <w:r>
        <w:rPr>
          <w:rFonts w:hint="eastAsia" w:ascii="宋体" w:hAnsi="宋体"/>
          <w:b/>
          <w:color w:val="auto"/>
          <w:sz w:val="24"/>
        </w:rPr>
        <w:br w:type="page"/>
      </w:r>
    </w:p>
    <w:p>
      <w:pPr>
        <w:widowControl/>
        <w:spacing w:line="500" w:lineRule="exact"/>
        <w:jc w:val="center"/>
        <w:outlineLvl w:val="4"/>
        <w:rPr>
          <w:rFonts w:ascii="宋体" w:hAnsi="宋体"/>
          <w:b/>
          <w:color w:val="auto"/>
          <w:sz w:val="24"/>
        </w:rPr>
      </w:pPr>
      <w:r>
        <w:rPr>
          <w:rFonts w:hint="eastAsia" w:ascii="宋体" w:hAnsi="宋体"/>
          <w:b/>
          <w:color w:val="auto"/>
          <w:sz w:val="24"/>
        </w:rPr>
        <w:t>表</w:t>
      </w:r>
      <w:r>
        <w:rPr>
          <w:rFonts w:ascii="宋体" w:hAnsi="宋体"/>
          <w:b/>
          <w:color w:val="auto"/>
          <w:sz w:val="24"/>
        </w:rPr>
        <w:t>3</w:t>
      </w:r>
      <w:r>
        <w:rPr>
          <w:rFonts w:hint="eastAsia" w:ascii="宋体" w:hAnsi="宋体"/>
          <w:b/>
          <w:color w:val="auto"/>
          <w:sz w:val="24"/>
        </w:rPr>
        <w:t>-</w:t>
      </w:r>
      <w:r>
        <w:rPr>
          <w:rFonts w:ascii="宋体" w:hAnsi="宋体"/>
          <w:b/>
          <w:color w:val="auto"/>
          <w:sz w:val="24"/>
        </w:rPr>
        <w:t xml:space="preserve">9 </w:t>
      </w:r>
      <w:r>
        <w:rPr>
          <w:rFonts w:hint="eastAsia" w:ascii="宋体" w:hAnsi="宋体"/>
          <w:b/>
          <w:color w:val="auto"/>
          <w:sz w:val="24"/>
        </w:rPr>
        <w:t>职业危害</w:t>
      </w:r>
      <w:r>
        <w:rPr>
          <w:rFonts w:ascii="宋体" w:hAnsi="宋体"/>
          <w:b/>
          <w:color w:val="auto"/>
          <w:sz w:val="24"/>
        </w:rPr>
        <w:t>子</w:t>
      </w:r>
      <w:r>
        <w:rPr>
          <w:rFonts w:hint="eastAsia" w:ascii="宋体" w:hAnsi="宋体"/>
          <w:b/>
          <w:color w:val="auto"/>
          <w:sz w:val="24"/>
        </w:rPr>
        <w:t>预先危险性分析表</w:t>
      </w:r>
    </w:p>
    <w:tbl>
      <w:tblPr>
        <w:tblStyle w:val="41"/>
        <w:tblW w:w="14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34"/>
        <w:gridCol w:w="907"/>
        <w:gridCol w:w="4819"/>
        <w:gridCol w:w="1077"/>
        <w:gridCol w:w="1077"/>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4" w:type="dxa"/>
            <w:vAlign w:val="center"/>
          </w:tcPr>
          <w:p>
            <w:pPr>
              <w:widowControl/>
              <w:jc w:val="center"/>
              <w:rPr>
                <w:rFonts w:ascii="宋体" w:hAnsi="宋体"/>
                <w:b/>
                <w:color w:val="auto"/>
                <w:szCs w:val="21"/>
              </w:rPr>
            </w:pPr>
            <w:r>
              <w:rPr>
                <w:rFonts w:hint="eastAsia" w:ascii="宋体" w:hAnsi="宋体"/>
                <w:b/>
                <w:color w:val="auto"/>
                <w:szCs w:val="21"/>
              </w:rPr>
              <w:t>序号</w:t>
            </w:r>
          </w:p>
        </w:tc>
        <w:tc>
          <w:tcPr>
            <w:tcW w:w="1134" w:type="dxa"/>
            <w:vAlign w:val="center"/>
          </w:tcPr>
          <w:p>
            <w:pPr>
              <w:widowControl/>
              <w:jc w:val="center"/>
              <w:rPr>
                <w:rFonts w:ascii="宋体" w:hAnsi="宋体"/>
                <w:b/>
                <w:color w:val="auto"/>
                <w:szCs w:val="21"/>
              </w:rPr>
            </w:pPr>
            <w:r>
              <w:rPr>
                <w:rFonts w:hint="eastAsia" w:ascii="宋体" w:hAnsi="宋体"/>
                <w:b/>
                <w:color w:val="auto"/>
                <w:szCs w:val="21"/>
              </w:rPr>
              <w:t>主要危险源位置</w:t>
            </w:r>
          </w:p>
        </w:tc>
        <w:tc>
          <w:tcPr>
            <w:tcW w:w="907" w:type="dxa"/>
            <w:vAlign w:val="center"/>
          </w:tcPr>
          <w:p>
            <w:pPr>
              <w:widowControl/>
              <w:jc w:val="center"/>
              <w:rPr>
                <w:rFonts w:ascii="宋体" w:hAnsi="宋体"/>
                <w:b/>
                <w:color w:val="auto"/>
                <w:szCs w:val="21"/>
              </w:rPr>
            </w:pPr>
            <w:r>
              <w:rPr>
                <w:rFonts w:hint="eastAsia" w:ascii="宋体" w:hAnsi="宋体"/>
                <w:b/>
                <w:color w:val="auto"/>
                <w:szCs w:val="21"/>
              </w:rPr>
              <w:t>潜在事故类型</w:t>
            </w:r>
          </w:p>
        </w:tc>
        <w:tc>
          <w:tcPr>
            <w:tcW w:w="4819" w:type="dxa"/>
            <w:vAlign w:val="center"/>
          </w:tcPr>
          <w:p>
            <w:pPr>
              <w:widowControl/>
              <w:jc w:val="center"/>
              <w:rPr>
                <w:rFonts w:ascii="宋体" w:hAnsi="宋体"/>
                <w:b/>
                <w:color w:val="auto"/>
                <w:szCs w:val="21"/>
              </w:rPr>
            </w:pPr>
            <w:r>
              <w:rPr>
                <w:rFonts w:hint="eastAsia" w:ascii="宋体" w:hAnsi="宋体"/>
                <w:b/>
                <w:color w:val="auto"/>
                <w:szCs w:val="21"/>
              </w:rPr>
              <w:t>触发条件</w:t>
            </w:r>
          </w:p>
        </w:tc>
        <w:tc>
          <w:tcPr>
            <w:tcW w:w="1077" w:type="dxa"/>
            <w:vAlign w:val="center"/>
          </w:tcPr>
          <w:p>
            <w:pPr>
              <w:widowControl/>
              <w:jc w:val="center"/>
              <w:rPr>
                <w:rFonts w:ascii="宋体" w:hAnsi="宋体"/>
                <w:b/>
                <w:color w:val="auto"/>
                <w:szCs w:val="21"/>
              </w:rPr>
            </w:pPr>
            <w:r>
              <w:rPr>
                <w:rFonts w:hint="eastAsia" w:ascii="宋体" w:hAnsi="宋体"/>
                <w:b/>
                <w:color w:val="auto"/>
                <w:szCs w:val="21"/>
              </w:rPr>
              <w:t>可能导致的后果</w:t>
            </w:r>
          </w:p>
        </w:tc>
        <w:tc>
          <w:tcPr>
            <w:tcW w:w="1077" w:type="dxa"/>
            <w:vAlign w:val="center"/>
          </w:tcPr>
          <w:p>
            <w:pPr>
              <w:widowControl/>
              <w:jc w:val="center"/>
              <w:rPr>
                <w:rFonts w:ascii="宋体" w:hAnsi="宋体"/>
                <w:b/>
                <w:color w:val="auto"/>
                <w:szCs w:val="21"/>
              </w:rPr>
            </w:pPr>
            <w:r>
              <w:rPr>
                <w:rFonts w:hint="eastAsia" w:ascii="宋体" w:hAnsi="宋体"/>
                <w:b/>
                <w:color w:val="auto"/>
                <w:szCs w:val="21"/>
              </w:rPr>
              <w:t>危险性等级</w:t>
            </w:r>
          </w:p>
        </w:tc>
        <w:tc>
          <w:tcPr>
            <w:tcW w:w="4479" w:type="dxa"/>
            <w:vAlign w:val="center"/>
          </w:tcPr>
          <w:p>
            <w:pPr>
              <w:widowControl/>
              <w:jc w:val="center"/>
              <w:rPr>
                <w:rFonts w:ascii="宋体" w:hAnsi="宋体"/>
                <w:b/>
                <w:color w:val="auto"/>
                <w:szCs w:val="21"/>
              </w:rPr>
            </w:pPr>
            <w:r>
              <w:rPr>
                <w:rFonts w:hint="eastAsia" w:ascii="宋体" w:hAnsi="宋体"/>
                <w:b/>
                <w:color w:val="auto"/>
                <w:szCs w:val="21"/>
              </w:rPr>
              <w:t>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color w:val="auto"/>
                <w:szCs w:val="21"/>
              </w:rPr>
            </w:pPr>
            <w:r>
              <w:rPr>
                <w:rFonts w:hint="eastAsia" w:ascii="宋体" w:hAnsi="宋体"/>
                <w:color w:val="auto"/>
                <w:szCs w:val="21"/>
              </w:rPr>
              <w:t>1</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采场、排土场、运输道路</w:t>
            </w:r>
          </w:p>
        </w:tc>
        <w:tc>
          <w:tcPr>
            <w:tcW w:w="907" w:type="dxa"/>
            <w:vAlign w:val="center"/>
          </w:tcPr>
          <w:p>
            <w:pPr>
              <w:widowControl/>
              <w:jc w:val="center"/>
              <w:rPr>
                <w:rFonts w:ascii="宋体" w:hAnsi="宋体"/>
                <w:color w:val="auto"/>
                <w:szCs w:val="21"/>
              </w:rPr>
            </w:pPr>
            <w:r>
              <w:rPr>
                <w:rFonts w:hint="eastAsia" w:ascii="宋体" w:hAnsi="宋体"/>
                <w:color w:val="auto"/>
                <w:szCs w:val="21"/>
              </w:rPr>
              <w:t>粉尘</w:t>
            </w:r>
          </w:p>
        </w:tc>
        <w:tc>
          <w:tcPr>
            <w:tcW w:w="4819" w:type="dxa"/>
            <w:vAlign w:val="center"/>
          </w:tcPr>
          <w:p>
            <w:pPr>
              <w:widowControl/>
              <w:rPr>
                <w:rFonts w:ascii="宋体" w:hAnsi="宋体"/>
                <w:color w:val="auto"/>
                <w:szCs w:val="21"/>
              </w:rPr>
            </w:pPr>
            <w:r>
              <w:rPr>
                <w:rFonts w:hint="eastAsia" w:ascii="宋体" w:hAnsi="宋体"/>
                <w:color w:val="auto"/>
                <w:szCs w:val="21"/>
              </w:rPr>
              <w:t>（1）从业人员吸入粉尘。</w:t>
            </w:r>
          </w:p>
          <w:p>
            <w:pPr>
              <w:widowControl/>
              <w:rPr>
                <w:rFonts w:ascii="宋体" w:hAnsi="宋体"/>
                <w:color w:val="auto"/>
                <w:szCs w:val="21"/>
              </w:rPr>
            </w:pPr>
            <w:r>
              <w:rPr>
                <w:rFonts w:hint="eastAsia" w:ascii="宋体" w:hAnsi="宋体"/>
                <w:color w:val="auto"/>
                <w:szCs w:val="21"/>
              </w:rPr>
              <w:t>（2）防尘设施不完善。</w:t>
            </w:r>
          </w:p>
          <w:p>
            <w:pPr>
              <w:widowControl/>
              <w:rPr>
                <w:rFonts w:ascii="宋体" w:hAnsi="宋体"/>
                <w:color w:val="auto"/>
                <w:szCs w:val="21"/>
              </w:rPr>
            </w:pPr>
            <w:r>
              <w:rPr>
                <w:rFonts w:hint="eastAsia" w:ascii="宋体" w:hAnsi="宋体"/>
                <w:color w:val="auto"/>
                <w:szCs w:val="21"/>
              </w:rPr>
              <w:t>（3）没有采取的个体防护措施或采取措施不当。</w:t>
            </w:r>
          </w:p>
        </w:tc>
        <w:tc>
          <w:tcPr>
            <w:tcW w:w="1077" w:type="dxa"/>
            <w:vAlign w:val="center"/>
          </w:tcPr>
          <w:p>
            <w:pPr>
              <w:widowControl/>
              <w:jc w:val="center"/>
              <w:rPr>
                <w:rFonts w:ascii="宋体" w:hAnsi="宋体"/>
                <w:color w:val="auto"/>
                <w:szCs w:val="21"/>
              </w:rPr>
            </w:pPr>
            <w:r>
              <w:rPr>
                <w:rFonts w:hint="eastAsia" w:ascii="宋体" w:hAnsi="宋体"/>
                <w:color w:val="auto"/>
                <w:szCs w:val="21"/>
              </w:rPr>
              <w:t>矽肺病</w:t>
            </w:r>
          </w:p>
        </w:tc>
        <w:tc>
          <w:tcPr>
            <w:tcW w:w="1077" w:type="dxa"/>
            <w:vAlign w:val="center"/>
          </w:tcPr>
          <w:p>
            <w:pPr>
              <w:widowControl/>
              <w:jc w:val="center"/>
              <w:rPr>
                <w:rFonts w:ascii="宋体" w:hAnsi="宋体"/>
                <w:color w:val="auto"/>
                <w:szCs w:val="21"/>
              </w:rPr>
            </w:pPr>
            <w:r>
              <w:rPr>
                <w:rFonts w:hint="eastAsia" w:ascii="宋体" w:hAnsi="宋体"/>
                <w:color w:val="auto"/>
                <w:szCs w:val="21"/>
              </w:rPr>
              <w:t>Ⅲ</w:t>
            </w:r>
          </w:p>
        </w:tc>
        <w:tc>
          <w:tcPr>
            <w:tcW w:w="4479" w:type="dxa"/>
            <w:vAlign w:val="center"/>
          </w:tcPr>
          <w:p>
            <w:pPr>
              <w:widowControl/>
              <w:rPr>
                <w:rFonts w:ascii="宋体" w:hAnsi="宋体"/>
                <w:color w:val="auto"/>
                <w:szCs w:val="21"/>
              </w:rPr>
            </w:pPr>
            <w:r>
              <w:rPr>
                <w:rFonts w:hint="eastAsia" w:ascii="宋体" w:hAnsi="宋体"/>
                <w:color w:val="auto"/>
                <w:szCs w:val="21"/>
              </w:rPr>
              <w:t>（1）利用洒水车对运输道路定期洒水降尘；铲装作业采取洒水降尘。</w:t>
            </w:r>
          </w:p>
          <w:p>
            <w:pPr>
              <w:widowControl/>
              <w:rPr>
                <w:rFonts w:ascii="宋体" w:hAnsi="宋体"/>
                <w:color w:val="auto"/>
                <w:szCs w:val="21"/>
              </w:rPr>
            </w:pPr>
            <w:r>
              <w:rPr>
                <w:rFonts w:hint="eastAsia" w:ascii="宋体" w:hAnsi="宋体"/>
                <w:color w:val="auto"/>
                <w:szCs w:val="21"/>
              </w:rPr>
              <w:t>（2）采取个体防护，按要求配发个体防护用品、从业人员必须正确佩戴个体防护用品。</w:t>
            </w:r>
          </w:p>
          <w:p>
            <w:pPr>
              <w:widowControl/>
              <w:rPr>
                <w:rFonts w:ascii="宋体" w:hAnsi="宋体"/>
                <w:color w:val="auto"/>
                <w:szCs w:val="21"/>
              </w:rPr>
            </w:pPr>
            <w:r>
              <w:rPr>
                <w:rFonts w:hint="eastAsia" w:ascii="宋体" w:hAnsi="宋体"/>
                <w:color w:val="auto"/>
                <w:szCs w:val="21"/>
              </w:rPr>
              <w:t>（3）加强现场安全管理及职业病宣传教育。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color w:val="auto"/>
                <w:szCs w:val="21"/>
              </w:rPr>
            </w:pPr>
            <w:r>
              <w:rPr>
                <w:rFonts w:ascii="宋体" w:hAnsi="宋体"/>
                <w:color w:val="auto"/>
                <w:szCs w:val="21"/>
              </w:rPr>
              <w:t>2</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采场、排土场</w:t>
            </w:r>
          </w:p>
        </w:tc>
        <w:tc>
          <w:tcPr>
            <w:tcW w:w="907" w:type="dxa"/>
            <w:vAlign w:val="center"/>
          </w:tcPr>
          <w:p>
            <w:pPr>
              <w:widowControl/>
              <w:jc w:val="center"/>
              <w:rPr>
                <w:rFonts w:ascii="宋体" w:hAnsi="宋体"/>
                <w:color w:val="auto"/>
                <w:szCs w:val="21"/>
              </w:rPr>
            </w:pPr>
            <w:r>
              <w:rPr>
                <w:rFonts w:hint="eastAsia" w:ascii="宋体" w:hAnsi="宋体"/>
                <w:color w:val="auto"/>
                <w:szCs w:val="21"/>
              </w:rPr>
              <w:t>高温</w:t>
            </w:r>
          </w:p>
          <w:p>
            <w:pPr>
              <w:widowControl/>
              <w:jc w:val="center"/>
              <w:rPr>
                <w:rFonts w:ascii="宋体" w:hAnsi="宋体"/>
                <w:color w:val="auto"/>
                <w:szCs w:val="21"/>
              </w:rPr>
            </w:pPr>
            <w:r>
              <w:rPr>
                <w:rFonts w:hint="eastAsia" w:ascii="宋体" w:hAnsi="宋体"/>
                <w:color w:val="auto"/>
                <w:szCs w:val="21"/>
              </w:rPr>
              <w:t>中暑</w:t>
            </w:r>
          </w:p>
        </w:tc>
        <w:tc>
          <w:tcPr>
            <w:tcW w:w="4819" w:type="dxa"/>
            <w:vAlign w:val="center"/>
          </w:tcPr>
          <w:p>
            <w:pPr>
              <w:widowControl/>
              <w:rPr>
                <w:rFonts w:ascii="宋体" w:hAnsi="宋体"/>
                <w:color w:val="auto"/>
                <w:szCs w:val="21"/>
              </w:rPr>
            </w:pPr>
            <w:r>
              <w:rPr>
                <w:rFonts w:hint="eastAsia" w:ascii="宋体" w:hAnsi="宋体"/>
                <w:color w:val="auto"/>
                <w:szCs w:val="21"/>
              </w:rPr>
              <w:t>（1）夏季长期暴露在阳光下工作。</w:t>
            </w:r>
          </w:p>
          <w:p>
            <w:pPr>
              <w:widowControl/>
              <w:rPr>
                <w:rFonts w:ascii="宋体" w:hAnsi="宋体"/>
                <w:color w:val="auto"/>
                <w:szCs w:val="21"/>
              </w:rPr>
            </w:pPr>
            <w:r>
              <w:rPr>
                <w:rFonts w:hint="eastAsia" w:ascii="宋体" w:hAnsi="宋体"/>
                <w:color w:val="auto"/>
                <w:szCs w:val="21"/>
              </w:rPr>
              <w:t>（2）没有采取适当的防暑措施。</w:t>
            </w:r>
          </w:p>
        </w:tc>
        <w:tc>
          <w:tcPr>
            <w:tcW w:w="1077" w:type="dxa"/>
            <w:vAlign w:val="center"/>
          </w:tcPr>
          <w:p>
            <w:pPr>
              <w:widowControl/>
              <w:jc w:val="center"/>
              <w:rPr>
                <w:rFonts w:ascii="宋体" w:hAnsi="宋体"/>
                <w:color w:val="auto"/>
                <w:szCs w:val="21"/>
              </w:rPr>
            </w:pPr>
            <w:r>
              <w:rPr>
                <w:rFonts w:hint="eastAsia" w:ascii="宋体" w:hAnsi="宋体"/>
                <w:color w:val="auto"/>
                <w:szCs w:val="21"/>
              </w:rPr>
              <w:t>中暑</w:t>
            </w:r>
          </w:p>
        </w:tc>
        <w:tc>
          <w:tcPr>
            <w:tcW w:w="1077" w:type="dxa"/>
            <w:vAlign w:val="center"/>
          </w:tcPr>
          <w:p>
            <w:pPr>
              <w:widowControl/>
              <w:jc w:val="center"/>
              <w:rPr>
                <w:rFonts w:ascii="宋体" w:hAnsi="宋体"/>
                <w:color w:val="auto"/>
                <w:szCs w:val="21"/>
              </w:rPr>
            </w:pPr>
            <w:r>
              <w:rPr>
                <w:rFonts w:hint="eastAsia" w:ascii="宋体" w:hAnsi="宋体"/>
                <w:color w:val="auto"/>
                <w:szCs w:val="21"/>
              </w:rPr>
              <w:t>Ⅱ</w:t>
            </w:r>
          </w:p>
        </w:tc>
        <w:tc>
          <w:tcPr>
            <w:tcW w:w="4479" w:type="dxa"/>
            <w:vAlign w:val="center"/>
          </w:tcPr>
          <w:p>
            <w:pPr>
              <w:widowControl/>
              <w:rPr>
                <w:rFonts w:ascii="宋体" w:hAnsi="宋体"/>
                <w:color w:val="auto"/>
                <w:szCs w:val="21"/>
              </w:rPr>
            </w:pPr>
            <w:r>
              <w:rPr>
                <w:rFonts w:hint="eastAsia" w:ascii="宋体" w:hAnsi="宋体"/>
                <w:color w:val="auto"/>
                <w:szCs w:val="21"/>
              </w:rPr>
              <w:t>（1）适当的调整作业时间，尽量避开高温时段作业。</w:t>
            </w:r>
          </w:p>
          <w:p>
            <w:pPr>
              <w:widowControl/>
              <w:rPr>
                <w:rFonts w:ascii="宋体" w:hAnsi="宋体"/>
                <w:color w:val="auto"/>
                <w:szCs w:val="21"/>
              </w:rPr>
            </w:pPr>
            <w:r>
              <w:rPr>
                <w:rFonts w:hint="eastAsia" w:ascii="宋体" w:hAnsi="宋体"/>
                <w:color w:val="auto"/>
                <w:szCs w:val="21"/>
              </w:rPr>
              <w:t>（2）为工人供应避暑糖水，配备遮阳帽等用品。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color w:val="auto"/>
                <w:szCs w:val="21"/>
              </w:rPr>
            </w:pPr>
            <w:r>
              <w:rPr>
                <w:rFonts w:ascii="宋体" w:hAnsi="宋体"/>
                <w:color w:val="auto"/>
                <w:szCs w:val="21"/>
              </w:rPr>
              <w:t>3</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采场、排土场、运输道路</w:t>
            </w:r>
          </w:p>
        </w:tc>
        <w:tc>
          <w:tcPr>
            <w:tcW w:w="907" w:type="dxa"/>
            <w:vAlign w:val="center"/>
          </w:tcPr>
          <w:p>
            <w:pPr>
              <w:widowControl/>
              <w:jc w:val="center"/>
              <w:rPr>
                <w:rFonts w:ascii="宋体" w:hAnsi="宋体"/>
                <w:color w:val="auto"/>
                <w:szCs w:val="21"/>
              </w:rPr>
            </w:pPr>
            <w:r>
              <w:rPr>
                <w:rFonts w:hint="eastAsia" w:ascii="宋体" w:hAnsi="宋体"/>
                <w:color w:val="auto"/>
                <w:szCs w:val="21"/>
              </w:rPr>
              <w:t>噪声</w:t>
            </w:r>
          </w:p>
          <w:p>
            <w:pPr>
              <w:widowControl/>
              <w:jc w:val="center"/>
              <w:rPr>
                <w:rFonts w:ascii="宋体" w:hAnsi="宋体"/>
                <w:color w:val="auto"/>
                <w:szCs w:val="21"/>
              </w:rPr>
            </w:pPr>
            <w:r>
              <w:rPr>
                <w:rFonts w:hint="eastAsia" w:ascii="宋体" w:hAnsi="宋体"/>
                <w:color w:val="auto"/>
                <w:szCs w:val="21"/>
              </w:rPr>
              <w:t>危害</w:t>
            </w:r>
          </w:p>
        </w:tc>
        <w:tc>
          <w:tcPr>
            <w:tcW w:w="4819" w:type="dxa"/>
            <w:vAlign w:val="center"/>
          </w:tcPr>
          <w:p>
            <w:pPr>
              <w:widowControl/>
              <w:rPr>
                <w:rFonts w:ascii="宋体" w:hAnsi="宋体"/>
                <w:color w:val="auto"/>
                <w:szCs w:val="21"/>
              </w:rPr>
            </w:pPr>
            <w:r>
              <w:rPr>
                <w:rFonts w:hint="eastAsia" w:ascii="宋体" w:hAnsi="宋体"/>
                <w:color w:val="auto"/>
                <w:szCs w:val="21"/>
              </w:rPr>
              <w:t>（1）挖掘机、运输汽车等没有没有定期保养、维护。</w:t>
            </w:r>
          </w:p>
          <w:p>
            <w:pPr>
              <w:widowControl/>
              <w:rPr>
                <w:rFonts w:ascii="宋体" w:hAnsi="宋体"/>
                <w:color w:val="auto"/>
                <w:szCs w:val="21"/>
              </w:rPr>
            </w:pPr>
            <w:r>
              <w:rPr>
                <w:rFonts w:hint="eastAsia" w:ascii="宋体" w:hAnsi="宋体"/>
                <w:color w:val="auto"/>
                <w:szCs w:val="21"/>
              </w:rPr>
              <w:t>（2）从业人员没有采取个体防护措施。</w:t>
            </w:r>
          </w:p>
        </w:tc>
        <w:tc>
          <w:tcPr>
            <w:tcW w:w="1077" w:type="dxa"/>
            <w:vAlign w:val="center"/>
          </w:tcPr>
          <w:p>
            <w:pPr>
              <w:widowControl/>
              <w:jc w:val="center"/>
              <w:rPr>
                <w:rFonts w:ascii="宋体" w:hAnsi="宋体"/>
                <w:color w:val="auto"/>
                <w:szCs w:val="21"/>
              </w:rPr>
            </w:pPr>
            <w:r>
              <w:rPr>
                <w:rFonts w:hint="eastAsia" w:ascii="宋体" w:hAnsi="宋体"/>
                <w:color w:val="auto"/>
                <w:szCs w:val="21"/>
              </w:rPr>
              <w:t>听力下降</w:t>
            </w:r>
          </w:p>
        </w:tc>
        <w:tc>
          <w:tcPr>
            <w:tcW w:w="1077" w:type="dxa"/>
            <w:vAlign w:val="center"/>
          </w:tcPr>
          <w:p>
            <w:pPr>
              <w:widowControl/>
              <w:jc w:val="center"/>
              <w:rPr>
                <w:rFonts w:ascii="宋体" w:hAnsi="宋体"/>
                <w:color w:val="auto"/>
                <w:szCs w:val="21"/>
              </w:rPr>
            </w:pPr>
            <w:r>
              <w:rPr>
                <w:rFonts w:hint="eastAsia" w:ascii="宋体" w:hAnsi="宋体"/>
                <w:color w:val="auto"/>
                <w:szCs w:val="21"/>
              </w:rPr>
              <w:t>Ⅱ</w:t>
            </w:r>
          </w:p>
        </w:tc>
        <w:tc>
          <w:tcPr>
            <w:tcW w:w="4479" w:type="dxa"/>
            <w:vAlign w:val="center"/>
          </w:tcPr>
          <w:p>
            <w:pPr>
              <w:widowControl/>
              <w:rPr>
                <w:rFonts w:ascii="宋体" w:hAnsi="宋体"/>
                <w:color w:val="auto"/>
                <w:szCs w:val="21"/>
              </w:rPr>
            </w:pPr>
            <w:r>
              <w:rPr>
                <w:rFonts w:hint="eastAsia" w:ascii="宋体" w:hAnsi="宋体"/>
                <w:color w:val="auto"/>
                <w:szCs w:val="21"/>
              </w:rPr>
              <w:t>（1）设备定时注油、保养。</w:t>
            </w:r>
          </w:p>
          <w:p>
            <w:pPr>
              <w:widowControl/>
              <w:rPr>
                <w:rFonts w:ascii="宋体" w:hAnsi="宋体"/>
                <w:color w:val="auto"/>
                <w:szCs w:val="21"/>
              </w:rPr>
            </w:pPr>
            <w:r>
              <w:rPr>
                <w:rFonts w:hint="eastAsia" w:ascii="宋体" w:hAnsi="宋体"/>
                <w:color w:val="auto"/>
                <w:szCs w:val="21"/>
              </w:rPr>
              <w:t>（2）为从业人员配备个体防护用品，并督促其正确使用。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color w:val="auto"/>
                <w:szCs w:val="21"/>
              </w:rPr>
            </w:pPr>
            <w:r>
              <w:rPr>
                <w:rFonts w:ascii="宋体" w:hAnsi="宋体"/>
                <w:color w:val="auto"/>
                <w:szCs w:val="21"/>
              </w:rPr>
              <w:t>4</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w:t>
            </w:r>
          </w:p>
        </w:tc>
        <w:tc>
          <w:tcPr>
            <w:tcW w:w="907" w:type="dxa"/>
            <w:vAlign w:val="center"/>
          </w:tcPr>
          <w:p>
            <w:pPr>
              <w:widowControl/>
              <w:jc w:val="center"/>
              <w:rPr>
                <w:rFonts w:ascii="宋体" w:hAnsi="宋体"/>
                <w:color w:val="auto"/>
                <w:szCs w:val="21"/>
              </w:rPr>
            </w:pPr>
            <w:r>
              <w:rPr>
                <w:rFonts w:hint="eastAsia" w:ascii="宋体" w:hAnsi="宋体"/>
                <w:color w:val="auto"/>
                <w:szCs w:val="21"/>
              </w:rPr>
              <w:t>振动</w:t>
            </w:r>
          </w:p>
          <w:p>
            <w:pPr>
              <w:widowControl/>
              <w:jc w:val="center"/>
              <w:rPr>
                <w:rFonts w:ascii="宋体" w:hAnsi="宋体"/>
                <w:color w:val="auto"/>
                <w:szCs w:val="21"/>
              </w:rPr>
            </w:pPr>
            <w:r>
              <w:rPr>
                <w:rFonts w:hint="eastAsia" w:ascii="宋体" w:hAnsi="宋体"/>
                <w:color w:val="auto"/>
                <w:szCs w:val="21"/>
              </w:rPr>
              <w:t>危害</w:t>
            </w:r>
          </w:p>
        </w:tc>
        <w:tc>
          <w:tcPr>
            <w:tcW w:w="4819" w:type="dxa"/>
            <w:vAlign w:val="center"/>
          </w:tcPr>
          <w:p>
            <w:pPr>
              <w:widowControl/>
              <w:rPr>
                <w:rFonts w:ascii="宋体" w:hAnsi="宋体"/>
                <w:color w:val="auto"/>
                <w:szCs w:val="21"/>
              </w:rPr>
            </w:pPr>
            <w:r>
              <w:rPr>
                <w:rFonts w:hint="eastAsia" w:ascii="宋体" w:hAnsi="宋体"/>
                <w:color w:val="auto"/>
                <w:szCs w:val="21"/>
              </w:rPr>
              <w:t>（1）长期在机械设备上工作。</w:t>
            </w:r>
          </w:p>
          <w:p>
            <w:pPr>
              <w:widowControl/>
              <w:rPr>
                <w:rFonts w:ascii="宋体" w:hAnsi="宋体"/>
                <w:color w:val="auto"/>
                <w:szCs w:val="21"/>
              </w:rPr>
            </w:pPr>
            <w:r>
              <w:rPr>
                <w:rFonts w:hint="eastAsia" w:ascii="宋体" w:hAnsi="宋体"/>
                <w:color w:val="auto"/>
                <w:szCs w:val="21"/>
              </w:rPr>
              <w:t>（2）设备采取的减振措施不恰当。</w:t>
            </w:r>
          </w:p>
          <w:p>
            <w:pPr>
              <w:widowControl/>
              <w:rPr>
                <w:rFonts w:ascii="宋体" w:hAnsi="宋体"/>
                <w:color w:val="auto"/>
                <w:szCs w:val="21"/>
              </w:rPr>
            </w:pPr>
            <w:r>
              <w:rPr>
                <w:rFonts w:hint="eastAsia" w:ascii="宋体" w:hAnsi="宋体"/>
                <w:color w:val="auto"/>
                <w:szCs w:val="21"/>
              </w:rPr>
              <w:t>（3）没有采取的个体防护措施。</w:t>
            </w:r>
          </w:p>
        </w:tc>
        <w:tc>
          <w:tcPr>
            <w:tcW w:w="1077" w:type="dxa"/>
            <w:vAlign w:val="center"/>
          </w:tcPr>
          <w:p>
            <w:pPr>
              <w:widowControl/>
              <w:jc w:val="center"/>
              <w:rPr>
                <w:rFonts w:ascii="宋体" w:hAnsi="宋体"/>
                <w:color w:val="auto"/>
                <w:szCs w:val="21"/>
              </w:rPr>
            </w:pPr>
            <w:r>
              <w:rPr>
                <w:rFonts w:hint="eastAsia" w:ascii="宋体" w:hAnsi="宋体"/>
                <w:color w:val="auto"/>
                <w:szCs w:val="21"/>
              </w:rPr>
              <w:t>人体机能下降</w:t>
            </w:r>
          </w:p>
        </w:tc>
        <w:tc>
          <w:tcPr>
            <w:tcW w:w="1077" w:type="dxa"/>
            <w:vAlign w:val="center"/>
          </w:tcPr>
          <w:p>
            <w:pPr>
              <w:widowControl/>
              <w:jc w:val="center"/>
              <w:rPr>
                <w:rFonts w:ascii="宋体" w:hAnsi="宋体"/>
                <w:color w:val="auto"/>
                <w:szCs w:val="21"/>
              </w:rPr>
            </w:pPr>
            <w:r>
              <w:rPr>
                <w:rFonts w:hint="eastAsia" w:ascii="宋体" w:hAnsi="宋体"/>
                <w:color w:val="auto"/>
                <w:szCs w:val="21"/>
              </w:rPr>
              <w:t>Ⅱ</w:t>
            </w:r>
          </w:p>
        </w:tc>
        <w:tc>
          <w:tcPr>
            <w:tcW w:w="4479" w:type="dxa"/>
            <w:vAlign w:val="center"/>
          </w:tcPr>
          <w:p>
            <w:pPr>
              <w:widowControl/>
              <w:rPr>
                <w:rFonts w:ascii="宋体" w:hAnsi="宋体"/>
                <w:color w:val="auto"/>
                <w:szCs w:val="21"/>
              </w:rPr>
            </w:pPr>
            <w:r>
              <w:rPr>
                <w:rFonts w:hint="eastAsia" w:ascii="宋体" w:hAnsi="宋体"/>
                <w:color w:val="auto"/>
                <w:szCs w:val="21"/>
              </w:rPr>
              <w:t>（1）调整从业人员的作业时限，合理安排时间。</w:t>
            </w:r>
          </w:p>
          <w:p>
            <w:pPr>
              <w:widowControl/>
              <w:rPr>
                <w:rFonts w:ascii="宋体" w:hAnsi="宋体"/>
                <w:color w:val="auto"/>
                <w:szCs w:val="21"/>
              </w:rPr>
            </w:pPr>
            <w:r>
              <w:rPr>
                <w:rFonts w:hint="eastAsia" w:ascii="宋体" w:hAnsi="宋体"/>
                <w:color w:val="auto"/>
                <w:szCs w:val="21"/>
              </w:rPr>
              <w:t>（2）在能够采取减振措施的设备上安装合格的减振装置。</w:t>
            </w:r>
          </w:p>
          <w:p>
            <w:pPr>
              <w:widowControl/>
              <w:rPr>
                <w:rFonts w:ascii="宋体" w:hAnsi="宋体"/>
                <w:color w:val="auto"/>
                <w:szCs w:val="21"/>
              </w:rPr>
            </w:pPr>
            <w:r>
              <w:rPr>
                <w:rFonts w:hint="eastAsia" w:ascii="宋体" w:hAnsi="宋体"/>
                <w:color w:val="auto"/>
                <w:szCs w:val="21"/>
              </w:rPr>
              <w:t>（3）加强个体防护。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vAlign w:val="center"/>
          </w:tcPr>
          <w:p>
            <w:pPr>
              <w:widowControl/>
              <w:jc w:val="center"/>
              <w:rPr>
                <w:rFonts w:ascii="宋体" w:hAnsi="宋体"/>
                <w:color w:val="auto"/>
                <w:szCs w:val="21"/>
              </w:rPr>
            </w:pPr>
            <w:r>
              <w:rPr>
                <w:rFonts w:ascii="宋体" w:hAnsi="宋体"/>
                <w:color w:val="auto"/>
                <w:szCs w:val="21"/>
              </w:rPr>
              <w:t>5</w:t>
            </w:r>
          </w:p>
        </w:tc>
        <w:tc>
          <w:tcPr>
            <w:tcW w:w="1134" w:type="dxa"/>
            <w:vAlign w:val="center"/>
          </w:tcPr>
          <w:p>
            <w:pPr>
              <w:widowControl/>
              <w:jc w:val="center"/>
              <w:rPr>
                <w:rFonts w:ascii="宋体" w:hAnsi="宋体"/>
                <w:color w:val="auto"/>
                <w:szCs w:val="21"/>
              </w:rPr>
            </w:pPr>
            <w:r>
              <w:rPr>
                <w:rFonts w:hint="eastAsia" w:ascii="宋体" w:hAnsi="宋体"/>
                <w:color w:val="auto"/>
                <w:szCs w:val="21"/>
              </w:rPr>
              <w:t>采场、排土场</w:t>
            </w:r>
          </w:p>
        </w:tc>
        <w:tc>
          <w:tcPr>
            <w:tcW w:w="907" w:type="dxa"/>
            <w:vAlign w:val="center"/>
          </w:tcPr>
          <w:p>
            <w:pPr>
              <w:widowControl/>
              <w:jc w:val="center"/>
              <w:rPr>
                <w:rFonts w:ascii="宋体" w:hAnsi="宋体"/>
                <w:color w:val="auto"/>
                <w:szCs w:val="21"/>
              </w:rPr>
            </w:pPr>
            <w:r>
              <w:rPr>
                <w:rFonts w:hint="eastAsia" w:ascii="宋体" w:hAnsi="宋体"/>
                <w:color w:val="auto"/>
                <w:szCs w:val="21"/>
              </w:rPr>
              <w:t>辐射</w:t>
            </w:r>
          </w:p>
        </w:tc>
        <w:tc>
          <w:tcPr>
            <w:tcW w:w="4819" w:type="dxa"/>
            <w:vAlign w:val="center"/>
          </w:tcPr>
          <w:p>
            <w:pPr>
              <w:widowControl/>
              <w:rPr>
                <w:rFonts w:ascii="宋体" w:hAnsi="宋体"/>
                <w:color w:val="auto"/>
                <w:szCs w:val="21"/>
              </w:rPr>
            </w:pPr>
            <w:r>
              <w:rPr>
                <w:rFonts w:hint="eastAsia" w:ascii="宋体" w:hAnsi="宋体"/>
                <w:color w:val="auto"/>
                <w:szCs w:val="21"/>
              </w:rPr>
              <w:t>矿山未定期对矿石的放射性指标进行跟踪检测，并对作业人员进行定期健康检查，可能因放射性超标对作业人员的健康产生危害。</w:t>
            </w:r>
          </w:p>
        </w:tc>
        <w:tc>
          <w:tcPr>
            <w:tcW w:w="1077" w:type="dxa"/>
            <w:vAlign w:val="center"/>
          </w:tcPr>
          <w:p>
            <w:pPr>
              <w:widowControl/>
              <w:jc w:val="center"/>
              <w:rPr>
                <w:rFonts w:ascii="宋体" w:hAnsi="宋体"/>
                <w:color w:val="auto"/>
                <w:szCs w:val="21"/>
              </w:rPr>
            </w:pPr>
            <w:r>
              <w:rPr>
                <w:rFonts w:hint="eastAsia" w:ascii="宋体" w:hAnsi="宋体"/>
                <w:color w:val="auto"/>
                <w:szCs w:val="21"/>
              </w:rPr>
              <w:t>人体机能下降</w:t>
            </w:r>
          </w:p>
        </w:tc>
        <w:tc>
          <w:tcPr>
            <w:tcW w:w="1077" w:type="dxa"/>
            <w:vAlign w:val="center"/>
          </w:tcPr>
          <w:p>
            <w:pPr>
              <w:widowControl/>
              <w:jc w:val="center"/>
              <w:rPr>
                <w:rFonts w:ascii="宋体" w:hAnsi="宋体"/>
                <w:color w:val="auto"/>
                <w:szCs w:val="21"/>
              </w:rPr>
            </w:pPr>
            <w:r>
              <w:rPr>
                <w:rFonts w:hint="eastAsia" w:ascii="宋体" w:hAnsi="宋体"/>
                <w:color w:val="auto"/>
                <w:szCs w:val="21"/>
              </w:rPr>
              <w:t>Ⅱ</w:t>
            </w:r>
          </w:p>
        </w:tc>
        <w:tc>
          <w:tcPr>
            <w:tcW w:w="4479" w:type="dxa"/>
            <w:vAlign w:val="center"/>
          </w:tcPr>
          <w:p>
            <w:pPr>
              <w:widowControl/>
              <w:rPr>
                <w:rFonts w:ascii="宋体" w:hAnsi="宋体"/>
                <w:color w:val="auto"/>
                <w:szCs w:val="21"/>
              </w:rPr>
            </w:pPr>
            <w:r>
              <w:rPr>
                <w:rFonts w:hint="eastAsia" w:ascii="宋体" w:hAnsi="宋体"/>
                <w:color w:val="auto"/>
                <w:szCs w:val="21"/>
              </w:rPr>
              <w:t>（1）矿石定期进行放射性检测。</w:t>
            </w:r>
          </w:p>
          <w:p>
            <w:pPr>
              <w:widowControl/>
              <w:rPr>
                <w:rFonts w:ascii="宋体" w:hAnsi="宋体"/>
                <w:color w:val="auto"/>
                <w:szCs w:val="21"/>
              </w:rPr>
            </w:pPr>
            <w:r>
              <w:rPr>
                <w:rFonts w:hint="eastAsia" w:ascii="宋体" w:hAnsi="宋体"/>
                <w:color w:val="auto"/>
                <w:szCs w:val="21"/>
              </w:rPr>
              <w:t>（2）人员定期进行职业健康检查。</w:t>
            </w:r>
          </w:p>
        </w:tc>
      </w:tr>
    </w:tbl>
    <w:p>
      <w:pPr>
        <w:widowControl/>
        <w:spacing w:line="500" w:lineRule="exact"/>
        <w:ind w:firstLine="480" w:firstLineChars="200"/>
        <w:rPr>
          <w:rFonts w:ascii="宋体" w:hAnsi="宋体"/>
          <w:color w:val="auto"/>
          <w:sz w:val="24"/>
        </w:rPr>
      </w:pPr>
      <w:r>
        <w:rPr>
          <w:rFonts w:hint="eastAsia" w:ascii="宋体" w:hAnsi="宋体"/>
          <w:color w:val="auto"/>
          <w:sz w:val="24"/>
        </w:rPr>
        <w:t>评价结果：存在的危险有害因素为粉尘、</w:t>
      </w:r>
      <w:r>
        <w:rPr>
          <w:rFonts w:ascii="宋体" w:hAnsi="宋体"/>
          <w:color w:val="auto"/>
          <w:sz w:val="24"/>
        </w:rPr>
        <w:t>高温中暑、噪声</w:t>
      </w:r>
      <w:r>
        <w:rPr>
          <w:rFonts w:hint="eastAsia" w:ascii="宋体" w:hAnsi="宋体"/>
          <w:color w:val="auto"/>
          <w:sz w:val="24"/>
        </w:rPr>
        <w:t>、</w:t>
      </w:r>
      <w:r>
        <w:rPr>
          <w:rFonts w:ascii="宋体" w:hAnsi="宋体"/>
          <w:color w:val="auto"/>
          <w:sz w:val="24"/>
        </w:rPr>
        <w:t>振动、辐射</w:t>
      </w:r>
      <w:r>
        <w:rPr>
          <w:rFonts w:hint="eastAsia" w:ascii="宋体" w:hAnsi="宋体"/>
          <w:color w:val="auto"/>
          <w:sz w:val="24"/>
        </w:rPr>
        <w:t>。</w:t>
      </w:r>
    </w:p>
    <w:p>
      <w:pPr>
        <w:pStyle w:val="4"/>
        <w:keepLines w:val="0"/>
        <w:widowControl/>
        <w:spacing w:before="0" w:after="0" w:line="500" w:lineRule="exact"/>
        <w:ind w:firstLine="482" w:firstLineChars="200"/>
        <w:rPr>
          <w:rFonts w:ascii="宋体" w:hAnsi="宋体" w:eastAsia="宋体"/>
          <w:b/>
          <w:bCs w:val="0"/>
          <w:color w:val="auto"/>
          <w:sz w:val="24"/>
          <w:szCs w:val="24"/>
        </w:rPr>
        <w:sectPr>
          <w:pgSz w:w="16838" w:h="11906" w:orient="landscape"/>
          <w:pgMar w:top="1588" w:right="1134" w:bottom="1134" w:left="1418" w:header="851" w:footer="992" w:gutter="0"/>
          <w:pgBorders>
            <w:top w:val="none" w:sz="0" w:space="0"/>
            <w:left w:val="none" w:sz="0" w:space="0"/>
            <w:bottom w:val="none" w:sz="0" w:space="0"/>
            <w:right w:val="none" w:sz="0" w:space="0"/>
          </w:pgBorders>
          <w:pgNumType w:fmt="decimal"/>
          <w:cols w:space="720" w:num="1"/>
          <w:docGrid w:linePitch="312" w:charSpace="0"/>
        </w:sectPr>
      </w:pPr>
      <w:bookmarkStart w:id="201" w:name="_Toc155065793"/>
      <w:bookmarkStart w:id="202" w:name="_Toc194481380"/>
      <w:bookmarkStart w:id="203" w:name="_Toc163528818"/>
      <w:bookmarkStart w:id="204" w:name="_Toc145754565"/>
      <w:bookmarkStart w:id="205" w:name="_Toc162225859"/>
      <w:bookmarkStart w:id="206" w:name="_Toc193792490"/>
      <w:bookmarkStart w:id="207" w:name="_Toc155082405"/>
      <w:bookmarkStart w:id="208" w:name="_Toc154132227"/>
      <w:bookmarkStart w:id="209" w:name="_Toc162150589"/>
      <w:bookmarkStart w:id="210" w:name="_Toc194551672"/>
      <w:bookmarkStart w:id="211" w:name="_Toc155778377"/>
      <w:bookmarkStart w:id="212" w:name="_Toc193101166"/>
      <w:bookmarkStart w:id="213" w:name="_Toc190416542"/>
      <w:bookmarkStart w:id="214" w:name="_Toc188158301"/>
      <w:bookmarkStart w:id="215" w:name="_Toc185913964"/>
      <w:bookmarkStart w:id="216" w:name="_Toc189300026"/>
      <w:bookmarkStart w:id="217" w:name="_Toc193792599"/>
      <w:bookmarkStart w:id="218" w:name="_Toc193789400"/>
      <w:bookmarkStart w:id="219" w:name="_Toc154123484"/>
      <w:bookmarkStart w:id="220" w:name="_Toc152918222"/>
      <w:bookmarkStart w:id="221" w:name="_Toc233881412"/>
      <w:bookmarkStart w:id="222" w:name="_Toc182304515"/>
      <w:bookmarkStart w:id="223" w:name="_Toc154636119"/>
      <w:bookmarkStart w:id="224" w:name="_Toc155784053"/>
      <w:bookmarkStart w:id="225" w:name="_Toc188851075"/>
      <w:bookmarkStart w:id="226" w:name="_Toc189300173"/>
      <w:bookmarkStart w:id="227" w:name="_Toc155775535"/>
    </w:p>
    <w:bookmarkEnd w:id="178"/>
    <w:bookmarkEnd w:id="179"/>
    <w:bookmarkEnd w:id="18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Pr>
        <w:pStyle w:val="4"/>
        <w:keepLines w:val="0"/>
        <w:widowControl/>
        <w:spacing w:before="120" w:after="120" w:line="500" w:lineRule="exact"/>
        <w:rPr>
          <w:rFonts w:ascii="宋体" w:hAnsi="宋体" w:eastAsia="宋体"/>
          <w:b/>
          <w:bCs w:val="0"/>
          <w:color w:val="auto"/>
          <w:kern w:val="28"/>
          <w:sz w:val="28"/>
          <w:szCs w:val="28"/>
        </w:rPr>
      </w:pPr>
      <w:bookmarkStart w:id="228" w:name="_Toc150262784"/>
      <w:bookmarkStart w:id="229" w:name="_Toc232693014"/>
      <w:bookmarkStart w:id="230" w:name="_Toc158167903"/>
      <w:bookmarkStart w:id="231" w:name="_Toc241824338"/>
      <w:bookmarkStart w:id="232" w:name="_Toc240347025"/>
      <w:bookmarkStart w:id="233" w:name="_Toc158168016"/>
      <w:bookmarkStart w:id="234" w:name="_Toc238813895"/>
      <w:bookmarkStart w:id="235" w:name="_Toc156811394"/>
      <w:bookmarkStart w:id="236" w:name="_Toc158168022"/>
      <w:bookmarkStart w:id="237" w:name="_Toc145998963"/>
      <w:bookmarkStart w:id="238" w:name="_Toc144558013"/>
      <w:bookmarkStart w:id="239" w:name="_Toc158167909"/>
      <w:bookmarkStart w:id="240" w:name="_Toc109632323"/>
      <w:bookmarkStart w:id="241" w:name="_Toc86656556"/>
      <w:bookmarkStart w:id="242" w:name="_Toc145746157"/>
      <w:bookmarkStart w:id="243" w:name="_Toc149559815"/>
      <w:bookmarkStart w:id="244" w:name="_Toc156811392"/>
      <w:bookmarkStart w:id="245" w:name="_Toc97627341"/>
      <w:bookmarkStart w:id="246" w:name="_Toc86656529"/>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10</w:t>
      </w:r>
      <w:r>
        <w:rPr>
          <w:rFonts w:hint="eastAsia" w:ascii="宋体" w:hAnsi="宋体" w:eastAsia="宋体"/>
          <w:b/>
          <w:bCs w:val="0"/>
          <w:color w:val="auto"/>
          <w:kern w:val="28"/>
          <w:sz w:val="28"/>
          <w:szCs w:val="28"/>
        </w:rPr>
        <w:t>重大危险源辨识</w:t>
      </w:r>
      <w:bookmarkEnd w:id="228"/>
    </w:p>
    <w:p>
      <w:pPr>
        <w:widowControl/>
        <w:tabs>
          <w:tab w:val="left" w:pos="900"/>
          <w:tab w:val="left" w:pos="1125"/>
          <w:tab w:val="left" w:pos="1440"/>
        </w:tabs>
        <w:spacing w:line="500" w:lineRule="exact"/>
        <w:ind w:firstLine="480" w:firstLineChars="200"/>
        <w:rPr>
          <w:rFonts w:ascii="宋体" w:hAnsi="宋体"/>
          <w:b/>
          <w:color w:val="auto"/>
          <w:sz w:val="24"/>
        </w:rPr>
      </w:pPr>
      <w:r>
        <w:rPr>
          <w:rFonts w:hint="eastAsia" w:ascii="宋体" w:hAnsi="宋体" w:cs="宋体"/>
          <w:color w:val="auto"/>
          <w:kern w:val="24"/>
          <w:sz w:val="24"/>
        </w:rPr>
        <w:t>根据《可行性研究报告》，军营高岭土矿分公司现场在办公生活区旁设置1</w:t>
      </w:r>
      <w:r>
        <w:rPr>
          <w:rFonts w:ascii="宋体" w:hAnsi="宋体" w:cs="宋体"/>
          <w:color w:val="auto"/>
          <w:kern w:val="24"/>
          <w:sz w:val="24"/>
        </w:rPr>
        <w:t>0</w:t>
      </w:r>
      <w:r>
        <w:rPr>
          <w:rFonts w:hint="eastAsia" w:ascii="宋体" w:hAnsi="宋体" w:cs="宋体"/>
          <w:color w:val="auto"/>
          <w:kern w:val="24"/>
          <w:sz w:val="24"/>
        </w:rPr>
        <w:t>t柴油罐，柴油临界量为5</w:t>
      </w:r>
      <w:r>
        <w:rPr>
          <w:rFonts w:ascii="宋体" w:hAnsi="宋体" w:cs="宋体"/>
          <w:color w:val="auto"/>
          <w:kern w:val="24"/>
          <w:sz w:val="24"/>
        </w:rPr>
        <w:t>000</w:t>
      </w:r>
      <w:r>
        <w:rPr>
          <w:rFonts w:hint="eastAsia" w:ascii="宋体" w:hAnsi="宋体" w:cs="宋体"/>
          <w:color w:val="auto"/>
          <w:kern w:val="24"/>
          <w:sz w:val="24"/>
        </w:rPr>
        <w:t>t，不构成重大危险源；军营高岭土矿分公司属于采矿业，依据《危险化学品重大危险源辨识》（GB18218－2018）1范围：该标准不适用于采矿业，且该矿山不涉及危险化学品的加工工艺及储存活动，因此，该矿山不构成重大危险源。</w:t>
      </w:r>
    </w:p>
    <w:p>
      <w:pPr>
        <w:pStyle w:val="4"/>
        <w:keepLines w:val="0"/>
        <w:widowControl/>
        <w:spacing w:before="120" w:after="120" w:line="500" w:lineRule="exact"/>
        <w:rPr>
          <w:rFonts w:ascii="宋体" w:hAnsi="宋体" w:eastAsia="宋体"/>
          <w:b/>
          <w:bCs w:val="0"/>
          <w:color w:val="auto"/>
          <w:kern w:val="28"/>
          <w:sz w:val="28"/>
          <w:szCs w:val="28"/>
        </w:rPr>
      </w:pPr>
      <w:bookmarkStart w:id="247" w:name="_Toc150262785"/>
      <w:r>
        <w:rPr>
          <w:rFonts w:hint="eastAsia" w:ascii="宋体" w:hAnsi="宋体" w:eastAsia="宋体"/>
          <w:b/>
          <w:bCs w:val="0"/>
          <w:color w:val="auto"/>
          <w:kern w:val="28"/>
          <w:sz w:val="28"/>
          <w:szCs w:val="28"/>
        </w:rPr>
        <w:t>3.</w:t>
      </w:r>
      <w:r>
        <w:rPr>
          <w:rFonts w:ascii="宋体" w:hAnsi="宋体" w:eastAsia="宋体"/>
          <w:b/>
          <w:bCs w:val="0"/>
          <w:color w:val="auto"/>
          <w:kern w:val="28"/>
          <w:sz w:val="28"/>
          <w:szCs w:val="28"/>
        </w:rPr>
        <w:t>11</w:t>
      </w:r>
      <w:r>
        <w:rPr>
          <w:rFonts w:hint="eastAsia" w:ascii="宋体" w:hAnsi="宋体" w:eastAsia="宋体"/>
          <w:b/>
          <w:bCs w:val="0"/>
          <w:color w:val="auto"/>
          <w:kern w:val="28"/>
          <w:sz w:val="28"/>
          <w:szCs w:val="28"/>
        </w:rPr>
        <w:t>小结</w:t>
      </w:r>
      <w:bookmarkEnd w:id="229"/>
      <w:bookmarkEnd w:id="230"/>
      <w:bookmarkEnd w:id="231"/>
      <w:bookmarkEnd w:id="232"/>
      <w:bookmarkEnd w:id="233"/>
      <w:bookmarkEnd w:id="234"/>
      <w:bookmarkEnd w:id="247"/>
    </w:p>
    <w:p>
      <w:pPr>
        <w:widowControl/>
        <w:spacing w:line="500" w:lineRule="exact"/>
        <w:ind w:firstLine="480" w:firstLineChars="200"/>
        <w:rPr>
          <w:rFonts w:ascii="宋体" w:hAnsi="宋体"/>
          <w:color w:val="auto"/>
          <w:sz w:val="24"/>
        </w:rPr>
      </w:pPr>
      <w:r>
        <w:rPr>
          <w:rFonts w:ascii="宋体" w:hAnsi="宋体"/>
          <w:color w:val="auto"/>
          <w:sz w:val="24"/>
        </w:rPr>
        <w:t>本章通过对</w:t>
      </w:r>
      <w:r>
        <w:rPr>
          <w:rFonts w:hint="eastAsia" w:ascii="宋体" w:hAnsi="宋体"/>
          <w:color w:val="auto"/>
          <w:sz w:val="24"/>
        </w:rPr>
        <w:t>各个</w:t>
      </w:r>
      <w:r>
        <w:rPr>
          <w:rFonts w:ascii="宋体" w:hAnsi="宋体"/>
          <w:color w:val="auto"/>
          <w:sz w:val="24"/>
        </w:rPr>
        <w:t>评价单元运用安全检查表、预先危险性分析分析评价方法，在识别危险、有害因素的基础上，对各个系统存在的危险、有害因素进行了分析评价。现按照评价方法分类归纳小结：</w:t>
      </w:r>
    </w:p>
    <w:p>
      <w:pPr>
        <w:widowControl/>
        <w:spacing w:line="500" w:lineRule="exact"/>
        <w:ind w:firstLine="480" w:firstLineChars="200"/>
        <w:rPr>
          <w:rFonts w:ascii="宋体" w:hAnsi="宋体"/>
          <w:color w:val="auto"/>
          <w:sz w:val="24"/>
        </w:rPr>
      </w:pPr>
      <w:r>
        <w:rPr>
          <w:rFonts w:hint="eastAsia" w:ascii="宋体" w:hAnsi="宋体"/>
          <w:color w:val="auto"/>
          <w:sz w:val="24"/>
        </w:rPr>
        <w:t>1）采用安全检查表法，得出检查结果为：</w:t>
      </w:r>
    </w:p>
    <w:p>
      <w:pPr>
        <w:widowControl/>
        <w:spacing w:line="500" w:lineRule="exact"/>
        <w:ind w:firstLine="480" w:firstLineChars="200"/>
        <w:rPr>
          <w:rFonts w:ascii="宋体" w:hAnsi="宋体"/>
          <w:color w:val="auto"/>
          <w:sz w:val="24"/>
        </w:rPr>
      </w:pPr>
      <w:r>
        <w:rPr>
          <w:rFonts w:hint="eastAsia" w:ascii="宋体" w:hAnsi="宋体"/>
          <w:color w:val="auto"/>
          <w:sz w:val="24"/>
        </w:rPr>
        <w:t>（1）总平面布置符合标准、规范要求。</w:t>
      </w:r>
    </w:p>
    <w:p>
      <w:pPr>
        <w:widowControl/>
        <w:spacing w:line="500" w:lineRule="exact"/>
        <w:ind w:firstLine="480"/>
        <w:rPr>
          <w:rFonts w:ascii="宋体" w:hAnsi="宋体"/>
          <w:color w:val="auto"/>
          <w:sz w:val="24"/>
        </w:rPr>
      </w:pPr>
      <w:r>
        <w:rPr>
          <w:rFonts w:hint="eastAsia" w:ascii="宋体" w:hAnsi="宋体"/>
          <w:color w:val="auto"/>
          <w:sz w:val="24"/>
        </w:rPr>
        <w:t>（2）可行性研究报告选用的采场要素基本符合国家相关法律、法规、标准和规范的要求。</w:t>
      </w:r>
    </w:p>
    <w:p>
      <w:pPr>
        <w:widowControl/>
        <w:spacing w:line="500" w:lineRule="exact"/>
        <w:ind w:firstLine="480"/>
        <w:rPr>
          <w:rFonts w:ascii="宋体" w:hAnsi="宋体"/>
          <w:color w:val="auto"/>
          <w:sz w:val="24"/>
        </w:rPr>
      </w:pPr>
      <w:r>
        <w:rPr>
          <w:rFonts w:hint="eastAsia" w:ascii="宋体" w:hAnsi="宋体"/>
          <w:color w:val="auto"/>
          <w:sz w:val="24"/>
        </w:rPr>
        <w:t>（3）建议下一步设计对排土场进行稳定性分析。</w:t>
      </w:r>
    </w:p>
    <w:p>
      <w:pPr>
        <w:widowControl/>
        <w:spacing w:line="500" w:lineRule="exact"/>
        <w:ind w:firstLine="48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）该矿山为新建矿山，建议下步按相关法律法规建立相应的安全生产责任制、安全生产规章制度以及相应的操作规程，设置安全生产管理机构，并配备专职安全生产管理人员，聘请注册安全工程师。</w:t>
      </w:r>
    </w:p>
    <w:p>
      <w:pPr>
        <w:widowControl/>
        <w:spacing w:line="500" w:lineRule="exact"/>
        <w:ind w:firstLine="480" w:firstLineChars="200"/>
        <w:rPr>
          <w:rFonts w:ascii="宋体" w:hAnsi="宋体"/>
          <w:color w:val="auto"/>
          <w:sz w:val="24"/>
        </w:rPr>
      </w:pPr>
      <w:r>
        <w:rPr>
          <w:rFonts w:hint="eastAsia" w:ascii="宋体" w:hAnsi="宋体"/>
          <w:color w:val="auto"/>
          <w:sz w:val="24"/>
        </w:rPr>
        <w:t>2）采</w:t>
      </w:r>
      <w:r>
        <w:rPr>
          <w:rFonts w:ascii="宋体" w:hAnsi="宋体"/>
          <w:color w:val="auto"/>
          <w:sz w:val="24"/>
        </w:rPr>
        <w:t>用预先危险性分析法，得出各种危险、有害因素的定性评价结果见表3-9：</w:t>
      </w:r>
    </w:p>
    <w:p>
      <w:pPr>
        <w:widowControl/>
        <w:spacing w:line="500" w:lineRule="exact"/>
        <w:jc w:val="center"/>
        <w:outlineLvl w:val="4"/>
        <w:rPr>
          <w:rFonts w:ascii="宋体" w:hAnsi="宋体"/>
          <w:b/>
          <w:color w:val="auto"/>
          <w:sz w:val="24"/>
        </w:rPr>
      </w:pPr>
      <w:r>
        <w:rPr>
          <w:rFonts w:ascii="宋体" w:hAnsi="宋体"/>
          <w:b/>
          <w:color w:val="auto"/>
          <w:sz w:val="24"/>
        </w:rPr>
        <w:t>表3-9</w:t>
      </w:r>
      <w:r>
        <w:rPr>
          <w:rFonts w:hint="eastAsia" w:ascii="宋体" w:hAnsi="宋体"/>
          <w:b/>
          <w:color w:val="auto"/>
          <w:sz w:val="24"/>
        </w:rPr>
        <w:t xml:space="preserve"> </w:t>
      </w:r>
      <w:r>
        <w:rPr>
          <w:rFonts w:ascii="宋体" w:hAnsi="宋体"/>
          <w:b/>
          <w:color w:val="auto"/>
          <w:sz w:val="24"/>
        </w:rPr>
        <w:t>预先危险性分析评价结果汇总表</w:t>
      </w:r>
    </w:p>
    <w:tbl>
      <w:tblPr>
        <w:tblStyle w:val="4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582"/>
        <w:gridCol w:w="2353"/>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blHeader/>
          <w:jc w:val="center"/>
        </w:trPr>
        <w:tc>
          <w:tcPr>
            <w:tcW w:w="1193" w:type="dxa"/>
            <w:vAlign w:val="center"/>
          </w:tcPr>
          <w:p>
            <w:pPr>
              <w:widowControl/>
              <w:jc w:val="center"/>
              <w:rPr>
                <w:rFonts w:ascii="宋体" w:hAnsi="宋体"/>
                <w:b/>
                <w:color w:val="auto"/>
                <w:szCs w:val="21"/>
              </w:rPr>
            </w:pPr>
            <w:r>
              <w:rPr>
                <w:rFonts w:ascii="宋体" w:hAnsi="宋体"/>
                <w:b/>
                <w:color w:val="auto"/>
                <w:szCs w:val="21"/>
              </w:rPr>
              <w:t>序号</w:t>
            </w:r>
          </w:p>
        </w:tc>
        <w:tc>
          <w:tcPr>
            <w:tcW w:w="2582" w:type="dxa"/>
            <w:vAlign w:val="center"/>
          </w:tcPr>
          <w:p>
            <w:pPr>
              <w:widowControl/>
              <w:jc w:val="center"/>
              <w:rPr>
                <w:rFonts w:ascii="宋体" w:hAnsi="宋体"/>
                <w:b/>
                <w:color w:val="auto"/>
                <w:szCs w:val="21"/>
              </w:rPr>
            </w:pPr>
            <w:r>
              <w:rPr>
                <w:rFonts w:hint="eastAsia" w:ascii="宋体" w:hAnsi="宋体"/>
                <w:b/>
                <w:color w:val="auto"/>
                <w:szCs w:val="21"/>
              </w:rPr>
              <w:t>危险有害因素</w:t>
            </w:r>
          </w:p>
        </w:tc>
        <w:tc>
          <w:tcPr>
            <w:tcW w:w="2353" w:type="dxa"/>
            <w:vAlign w:val="center"/>
          </w:tcPr>
          <w:p>
            <w:pPr>
              <w:widowControl/>
              <w:jc w:val="center"/>
              <w:rPr>
                <w:rFonts w:ascii="宋体" w:hAnsi="宋体"/>
                <w:b/>
                <w:color w:val="auto"/>
                <w:szCs w:val="21"/>
              </w:rPr>
            </w:pPr>
            <w:r>
              <w:rPr>
                <w:rFonts w:ascii="宋体" w:hAnsi="宋体"/>
                <w:b/>
                <w:color w:val="auto"/>
                <w:szCs w:val="21"/>
              </w:rPr>
              <w:t>危险性等级</w:t>
            </w:r>
          </w:p>
        </w:tc>
        <w:tc>
          <w:tcPr>
            <w:tcW w:w="2891" w:type="dxa"/>
            <w:vAlign w:val="center"/>
          </w:tcPr>
          <w:p>
            <w:pPr>
              <w:widowControl/>
              <w:jc w:val="center"/>
              <w:rPr>
                <w:rFonts w:ascii="宋体" w:hAnsi="宋体"/>
                <w:b/>
                <w:color w:val="auto"/>
                <w:szCs w:val="21"/>
              </w:rPr>
            </w:pPr>
            <w:r>
              <w:rPr>
                <w:rFonts w:ascii="宋体" w:hAnsi="宋体"/>
                <w:b/>
                <w:color w:val="auto"/>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1</w:t>
            </w:r>
          </w:p>
        </w:tc>
        <w:tc>
          <w:tcPr>
            <w:tcW w:w="2582" w:type="dxa"/>
            <w:vAlign w:val="center"/>
          </w:tcPr>
          <w:p>
            <w:pPr>
              <w:widowControl/>
              <w:jc w:val="center"/>
              <w:rPr>
                <w:rFonts w:ascii="宋体" w:hAnsi="宋体"/>
                <w:color w:val="auto"/>
                <w:szCs w:val="21"/>
              </w:rPr>
            </w:pPr>
            <w:r>
              <w:rPr>
                <w:rFonts w:ascii="宋体" w:hAnsi="宋体"/>
                <w:color w:val="auto"/>
                <w:szCs w:val="21"/>
              </w:rPr>
              <w:t>坍塌滑坡</w:t>
            </w:r>
          </w:p>
        </w:tc>
        <w:tc>
          <w:tcPr>
            <w:tcW w:w="2353" w:type="dxa"/>
            <w:vAlign w:val="center"/>
          </w:tcPr>
          <w:p>
            <w:pPr>
              <w:widowControl/>
              <w:jc w:val="center"/>
              <w:rPr>
                <w:rFonts w:ascii="宋体" w:hAnsi="宋体"/>
                <w:color w:val="auto"/>
                <w:szCs w:val="21"/>
              </w:rPr>
            </w:pPr>
            <w:r>
              <w:rPr>
                <w:rFonts w:ascii="宋体" w:hAnsi="宋体"/>
                <w:color w:val="auto"/>
                <w:szCs w:val="21"/>
              </w:rPr>
              <w:t>Ⅳ</w:t>
            </w:r>
          </w:p>
        </w:tc>
        <w:tc>
          <w:tcPr>
            <w:tcW w:w="2891" w:type="dxa"/>
            <w:vAlign w:val="center"/>
          </w:tcPr>
          <w:p>
            <w:pPr>
              <w:widowControl/>
              <w:jc w:val="center"/>
              <w:rPr>
                <w:rFonts w:ascii="宋体" w:hAnsi="宋体"/>
                <w:color w:val="auto"/>
                <w:szCs w:val="21"/>
              </w:rPr>
            </w:pPr>
            <w:r>
              <w:rPr>
                <w:rFonts w:ascii="宋体" w:hAnsi="宋体"/>
                <w:color w:val="auto"/>
                <w:szCs w:val="21"/>
              </w:rPr>
              <w:t>灾难性的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2</w:t>
            </w:r>
          </w:p>
        </w:tc>
        <w:tc>
          <w:tcPr>
            <w:tcW w:w="2582" w:type="dxa"/>
            <w:vAlign w:val="center"/>
          </w:tcPr>
          <w:p>
            <w:pPr>
              <w:widowControl/>
              <w:jc w:val="center"/>
              <w:rPr>
                <w:rFonts w:ascii="宋体" w:hAnsi="宋体"/>
                <w:color w:val="auto"/>
                <w:szCs w:val="21"/>
              </w:rPr>
            </w:pPr>
            <w:r>
              <w:rPr>
                <w:rFonts w:ascii="宋体" w:hAnsi="宋体"/>
                <w:color w:val="auto"/>
                <w:szCs w:val="21"/>
              </w:rPr>
              <w:t>物体打击</w:t>
            </w:r>
          </w:p>
        </w:tc>
        <w:tc>
          <w:tcPr>
            <w:tcW w:w="2353" w:type="dxa"/>
            <w:vAlign w:val="center"/>
          </w:tcPr>
          <w:p>
            <w:pPr>
              <w:widowControl/>
              <w:jc w:val="center"/>
              <w:rPr>
                <w:rFonts w:ascii="宋体" w:hAnsi="宋体"/>
                <w:color w:val="auto"/>
                <w:szCs w:val="21"/>
              </w:rPr>
            </w:pPr>
            <w:r>
              <w:rPr>
                <w:rFonts w:hint="eastAsia" w:ascii="宋体" w:hAnsi="宋体" w:cs="宋体"/>
                <w:color w:val="auto"/>
                <w:szCs w:val="21"/>
              </w:rPr>
              <w:t>Ⅲ</w:t>
            </w:r>
          </w:p>
        </w:tc>
        <w:tc>
          <w:tcPr>
            <w:tcW w:w="2891" w:type="dxa"/>
            <w:vAlign w:val="center"/>
          </w:tcPr>
          <w:p>
            <w:pPr>
              <w:widowControl/>
              <w:jc w:val="center"/>
              <w:rPr>
                <w:rFonts w:ascii="宋体" w:hAnsi="宋体"/>
                <w:color w:val="auto"/>
                <w:szCs w:val="21"/>
              </w:rPr>
            </w:pPr>
            <w:r>
              <w:rPr>
                <w:rFonts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3</w:t>
            </w:r>
          </w:p>
        </w:tc>
        <w:tc>
          <w:tcPr>
            <w:tcW w:w="2582" w:type="dxa"/>
            <w:vAlign w:val="center"/>
          </w:tcPr>
          <w:p>
            <w:pPr>
              <w:widowControl/>
              <w:jc w:val="center"/>
              <w:rPr>
                <w:rFonts w:ascii="宋体" w:hAnsi="宋体"/>
                <w:color w:val="auto"/>
                <w:szCs w:val="21"/>
              </w:rPr>
            </w:pPr>
            <w:r>
              <w:rPr>
                <w:rFonts w:ascii="宋体" w:hAnsi="宋体"/>
                <w:color w:val="auto"/>
                <w:szCs w:val="21"/>
              </w:rPr>
              <w:t>高处坠落</w:t>
            </w:r>
          </w:p>
        </w:tc>
        <w:tc>
          <w:tcPr>
            <w:tcW w:w="2353" w:type="dxa"/>
            <w:vAlign w:val="center"/>
          </w:tcPr>
          <w:p>
            <w:pPr>
              <w:widowControl/>
              <w:jc w:val="center"/>
              <w:rPr>
                <w:rFonts w:ascii="宋体" w:hAnsi="宋体"/>
                <w:color w:val="auto"/>
                <w:szCs w:val="21"/>
              </w:rPr>
            </w:pPr>
            <w:r>
              <w:rPr>
                <w:rFonts w:ascii="宋体" w:hAnsi="宋体"/>
                <w:color w:val="auto"/>
                <w:szCs w:val="21"/>
              </w:rPr>
              <w:t>Ⅲ</w:t>
            </w:r>
          </w:p>
        </w:tc>
        <w:tc>
          <w:tcPr>
            <w:tcW w:w="2891" w:type="dxa"/>
            <w:vAlign w:val="center"/>
          </w:tcPr>
          <w:p>
            <w:pPr>
              <w:widowControl/>
              <w:jc w:val="center"/>
              <w:rPr>
                <w:rFonts w:ascii="宋体" w:hAnsi="宋体"/>
                <w:color w:val="auto"/>
                <w:szCs w:val="21"/>
              </w:rPr>
            </w:pPr>
            <w:r>
              <w:rPr>
                <w:rFonts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4</w:t>
            </w:r>
          </w:p>
        </w:tc>
        <w:tc>
          <w:tcPr>
            <w:tcW w:w="2582" w:type="dxa"/>
            <w:vAlign w:val="center"/>
          </w:tcPr>
          <w:p>
            <w:pPr>
              <w:widowControl/>
              <w:jc w:val="center"/>
              <w:rPr>
                <w:rFonts w:ascii="宋体" w:hAnsi="宋体"/>
                <w:color w:val="auto"/>
                <w:szCs w:val="21"/>
              </w:rPr>
            </w:pPr>
            <w:r>
              <w:rPr>
                <w:rFonts w:ascii="宋体" w:hAnsi="宋体"/>
                <w:color w:val="auto"/>
                <w:szCs w:val="21"/>
              </w:rPr>
              <w:t>车辆伤害</w:t>
            </w:r>
          </w:p>
        </w:tc>
        <w:tc>
          <w:tcPr>
            <w:tcW w:w="2353" w:type="dxa"/>
            <w:vAlign w:val="center"/>
          </w:tcPr>
          <w:p>
            <w:pPr>
              <w:widowControl/>
              <w:jc w:val="center"/>
              <w:rPr>
                <w:rFonts w:ascii="宋体" w:hAnsi="宋体"/>
                <w:color w:val="auto"/>
                <w:szCs w:val="21"/>
              </w:rPr>
            </w:pPr>
            <w:r>
              <w:rPr>
                <w:rFonts w:ascii="宋体" w:hAnsi="宋体"/>
                <w:color w:val="auto"/>
                <w:szCs w:val="21"/>
              </w:rPr>
              <w:t>Ⅲ</w:t>
            </w:r>
          </w:p>
        </w:tc>
        <w:tc>
          <w:tcPr>
            <w:tcW w:w="2891" w:type="dxa"/>
            <w:vAlign w:val="center"/>
          </w:tcPr>
          <w:p>
            <w:pPr>
              <w:widowControl/>
              <w:jc w:val="center"/>
              <w:rPr>
                <w:rFonts w:ascii="宋体" w:hAnsi="宋体"/>
                <w:color w:val="auto"/>
                <w:szCs w:val="21"/>
              </w:rPr>
            </w:pPr>
            <w:r>
              <w:rPr>
                <w:rFonts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5</w:t>
            </w:r>
          </w:p>
        </w:tc>
        <w:tc>
          <w:tcPr>
            <w:tcW w:w="2582" w:type="dxa"/>
            <w:vAlign w:val="center"/>
          </w:tcPr>
          <w:p>
            <w:pPr>
              <w:widowControl/>
              <w:jc w:val="center"/>
              <w:rPr>
                <w:rFonts w:ascii="宋体" w:hAnsi="宋体"/>
                <w:color w:val="auto"/>
                <w:szCs w:val="21"/>
              </w:rPr>
            </w:pPr>
            <w:r>
              <w:rPr>
                <w:rFonts w:ascii="宋体" w:hAnsi="宋体"/>
                <w:color w:val="auto"/>
                <w:szCs w:val="21"/>
              </w:rPr>
              <w:t>机械伤害</w:t>
            </w:r>
          </w:p>
        </w:tc>
        <w:tc>
          <w:tcPr>
            <w:tcW w:w="2353" w:type="dxa"/>
            <w:vAlign w:val="center"/>
          </w:tcPr>
          <w:p>
            <w:pPr>
              <w:widowControl/>
              <w:jc w:val="center"/>
              <w:rPr>
                <w:rFonts w:ascii="宋体" w:hAnsi="宋体"/>
                <w:color w:val="auto"/>
                <w:szCs w:val="21"/>
              </w:rPr>
            </w:pPr>
            <w:r>
              <w:rPr>
                <w:rFonts w:ascii="宋体" w:hAnsi="宋体"/>
                <w:color w:val="auto"/>
                <w:szCs w:val="21"/>
              </w:rPr>
              <w:t>Ⅲ</w:t>
            </w:r>
          </w:p>
        </w:tc>
        <w:tc>
          <w:tcPr>
            <w:tcW w:w="2891" w:type="dxa"/>
            <w:vAlign w:val="center"/>
          </w:tcPr>
          <w:p>
            <w:pPr>
              <w:widowControl/>
              <w:jc w:val="center"/>
              <w:rPr>
                <w:rFonts w:ascii="宋体" w:hAnsi="宋体"/>
                <w:color w:val="auto"/>
                <w:szCs w:val="21"/>
              </w:rPr>
            </w:pPr>
            <w:r>
              <w:rPr>
                <w:rFonts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6</w:t>
            </w:r>
          </w:p>
        </w:tc>
        <w:tc>
          <w:tcPr>
            <w:tcW w:w="2582" w:type="dxa"/>
            <w:vAlign w:val="center"/>
          </w:tcPr>
          <w:p>
            <w:pPr>
              <w:widowControl/>
              <w:jc w:val="center"/>
              <w:rPr>
                <w:rFonts w:ascii="宋体" w:hAnsi="宋体"/>
                <w:color w:val="auto"/>
                <w:szCs w:val="21"/>
              </w:rPr>
            </w:pPr>
            <w:r>
              <w:rPr>
                <w:rFonts w:ascii="宋体" w:hAnsi="宋体"/>
                <w:color w:val="auto"/>
                <w:szCs w:val="21"/>
              </w:rPr>
              <w:t>触电</w:t>
            </w:r>
          </w:p>
        </w:tc>
        <w:tc>
          <w:tcPr>
            <w:tcW w:w="2353" w:type="dxa"/>
            <w:vAlign w:val="center"/>
          </w:tcPr>
          <w:p>
            <w:pPr>
              <w:widowControl/>
              <w:jc w:val="center"/>
              <w:rPr>
                <w:rFonts w:ascii="宋体" w:hAnsi="宋体"/>
                <w:color w:val="auto"/>
                <w:szCs w:val="21"/>
              </w:rPr>
            </w:pPr>
            <w:r>
              <w:rPr>
                <w:rFonts w:ascii="宋体" w:hAnsi="宋体"/>
                <w:color w:val="auto"/>
                <w:szCs w:val="21"/>
              </w:rPr>
              <w:t>Ⅲ</w:t>
            </w:r>
          </w:p>
        </w:tc>
        <w:tc>
          <w:tcPr>
            <w:tcW w:w="2891" w:type="dxa"/>
            <w:vAlign w:val="center"/>
          </w:tcPr>
          <w:p>
            <w:pPr>
              <w:widowControl/>
              <w:jc w:val="center"/>
              <w:rPr>
                <w:rFonts w:ascii="宋体" w:hAnsi="宋体"/>
                <w:color w:val="auto"/>
                <w:szCs w:val="21"/>
              </w:rPr>
            </w:pPr>
            <w:r>
              <w:rPr>
                <w:rFonts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7</w:t>
            </w:r>
          </w:p>
        </w:tc>
        <w:tc>
          <w:tcPr>
            <w:tcW w:w="2582" w:type="dxa"/>
            <w:vAlign w:val="center"/>
          </w:tcPr>
          <w:p>
            <w:pPr>
              <w:widowControl/>
              <w:jc w:val="center"/>
              <w:rPr>
                <w:rFonts w:ascii="宋体" w:hAnsi="宋体"/>
                <w:color w:val="auto"/>
                <w:szCs w:val="21"/>
              </w:rPr>
            </w:pPr>
            <w:r>
              <w:rPr>
                <w:rFonts w:ascii="宋体" w:hAnsi="宋体"/>
                <w:color w:val="auto"/>
                <w:szCs w:val="21"/>
              </w:rPr>
              <w:t>火灾</w:t>
            </w:r>
          </w:p>
        </w:tc>
        <w:tc>
          <w:tcPr>
            <w:tcW w:w="2353" w:type="dxa"/>
            <w:vAlign w:val="center"/>
          </w:tcPr>
          <w:p>
            <w:pPr>
              <w:widowControl/>
              <w:jc w:val="center"/>
              <w:rPr>
                <w:rFonts w:ascii="宋体" w:hAnsi="宋体"/>
                <w:b/>
                <w:color w:val="auto"/>
                <w:szCs w:val="21"/>
              </w:rPr>
            </w:pPr>
            <w:r>
              <w:rPr>
                <w:rFonts w:ascii="宋体" w:hAnsi="宋体"/>
                <w:color w:val="auto"/>
                <w:szCs w:val="21"/>
              </w:rPr>
              <w:t>Ⅲ</w:t>
            </w:r>
          </w:p>
        </w:tc>
        <w:tc>
          <w:tcPr>
            <w:tcW w:w="2891" w:type="dxa"/>
            <w:vAlign w:val="center"/>
          </w:tcPr>
          <w:p>
            <w:pPr>
              <w:widowControl/>
              <w:jc w:val="center"/>
              <w:rPr>
                <w:rFonts w:ascii="宋体" w:hAnsi="宋体"/>
                <w:color w:val="auto"/>
                <w:szCs w:val="21"/>
              </w:rPr>
            </w:pPr>
            <w:r>
              <w:rPr>
                <w:rFonts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8</w:t>
            </w:r>
          </w:p>
        </w:tc>
        <w:tc>
          <w:tcPr>
            <w:tcW w:w="2582" w:type="dxa"/>
            <w:vAlign w:val="center"/>
          </w:tcPr>
          <w:p>
            <w:pPr>
              <w:widowControl/>
              <w:jc w:val="center"/>
              <w:rPr>
                <w:rFonts w:ascii="宋体" w:hAnsi="宋体"/>
                <w:color w:val="auto"/>
                <w:szCs w:val="21"/>
              </w:rPr>
            </w:pPr>
            <w:r>
              <w:rPr>
                <w:rFonts w:ascii="宋体" w:hAnsi="宋体"/>
                <w:color w:val="auto"/>
                <w:szCs w:val="21"/>
              </w:rPr>
              <w:t>粉尘</w:t>
            </w:r>
          </w:p>
        </w:tc>
        <w:tc>
          <w:tcPr>
            <w:tcW w:w="2353" w:type="dxa"/>
            <w:vAlign w:val="center"/>
          </w:tcPr>
          <w:p>
            <w:pPr>
              <w:widowControl/>
              <w:jc w:val="center"/>
              <w:rPr>
                <w:rFonts w:ascii="宋体" w:hAnsi="宋体"/>
                <w:color w:val="auto"/>
                <w:szCs w:val="21"/>
              </w:rPr>
            </w:pPr>
            <w:r>
              <w:rPr>
                <w:rFonts w:hint="eastAsia" w:ascii="宋体" w:hAnsi="宋体"/>
                <w:color w:val="auto"/>
                <w:szCs w:val="21"/>
              </w:rPr>
              <w:t>Ⅲ</w:t>
            </w:r>
          </w:p>
        </w:tc>
        <w:tc>
          <w:tcPr>
            <w:tcW w:w="2891" w:type="dxa"/>
            <w:vAlign w:val="center"/>
          </w:tcPr>
          <w:p>
            <w:pPr>
              <w:widowControl/>
              <w:jc w:val="center"/>
              <w:rPr>
                <w:rFonts w:ascii="宋体" w:hAnsi="宋体"/>
                <w:color w:val="auto"/>
                <w:szCs w:val="21"/>
              </w:rPr>
            </w:pPr>
            <w:r>
              <w:rPr>
                <w:rFonts w:hint="eastAsia" w:ascii="宋体" w:hAnsi="宋体"/>
                <w:color w:val="auto"/>
                <w:szCs w:val="21"/>
              </w:rPr>
              <w:t>危险的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9</w:t>
            </w:r>
          </w:p>
        </w:tc>
        <w:tc>
          <w:tcPr>
            <w:tcW w:w="2582" w:type="dxa"/>
            <w:vAlign w:val="center"/>
          </w:tcPr>
          <w:p>
            <w:pPr>
              <w:widowControl/>
              <w:jc w:val="center"/>
              <w:rPr>
                <w:rFonts w:ascii="宋体" w:hAnsi="宋体"/>
                <w:color w:val="auto"/>
                <w:szCs w:val="21"/>
              </w:rPr>
            </w:pPr>
            <w:r>
              <w:rPr>
                <w:rFonts w:ascii="宋体" w:hAnsi="宋体"/>
                <w:color w:val="auto"/>
                <w:szCs w:val="21"/>
              </w:rPr>
              <w:t>噪声</w:t>
            </w:r>
          </w:p>
        </w:tc>
        <w:tc>
          <w:tcPr>
            <w:tcW w:w="2353" w:type="dxa"/>
            <w:vAlign w:val="center"/>
          </w:tcPr>
          <w:p>
            <w:pPr>
              <w:widowControl/>
              <w:jc w:val="center"/>
              <w:rPr>
                <w:rFonts w:ascii="宋体" w:hAnsi="宋体"/>
                <w:color w:val="auto"/>
                <w:szCs w:val="21"/>
              </w:rPr>
            </w:pPr>
            <w:r>
              <w:rPr>
                <w:rFonts w:ascii="宋体" w:hAnsi="宋体"/>
                <w:color w:val="auto"/>
                <w:szCs w:val="21"/>
              </w:rPr>
              <w:t>Ⅱ</w:t>
            </w:r>
          </w:p>
        </w:tc>
        <w:tc>
          <w:tcPr>
            <w:tcW w:w="2891" w:type="dxa"/>
            <w:vAlign w:val="center"/>
          </w:tcPr>
          <w:p>
            <w:pPr>
              <w:widowControl/>
              <w:jc w:val="center"/>
              <w:rPr>
                <w:rFonts w:ascii="宋体" w:hAnsi="宋体"/>
                <w:color w:val="auto"/>
                <w:szCs w:val="21"/>
              </w:rPr>
            </w:pPr>
            <w:r>
              <w:rPr>
                <w:rFonts w:ascii="宋体" w:hAnsi="宋体"/>
                <w:color w:val="auto"/>
                <w:szCs w:val="21"/>
              </w:rPr>
              <w:t>临界的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10</w:t>
            </w:r>
          </w:p>
        </w:tc>
        <w:tc>
          <w:tcPr>
            <w:tcW w:w="2582" w:type="dxa"/>
            <w:vAlign w:val="center"/>
          </w:tcPr>
          <w:p>
            <w:pPr>
              <w:widowControl/>
              <w:jc w:val="center"/>
              <w:rPr>
                <w:rFonts w:ascii="宋体" w:hAnsi="宋体"/>
                <w:color w:val="auto"/>
                <w:szCs w:val="21"/>
              </w:rPr>
            </w:pPr>
            <w:r>
              <w:rPr>
                <w:rFonts w:ascii="宋体" w:hAnsi="宋体"/>
                <w:color w:val="auto"/>
                <w:szCs w:val="21"/>
              </w:rPr>
              <w:t>振动</w:t>
            </w:r>
          </w:p>
        </w:tc>
        <w:tc>
          <w:tcPr>
            <w:tcW w:w="2353" w:type="dxa"/>
            <w:vAlign w:val="center"/>
          </w:tcPr>
          <w:p>
            <w:pPr>
              <w:widowControl/>
              <w:jc w:val="center"/>
              <w:rPr>
                <w:rFonts w:ascii="宋体" w:hAnsi="宋体"/>
                <w:color w:val="auto"/>
                <w:szCs w:val="21"/>
              </w:rPr>
            </w:pPr>
            <w:r>
              <w:rPr>
                <w:rFonts w:ascii="宋体" w:hAnsi="宋体"/>
                <w:color w:val="auto"/>
                <w:szCs w:val="21"/>
              </w:rPr>
              <w:t>Ⅱ</w:t>
            </w:r>
          </w:p>
        </w:tc>
        <w:tc>
          <w:tcPr>
            <w:tcW w:w="2891" w:type="dxa"/>
            <w:vAlign w:val="center"/>
          </w:tcPr>
          <w:p>
            <w:pPr>
              <w:widowControl/>
              <w:jc w:val="center"/>
              <w:rPr>
                <w:rFonts w:ascii="宋体" w:hAnsi="宋体"/>
                <w:color w:val="auto"/>
                <w:szCs w:val="21"/>
              </w:rPr>
            </w:pPr>
            <w:r>
              <w:rPr>
                <w:rFonts w:ascii="宋体" w:hAnsi="宋体"/>
                <w:color w:val="auto"/>
                <w:szCs w:val="21"/>
              </w:rPr>
              <w:t>临界的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93" w:type="dxa"/>
            <w:vAlign w:val="center"/>
          </w:tcPr>
          <w:p>
            <w:pPr>
              <w:widowControl/>
              <w:jc w:val="center"/>
              <w:rPr>
                <w:rFonts w:ascii="宋体" w:hAnsi="宋体"/>
                <w:color w:val="auto"/>
                <w:szCs w:val="21"/>
              </w:rPr>
            </w:pPr>
            <w:r>
              <w:rPr>
                <w:rFonts w:ascii="宋体" w:hAnsi="宋体"/>
                <w:color w:val="auto"/>
                <w:szCs w:val="21"/>
              </w:rPr>
              <w:t>11</w:t>
            </w:r>
          </w:p>
        </w:tc>
        <w:tc>
          <w:tcPr>
            <w:tcW w:w="2582" w:type="dxa"/>
            <w:vAlign w:val="center"/>
          </w:tcPr>
          <w:p>
            <w:pPr>
              <w:widowControl/>
              <w:jc w:val="center"/>
              <w:rPr>
                <w:rFonts w:ascii="宋体" w:hAnsi="宋体"/>
                <w:color w:val="auto"/>
                <w:szCs w:val="21"/>
              </w:rPr>
            </w:pPr>
            <w:r>
              <w:rPr>
                <w:rFonts w:ascii="宋体" w:hAnsi="宋体"/>
                <w:color w:val="auto"/>
                <w:szCs w:val="21"/>
              </w:rPr>
              <w:t>高温</w:t>
            </w:r>
            <w:r>
              <w:rPr>
                <w:rFonts w:hint="eastAsia" w:ascii="宋体" w:hAnsi="宋体"/>
                <w:color w:val="auto"/>
                <w:szCs w:val="21"/>
              </w:rPr>
              <w:t>中暑</w:t>
            </w:r>
          </w:p>
        </w:tc>
        <w:tc>
          <w:tcPr>
            <w:tcW w:w="2353" w:type="dxa"/>
            <w:vAlign w:val="center"/>
          </w:tcPr>
          <w:p>
            <w:pPr>
              <w:widowControl/>
              <w:jc w:val="center"/>
              <w:rPr>
                <w:rFonts w:ascii="宋体" w:hAnsi="宋体"/>
                <w:color w:val="auto"/>
                <w:szCs w:val="21"/>
              </w:rPr>
            </w:pPr>
            <w:r>
              <w:rPr>
                <w:rFonts w:ascii="宋体" w:hAnsi="宋体"/>
                <w:color w:val="auto"/>
                <w:szCs w:val="21"/>
              </w:rPr>
              <w:t>Ⅱ</w:t>
            </w:r>
          </w:p>
        </w:tc>
        <w:tc>
          <w:tcPr>
            <w:tcW w:w="2891" w:type="dxa"/>
            <w:vAlign w:val="center"/>
          </w:tcPr>
          <w:p>
            <w:pPr>
              <w:widowControl/>
              <w:jc w:val="center"/>
              <w:rPr>
                <w:rFonts w:ascii="宋体" w:hAnsi="宋体"/>
                <w:color w:val="auto"/>
                <w:szCs w:val="21"/>
              </w:rPr>
            </w:pPr>
            <w:r>
              <w:rPr>
                <w:rFonts w:ascii="宋体" w:hAnsi="宋体"/>
                <w:color w:val="auto"/>
                <w:szCs w:val="21"/>
              </w:rPr>
              <w:t>临界的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193" w:type="dxa"/>
            <w:vAlign w:val="center"/>
          </w:tcPr>
          <w:p>
            <w:pPr>
              <w:widowControl/>
              <w:jc w:val="center"/>
              <w:rPr>
                <w:rFonts w:ascii="宋体" w:hAnsi="宋体"/>
                <w:color w:val="auto"/>
                <w:szCs w:val="21"/>
              </w:rPr>
            </w:pPr>
            <w:r>
              <w:rPr>
                <w:rFonts w:hint="eastAsia" w:ascii="宋体" w:hAnsi="宋体"/>
                <w:color w:val="auto"/>
                <w:szCs w:val="21"/>
              </w:rPr>
              <w:t>1</w:t>
            </w:r>
            <w:r>
              <w:rPr>
                <w:rFonts w:ascii="宋体" w:hAnsi="宋体"/>
                <w:color w:val="auto"/>
                <w:szCs w:val="21"/>
              </w:rPr>
              <w:t>2</w:t>
            </w:r>
          </w:p>
        </w:tc>
        <w:tc>
          <w:tcPr>
            <w:tcW w:w="2582" w:type="dxa"/>
            <w:vAlign w:val="center"/>
          </w:tcPr>
          <w:p>
            <w:pPr>
              <w:widowControl/>
              <w:jc w:val="center"/>
              <w:rPr>
                <w:rFonts w:ascii="宋体" w:hAnsi="宋体"/>
                <w:color w:val="auto"/>
                <w:szCs w:val="21"/>
              </w:rPr>
            </w:pPr>
            <w:r>
              <w:rPr>
                <w:rFonts w:hint="eastAsia" w:ascii="宋体" w:hAnsi="宋体"/>
                <w:color w:val="auto"/>
                <w:szCs w:val="21"/>
              </w:rPr>
              <w:t>辐射</w:t>
            </w:r>
          </w:p>
        </w:tc>
        <w:tc>
          <w:tcPr>
            <w:tcW w:w="2353" w:type="dxa"/>
            <w:vAlign w:val="center"/>
          </w:tcPr>
          <w:p>
            <w:pPr>
              <w:widowControl/>
              <w:jc w:val="center"/>
              <w:rPr>
                <w:rFonts w:ascii="宋体" w:hAnsi="宋体"/>
                <w:color w:val="auto"/>
                <w:szCs w:val="21"/>
              </w:rPr>
            </w:pPr>
            <w:r>
              <w:rPr>
                <w:rFonts w:ascii="宋体" w:hAnsi="宋体"/>
                <w:color w:val="auto"/>
                <w:szCs w:val="21"/>
              </w:rPr>
              <w:t>Ⅱ</w:t>
            </w:r>
          </w:p>
        </w:tc>
        <w:tc>
          <w:tcPr>
            <w:tcW w:w="2891" w:type="dxa"/>
            <w:vAlign w:val="center"/>
          </w:tcPr>
          <w:p>
            <w:pPr>
              <w:widowControl/>
              <w:jc w:val="center"/>
              <w:rPr>
                <w:rFonts w:ascii="宋体" w:hAnsi="宋体"/>
                <w:color w:val="auto"/>
                <w:szCs w:val="21"/>
              </w:rPr>
            </w:pPr>
            <w:r>
              <w:rPr>
                <w:rFonts w:ascii="宋体" w:hAnsi="宋体"/>
                <w:color w:val="auto"/>
                <w:szCs w:val="21"/>
              </w:rPr>
              <w:t>临界的</w:t>
            </w:r>
          </w:p>
        </w:tc>
      </w:tr>
    </w:tbl>
    <w:p>
      <w:pPr>
        <w:widowControl/>
        <w:spacing w:line="500" w:lineRule="exact"/>
        <w:ind w:firstLine="480" w:firstLineChars="200"/>
        <w:rPr>
          <w:rFonts w:ascii="宋体" w:hAnsi="宋体"/>
          <w:color w:val="auto"/>
          <w:sz w:val="24"/>
        </w:rPr>
      </w:pPr>
      <w:r>
        <w:rPr>
          <w:rFonts w:ascii="宋体" w:hAnsi="宋体"/>
          <w:color w:val="auto"/>
          <w:sz w:val="24"/>
        </w:rPr>
        <w:t>通过对该建设项目</w:t>
      </w:r>
      <w:r>
        <w:rPr>
          <w:rFonts w:hint="eastAsia" w:ascii="宋体" w:hAnsi="宋体"/>
          <w:color w:val="auto"/>
          <w:sz w:val="24"/>
        </w:rPr>
        <w:t>单元</w:t>
      </w:r>
      <w:r>
        <w:rPr>
          <w:rFonts w:ascii="宋体" w:hAnsi="宋体"/>
          <w:color w:val="auto"/>
          <w:sz w:val="24"/>
        </w:rPr>
        <w:t>进行预先危险性分析评价，得出了该项目不同场所可能存在的危险、有害因素和危险性等级。</w:t>
      </w:r>
    </w:p>
    <w:p>
      <w:pPr>
        <w:widowControl/>
        <w:spacing w:line="500" w:lineRule="exact"/>
        <w:ind w:firstLine="480" w:firstLineChars="200"/>
        <w:rPr>
          <w:rFonts w:ascii="宋体" w:hAnsi="宋体"/>
          <w:color w:val="auto"/>
          <w:sz w:val="24"/>
        </w:rPr>
      </w:pPr>
      <w:r>
        <w:rPr>
          <w:rFonts w:ascii="宋体" w:hAnsi="宋体"/>
          <w:color w:val="auto"/>
          <w:sz w:val="24"/>
        </w:rPr>
        <w:t>属</w:t>
      </w:r>
      <w:r>
        <w:rPr>
          <w:rFonts w:hint="eastAsia" w:ascii="宋体" w:hAnsi="宋体"/>
          <w:color w:val="auto"/>
          <w:sz w:val="24"/>
        </w:rPr>
        <w:t>“</w:t>
      </w:r>
      <w:r>
        <w:rPr>
          <w:rFonts w:ascii="宋体" w:hAnsi="宋体"/>
          <w:color w:val="auto"/>
          <w:sz w:val="24"/>
        </w:rPr>
        <w:t>灾难性的</w:t>
      </w:r>
      <w:r>
        <w:rPr>
          <w:rFonts w:hint="eastAsia" w:ascii="宋体" w:hAnsi="宋体"/>
          <w:color w:val="auto"/>
          <w:sz w:val="24"/>
        </w:rPr>
        <w:t>”</w:t>
      </w:r>
      <w:r>
        <w:rPr>
          <w:rFonts w:ascii="宋体" w:hAnsi="宋体"/>
          <w:color w:val="auto"/>
          <w:sz w:val="24"/>
        </w:rPr>
        <w:t>有：滑坡坍塌，其存在场所应高度重视，立即采取预防和控制的对策措施予以果断排除，防范事故的发生</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ascii="宋体" w:hAnsi="宋体"/>
          <w:color w:val="auto"/>
          <w:sz w:val="24"/>
        </w:rPr>
        <w:t>属</w:t>
      </w:r>
      <w:r>
        <w:rPr>
          <w:rFonts w:hint="eastAsia" w:ascii="宋体" w:hAnsi="宋体"/>
          <w:color w:val="auto"/>
          <w:sz w:val="24"/>
        </w:rPr>
        <w:t>“</w:t>
      </w:r>
      <w:r>
        <w:rPr>
          <w:rFonts w:ascii="宋体" w:hAnsi="宋体"/>
          <w:color w:val="auto"/>
          <w:sz w:val="24"/>
        </w:rPr>
        <w:t>危险的</w:t>
      </w:r>
      <w:r>
        <w:rPr>
          <w:rFonts w:hint="eastAsia" w:ascii="宋体" w:hAnsi="宋体"/>
          <w:color w:val="auto"/>
          <w:sz w:val="24"/>
        </w:rPr>
        <w:t>”</w:t>
      </w:r>
      <w:r>
        <w:rPr>
          <w:rFonts w:ascii="宋体" w:hAnsi="宋体"/>
          <w:color w:val="auto"/>
          <w:sz w:val="24"/>
        </w:rPr>
        <w:t>有：高处坠落、物体打击、车辆伤害、机械伤害、火灾、触电、粉尘等，其存在场所要采取防范措施</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ascii="宋体" w:hAnsi="宋体"/>
          <w:color w:val="auto"/>
          <w:sz w:val="24"/>
        </w:rPr>
        <w:t>危险性等级在</w:t>
      </w:r>
      <w:r>
        <w:rPr>
          <w:rFonts w:hint="eastAsia" w:ascii="宋体" w:hAnsi="宋体"/>
          <w:color w:val="auto"/>
          <w:sz w:val="24"/>
        </w:rPr>
        <w:t>“</w:t>
      </w:r>
      <w:r>
        <w:rPr>
          <w:rFonts w:ascii="宋体" w:hAnsi="宋体"/>
          <w:color w:val="auto"/>
          <w:sz w:val="24"/>
        </w:rPr>
        <w:t>临界的</w:t>
      </w:r>
      <w:r>
        <w:rPr>
          <w:rFonts w:hint="eastAsia" w:ascii="宋体" w:hAnsi="宋体"/>
          <w:color w:val="auto"/>
          <w:sz w:val="24"/>
        </w:rPr>
        <w:t>”</w:t>
      </w:r>
      <w:r>
        <w:rPr>
          <w:rFonts w:ascii="宋体" w:hAnsi="宋体"/>
          <w:color w:val="auto"/>
          <w:sz w:val="24"/>
        </w:rPr>
        <w:t>有：高温</w:t>
      </w:r>
      <w:r>
        <w:rPr>
          <w:rFonts w:hint="eastAsia" w:ascii="宋体" w:hAnsi="宋体"/>
          <w:color w:val="auto"/>
          <w:sz w:val="24"/>
        </w:rPr>
        <w:t>中暑、</w:t>
      </w:r>
      <w:r>
        <w:rPr>
          <w:rFonts w:ascii="宋体" w:hAnsi="宋体"/>
          <w:color w:val="auto"/>
          <w:sz w:val="24"/>
        </w:rPr>
        <w:t>噪声、振动</w:t>
      </w:r>
      <w:r>
        <w:rPr>
          <w:rFonts w:hint="eastAsia" w:ascii="宋体" w:hAnsi="宋体"/>
          <w:color w:val="auto"/>
          <w:sz w:val="24"/>
        </w:rPr>
        <w:t>、辐射</w:t>
      </w:r>
      <w:r>
        <w:rPr>
          <w:rFonts w:ascii="宋体" w:hAnsi="宋体"/>
          <w:color w:val="auto"/>
          <w:sz w:val="24"/>
        </w:rPr>
        <w:t>等，需在今后生产过程中对存在场所加以排除和控制预防</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通过以上分析得知，该建设项目在生产过程中存在的危险</w:t>
      </w:r>
      <w:r>
        <w:rPr>
          <w:rFonts w:hint="eastAsia" w:ascii="宋体" w:hAnsi="宋体"/>
          <w:color w:val="auto"/>
          <w:sz w:val="24"/>
        </w:rPr>
        <w:t>、有害</w:t>
      </w:r>
      <w:r>
        <w:rPr>
          <w:rFonts w:ascii="宋体" w:hAnsi="宋体"/>
          <w:color w:val="auto"/>
          <w:sz w:val="24"/>
        </w:rPr>
        <w:t>因素有：</w:t>
      </w:r>
      <w:r>
        <w:rPr>
          <w:rFonts w:hint="eastAsia" w:ascii="宋体" w:hAnsi="宋体"/>
          <w:color w:val="auto"/>
          <w:sz w:val="24"/>
        </w:rPr>
        <w:t>坍塌（滑坡）、物体打击、高处坠落、车辆伤害、机械伤害、触电、火灾，有害因素有：粉尘、噪声、振动及高温中暑。</w:t>
      </w:r>
    </w:p>
    <w:p>
      <w:pPr>
        <w:widowControl/>
        <w:spacing w:line="500" w:lineRule="exact"/>
        <w:ind w:firstLine="480" w:firstLineChars="200"/>
        <w:rPr>
          <w:rFonts w:ascii="宋体" w:hAnsi="宋体"/>
          <w:color w:val="auto"/>
          <w:sz w:val="24"/>
        </w:rPr>
      </w:pPr>
      <w:r>
        <w:rPr>
          <w:rFonts w:hint="eastAsia" w:ascii="宋体" w:hAnsi="宋体"/>
          <w:color w:val="auto"/>
          <w:sz w:val="24"/>
        </w:rPr>
        <w:t>该新建项目不构成重大危险源。主要危险有害因素分布如表3-</w:t>
      </w:r>
      <w:r>
        <w:rPr>
          <w:rFonts w:ascii="宋体" w:hAnsi="宋体"/>
          <w:color w:val="auto"/>
          <w:sz w:val="24"/>
        </w:rPr>
        <w:t>10</w:t>
      </w:r>
      <w:r>
        <w:rPr>
          <w:rFonts w:hint="eastAsia" w:ascii="宋体" w:hAnsi="宋体"/>
          <w:color w:val="auto"/>
          <w:sz w:val="24"/>
        </w:rPr>
        <w:t>。</w:t>
      </w:r>
    </w:p>
    <w:p>
      <w:pPr>
        <w:widowControl/>
        <w:spacing w:line="500" w:lineRule="exact"/>
        <w:jc w:val="center"/>
        <w:outlineLvl w:val="4"/>
        <w:rPr>
          <w:rFonts w:ascii="宋体" w:hAnsi="宋体"/>
          <w:b/>
          <w:color w:val="auto"/>
          <w:sz w:val="24"/>
        </w:rPr>
      </w:pPr>
      <w:r>
        <w:rPr>
          <w:rFonts w:ascii="宋体" w:hAnsi="宋体"/>
          <w:b/>
          <w:color w:val="auto"/>
          <w:sz w:val="24"/>
        </w:rPr>
        <w:t>表3-10</w:t>
      </w:r>
      <w:r>
        <w:rPr>
          <w:rFonts w:hint="eastAsia" w:ascii="宋体" w:hAnsi="宋体"/>
          <w:b/>
          <w:color w:val="auto"/>
          <w:sz w:val="24"/>
        </w:rPr>
        <w:t xml:space="preserve"> </w:t>
      </w:r>
      <w:r>
        <w:rPr>
          <w:rFonts w:ascii="宋体" w:hAnsi="宋体"/>
          <w:b/>
          <w:color w:val="auto"/>
          <w:sz w:val="24"/>
        </w:rPr>
        <w:t>主要危险有害因素分布情况表</w:t>
      </w:r>
    </w:p>
    <w:tbl>
      <w:tblPr>
        <w:tblStyle w:val="41"/>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624"/>
        <w:gridCol w:w="624"/>
        <w:gridCol w:w="624"/>
        <w:gridCol w:w="624"/>
        <w:gridCol w:w="624"/>
        <w:gridCol w:w="624"/>
        <w:gridCol w:w="624"/>
        <w:gridCol w:w="624"/>
        <w:gridCol w:w="624"/>
        <w:gridCol w:w="624"/>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blHeader/>
          <w:jc w:val="center"/>
        </w:trPr>
        <w:tc>
          <w:tcPr>
            <w:tcW w:w="1304" w:type="dxa"/>
            <w:vAlign w:val="center"/>
          </w:tcPr>
          <w:p>
            <w:pPr>
              <w:widowControl/>
              <w:snapToGrid w:val="0"/>
              <w:spacing w:line="440" w:lineRule="exact"/>
              <w:ind w:firstLine="420"/>
              <w:jc w:val="right"/>
              <w:rPr>
                <w:rFonts w:ascii="宋体" w:hAnsi="宋体"/>
                <w:b/>
                <w:color w:val="auto"/>
                <w:sz w:val="18"/>
                <w:szCs w:val="18"/>
              </w:rPr>
            </w:pPr>
            <w:r>
              <w:rPr>
                <w:rFonts w:ascii="宋体" w:hAnsi="宋体"/>
                <w:b/>
                <w:color w:val="auto"/>
                <w:sz w:val="18"/>
                <w:szCs w:val="18"/>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1270</wp:posOffset>
                      </wp:positionV>
                      <wp:extent cx="704850" cy="1666875"/>
                      <wp:effectExtent l="0" t="0" r="6350" b="9525"/>
                      <wp:wrapNone/>
                      <wp:docPr id="1119746146" name="自选图形 2"/>
                      <wp:cNvGraphicFramePr/>
                      <a:graphic xmlns:a="http://schemas.openxmlformats.org/drawingml/2006/main">
                        <a:graphicData uri="http://schemas.microsoft.com/office/word/2010/wordprocessingShape">
                          <wps:wsp>
                            <wps:cNvCnPr/>
                            <wps:spPr bwMode="auto">
                              <a:xfrm>
                                <a:off x="0" y="0"/>
                                <a:ext cx="704850" cy="1666875"/>
                              </a:xfrm>
                              <a:prstGeom prst="straightConnector1">
                                <a:avLst/>
                              </a:prstGeom>
                              <a:noFill/>
                              <a:ln w="9525">
                                <a:solidFill>
                                  <a:srgbClr val="000000"/>
                                </a:solidFill>
                                <a:round/>
                              </a:ln>
                            </wps:spPr>
                            <wps:bodyPr/>
                          </wps:wsp>
                        </a:graphicData>
                      </a:graphic>
                    </wp:anchor>
                  </w:drawing>
                </mc:Choice>
                <mc:Fallback>
                  <w:pict>
                    <v:shape id="自选图形 2" o:spid="_x0000_s1026" o:spt="32" type="#_x0000_t32" style="position:absolute;left:0pt;margin-left:-1.4pt;margin-top:0.1pt;height:131.25pt;width:55.5pt;z-index:251660288;mso-width-relative:page;mso-height-relative:page;" filled="f" stroked="t" coordsize="21600,21600" o:gfxdata="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oC6uzUAAAABwEAAA8AAAAA&#10;AAAAAQAgAAAAIgAAAGRycy9kb3ducmV2LnhtbFBLAQIUABQAAAAIAIdO4kCfgP0E3wEAAJEDAAAO&#10;AAAAAAAAAAEAIAAAACMBAABkcnMvZTJvRG9jLnhtbFBLBQYAAAAABgAGAFkBAAB0BQAAAAA=&#10;">
                      <v:fill on="f" focussize="0,0"/>
                      <v:stroke color="#000000" joinstyle="round"/>
                      <v:imagedata o:title=""/>
                      <o:lock v:ext="edit" aspectratio="f"/>
                    </v:shape>
                  </w:pict>
                </mc:Fallback>
              </mc:AlternateContent>
            </w:r>
            <w:r>
              <w:rPr>
                <w:rFonts w:hint="eastAsia" w:ascii="宋体" w:hAnsi="宋体"/>
                <w:b/>
                <w:color w:val="auto"/>
                <w:sz w:val="18"/>
                <w:szCs w:val="18"/>
              </w:rPr>
              <w:t>危险</w:t>
            </w:r>
          </w:p>
          <w:p>
            <w:pPr>
              <w:widowControl/>
              <w:snapToGrid w:val="0"/>
              <w:spacing w:line="440" w:lineRule="exact"/>
              <w:ind w:firstLine="420"/>
              <w:jc w:val="right"/>
              <w:rPr>
                <w:rFonts w:ascii="宋体" w:hAnsi="宋体"/>
                <w:b/>
                <w:color w:val="auto"/>
                <w:sz w:val="18"/>
                <w:szCs w:val="18"/>
              </w:rPr>
            </w:pPr>
            <w:r>
              <w:rPr>
                <w:rFonts w:hint="eastAsia" w:ascii="宋体" w:hAnsi="宋体"/>
                <w:b/>
                <w:color w:val="auto"/>
                <w:sz w:val="18"/>
                <w:szCs w:val="18"/>
              </w:rPr>
              <w:t>有害</w:t>
            </w:r>
          </w:p>
          <w:p>
            <w:pPr>
              <w:widowControl/>
              <w:snapToGrid w:val="0"/>
              <w:spacing w:line="440" w:lineRule="exact"/>
              <w:ind w:firstLine="420"/>
              <w:jc w:val="right"/>
              <w:rPr>
                <w:rFonts w:ascii="宋体" w:hAnsi="宋体"/>
                <w:b/>
                <w:color w:val="auto"/>
                <w:sz w:val="18"/>
                <w:szCs w:val="18"/>
              </w:rPr>
            </w:pPr>
            <w:r>
              <w:rPr>
                <w:rFonts w:hint="eastAsia" w:ascii="宋体" w:hAnsi="宋体"/>
                <w:b/>
                <w:color w:val="auto"/>
                <w:sz w:val="18"/>
                <w:szCs w:val="18"/>
              </w:rPr>
              <w:t>因素</w:t>
            </w:r>
          </w:p>
          <w:p>
            <w:pPr>
              <w:widowControl/>
              <w:snapToGrid w:val="0"/>
              <w:spacing w:line="440" w:lineRule="exact"/>
              <w:jc w:val="center"/>
              <w:rPr>
                <w:rFonts w:ascii="宋体" w:hAnsi="宋体"/>
                <w:b/>
                <w:color w:val="auto"/>
                <w:sz w:val="18"/>
                <w:szCs w:val="18"/>
              </w:rPr>
            </w:pPr>
          </w:p>
          <w:p>
            <w:pPr>
              <w:widowControl/>
              <w:snapToGrid w:val="0"/>
              <w:spacing w:line="440" w:lineRule="exact"/>
              <w:jc w:val="left"/>
              <w:rPr>
                <w:rFonts w:ascii="宋体" w:hAnsi="宋体"/>
                <w:b/>
                <w:color w:val="auto"/>
                <w:sz w:val="18"/>
                <w:szCs w:val="18"/>
              </w:rPr>
            </w:pPr>
            <w:r>
              <w:rPr>
                <w:rFonts w:hint="eastAsia" w:ascii="宋体" w:hAnsi="宋体"/>
                <w:b/>
                <w:color w:val="auto"/>
                <w:sz w:val="18"/>
                <w:szCs w:val="18"/>
              </w:rPr>
              <w:t>存在</w:t>
            </w:r>
          </w:p>
          <w:p>
            <w:pPr>
              <w:widowControl/>
              <w:snapToGrid w:val="0"/>
              <w:spacing w:line="440" w:lineRule="exact"/>
              <w:jc w:val="left"/>
              <w:rPr>
                <w:rFonts w:ascii="宋体" w:hAnsi="宋体"/>
                <w:b/>
                <w:color w:val="auto"/>
                <w:sz w:val="18"/>
                <w:szCs w:val="18"/>
              </w:rPr>
            </w:pPr>
            <w:r>
              <w:rPr>
                <w:rFonts w:hint="eastAsia" w:ascii="宋体" w:hAnsi="宋体"/>
                <w:b/>
                <w:color w:val="auto"/>
                <w:sz w:val="18"/>
                <w:szCs w:val="18"/>
              </w:rPr>
              <w:t>场所</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坍塌滑坡</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物体打击</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高处坠落</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车辆伤害</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机械伤害</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触电</w:t>
            </w:r>
          </w:p>
          <w:p>
            <w:pPr>
              <w:widowControl/>
              <w:snapToGrid w:val="0"/>
              <w:jc w:val="center"/>
              <w:rPr>
                <w:rFonts w:ascii="宋体" w:hAnsi="宋体"/>
                <w:b/>
                <w:color w:val="auto"/>
                <w:sz w:val="18"/>
                <w:szCs w:val="18"/>
              </w:rPr>
            </w:pPr>
            <w:r>
              <w:rPr>
                <w:rFonts w:hint="eastAsia" w:ascii="宋体" w:hAnsi="宋体"/>
                <w:b/>
                <w:color w:val="auto"/>
                <w:sz w:val="18"/>
                <w:szCs w:val="18"/>
              </w:rPr>
              <w:t>雷击</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火灾</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粉尘</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噪声</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振动</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辐射</w:t>
            </w:r>
          </w:p>
        </w:tc>
        <w:tc>
          <w:tcPr>
            <w:tcW w:w="624" w:type="dxa"/>
            <w:vAlign w:val="center"/>
          </w:tcPr>
          <w:p>
            <w:pPr>
              <w:widowControl/>
              <w:snapToGrid w:val="0"/>
              <w:jc w:val="center"/>
              <w:rPr>
                <w:rFonts w:ascii="宋体" w:hAnsi="宋体"/>
                <w:b/>
                <w:color w:val="auto"/>
                <w:sz w:val="18"/>
                <w:szCs w:val="18"/>
              </w:rPr>
            </w:pPr>
            <w:r>
              <w:rPr>
                <w:rFonts w:hint="eastAsia" w:ascii="宋体" w:hAnsi="宋体"/>
                <w:b/>
                <w:color w:val="auto"/>
                <w:sz w:val="18"/>
                <w:szCs w:val="18"/>
              </w:rPr>
              <w:t>高温中暑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04" w:type="dxa"/>
            <w:vAlign w:val="center"/>
          </w:tcPr>
          <w:p>
            <w:pPr>
              <w:widowControl/>
              <w:jc w:val="center"/>
              <w:rPr>
                <w:rFonts w:ascii="宋体" w:hAnsi="宋体"/>
                <w:b/>
                <w:color w:val="auto"/>
                <w:sz w:val="18"/>
                <w:szCs w:val="18"/>
              </w:rPr>
            </w:pPr>
            <w:r>
              <w:rPr>
                <w:rFonts w:hint="eastAsia" w:ascii="宋体" w:hAnsi="宋体"/>
                <w:b/>
                <w:color w:val="auto"/>
                <w:sz w:val="18"/>
                <w:szCs w:val="18"/>
              </w:rPr>
              <w:t>采场</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04" w:type="dxa"/>
            <w:vAlign w:val="center"/>
          </w:tcPr>
          <w:p>
            <w:pPr>
              <w:widowControl/>
              <w:jc w:val="center"/>
              <w:rPr>
                <w:rFonts w:ascii="宋体" w:hAnsi="宋体"/>
                <w:b/>
                <w:color w:val="auto"/>
                <w:sz w:val="18"/>
                <w:szCs w:val="18"/>
              </w:rPr>
            </w:pPr>
            <w:r>
              <w:rPr>
                <w:rFonts w:hint="eastAsia" w:ascii="宋体" w:hAnsi="宋体"/>
                <w:b/>
                <w:color w:val="auto"/>
                <w:sz w:val="18"/>
                <w:szCs w:val="18"/>
              </w:rPr>
              <w:t>排土场</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04" w:type="dxa"/>
            <w:vAlign w:val="center"/>
          </w:tcPr>
          <w:p>
            <w:pPr>
              <w:widowControl/>
              <w:jc w:val="center"/>
              <w:rPr>
                <w:rFonts w:ascii="宋体" w:hAnsi="宋体"/>
                <w:b/>
                <w:color w:val="auto"/>
                <w:sz w:val="18"/>
                <w:szCs w:val="18"/>
              </w:rPr>
            </w:pPr>
            <w:r>
              <w:rPr>
                <w:rFonts w:hint="eastAsia" w:ascii="宋体" w:hAnsi="宋体"/>
                <w:b/>
                <w:color w:val="auto"/>
                <w:sz w:val="18"/>
                <w:szCs w:val="18"/>
              </w:rPr>
              <w:t>办公生活区</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04" w:type="dxa"/>
            <w:vAlign w:val="center"/>
          </w:tcPr>
          <w:p>
            <w:pPr>
              <w:widowControl/>
              <w:jc w:val="center"/>
              <w:rPr>
                <w:rFonts w:ascii="宋体" w:hAnsi="宋体"/>
                <w:b/>
                <w:color w:val="auto"/>
                <w:sz w:val="18"/>
                <w:szCs w:val="18"/>
              </w:rPr>
            </w:pPr>
            <w:r>
              <w:rPr>
                <w:rFonts w:hint="eastAsia" w:ascii="宋体" w:hAnsi="宋体"/>
                <w:b/>
                <w:color w:val="auto"/>
                <w:sz w:val="18"/>
                <w:szCs w:val="18"/>
              </w:rPr>
              <w:t>运输道路</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color w:val="auto"/>
                <w:sz w:val="18"/>
                <w:szCs w:val="18"/>
              </w:rPr>
              <w:t>○</w:t>
            </w:r>
          </w:p>
        </w:tc>
        <w:tc>
          <w:tcPr>
            <w:tcW w:w="624" w:type="dxa"/>
            <w:vAlign w:val="center"/>
          </w:tcPr>
          <w:p>
            <w:pPr>
              <w:widowControl/>
              <w:snapToGrid w:val="0"/>
              <w:jc w:val="center"/>
              <w:rPr>
                <w:rFonts w:ascii="宋体" w:hAnsi="宋体"/>
                <w:b/>
                <w:bCs/>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c>
          <w:tcPr>
            <w:tcW w:w="624" w:type="dxa"/>
            <w:vAlign w:val="center"/>
          </w:tcPr>
          <w:p>
            <w:pPr>
              <w:widowControl/>
              <w:snapToGrid w:val="0"/>
              <w:jc w:val="center"/>
              <w:rPr>
                <w:rFonts w:ascii="宋体" w:hAnsi="宋体"/>
                <w:color w:val="auto"/>
                <w:sz w:val="18"/>
                <w:szCs w:val="18"/>
              </w:rPr>
            </w:pPr>
            <w:r>
              <w:rPr>
                <w:rFonts w:hint="eastAsia" w:ascii="宋体" w:hAnsi="宋体"/>
                <w:b/>
                <w:bCs/>
                <w:color w:val="auto"/>
                <w:sz w:val="18"/>
                <w:szCs w:val="18"/>
              </w:rPr>
              <w:t>-</w:t>
            </w:r>
          </w:p>
        </w:tc>
      </w:tr>
    </w:tbl>
    <w:p>
      <w:pPr>
        <w:widowControl/>
        <w:spacing w:line="500" w:lineRule="exact"/>
        <w:ind w:firstLine="420" w:firstLineChars="200"/>
        <w:rPr>
          <w:rFonts w:ascii="宋体" w:hAnsi="宋体"/>
          <w:color w:val="auto"/>
          <w:sz w:val="24"/>
        </w:rPr>
      </w:pPr>
      <w:r>
        <w:rPr>
          <w:rFonts w:hint="eastAsia" w:ascii="宋体" w:hAnsi="宋体"/>
          <w:color w:val="auto"/>
          <w:szCs w:val="21"/>
        </w:rPr>
        <w:t>注：○表示存在，-表示不存在</w:t>
      </w:r>
    </w:p>
    <w:bookmarkEnd w:id="235"/>
    <w:bookmarkEnd w:id="236"/>
    <w:bookmarkEnd w:id="237"/>
    <w:bookmarkEnd w:id="238"/>
    <w:bookmarkEnd w:id="239"/>
    <w:bookmarkEnd w:id="240"/>
    <w:bookmarkEnd w:id="241"/>
    <w:bookmarkEnd w:id="242"/>
    <w:bookmarkEnd w:id="243"/>
    <w:bookmarkEnd w:id="244"/>
    <w:bookmarkEnd w:id="245"/>
    <w:bookmarkEnd w:id="246"/>
    <w:p>
      <w:pPr>
        <w:pStyle w:val="3"/>
        <w:widowControl/>
        <w:spacing w:before="120" w:after="120" w:line="500" w:lineRule="exact"/>
        <w:rPr>
          <w:rFonts w:ascii="宋体" w:hAnsi="宋体" w:eastAsia="宋体"/>
          <w:b/>
          <w:color w:val="auto"/>
          <w:kern w:val="30"/>
          <w:sz w:val="30"/>
          <w:szCs w:val="30"/>
        </w:rPr>
      </w:pPr>
      <w:bookmarkStart w:id="248" w:name="_Toc241824339"/>
      <w:bookmarkStart w:id="249" w:name="_Toc198106937"/>
      <w:bookmarkStart w:id="250" w:name="_Toc168484333"/>
      <w:bookmarkStart w:id="251" w:name="_Toc109632327"/>
      <w:r>
        <w:rPr>
          <w:rFonts w:ascii="宋体" w:hAnsi="宋体" w:eastAsia="宋体"/>
          <w:b/>
          <w:color w:val="auto"/>
          <w:szCs w:val="32"/>
        </w:rPr>
        <w:br w:type="page"/>
      </w:r>
      <w:bookmarkStart w:id="252" w:name="_Toc150262786"/>
      <w:r>
        <w:rPr>
          <w:rFonts w:hint="eastAsia" w:ascii="宋体" w:hAnsi="宋体" w:eastAsia="宋体"/>
          <w:b/>
          <w:color w:val="auto"/>
          <w:kern w:val="30"/>
          <w:sz w:val="30"/>
          <w:szCs w:val="30"/>
        </w:rPr>
        <w:t>4</w:t>
      </w:r>
      <w:r>
        <w:rPr>
          <w:rFonts w:ascii="宋体" w:hAnsi="宋体" w:eastAsia="宋体"/>
          <w:b/>
          <w:color w:val="auto"/>
          <w:kern w:val="30"/>
          <w:sz w:val="30"/>
          <w:szCs w:val="30"/>
        </w:rPr>
        <w:t>安全对策措施及建议</w:t>
      </w:r>
      <w:bookmarkEnd w:id="248"/>
      <w:bookmarkEnd w:id="249"/>
      <w:bookmarkEnd w:id="250"/>
      <w:bookmarkEnd w:id="252"/>
    </w:p>
    <w:p>
      <w:pPr>
        <w:pStyle w:val="4"/>
        <w:keepLines w:val="0"/>
        <w:widowControl/>
        <w:spacing w:before="120" w:after="120" w:line="500" w:lineRule="exact"/>
        <w:rPr>
          <w:rFonts w:ascii="宋体" w:hAnsi="宋体" w:eastAsia="宋体"/>
          <w:b/>
          <w:bCs w:val="0"/>
          <w:color w:val="auto"/>
          <w:kern w:val="28"/>
          <w:sz w:val="28"/>
          <w:szCs w:val="28"/>
        </w:rPr>
      </w:pPr>
      <w:bookmarkStart w:id="253" w:name="_Toc150262787"/>
      <w:bookmarkStart w:id="254" w:name="_Toc329463310"/>
      <w:r>
        <w:rPr>
          <w:rFonts w:hint="eastAsia" w:ascii="宋体" w:hAnsi="宋体" w:eastAsia="宋体"/>
          <w:b/>
          <w:bCs w:val="0"/>
          <w:color w:val="auto"/>
          <w:kern w:val="28"/>
          <w:sz w:val="28"/>
          <w:szCs w:val="28"/>
        </w:rPr>
        <w:t>4</w:t>
      </w:r>
      <w:r>
        <w:rPr>
          <w:rFonts w:ascii="宋体" w:hAnsi="宋体" w:eastAsia="宋体"/>
          <w:b/>
          <w:bCs w:val="0"/>
          <w:color w:val="auto"/>
          <w:kern w:val="28"/>
          <w:sz w:val="28"/>
          <w:szCs w:val="28"/>
        </w:rPr>
        <w:t>.</w:t>
      </w:r>
      <w:r>
        <w:rPr>
          <w:rFonts w:hint="eastAsia" w:ascii="宋体" w:hAnsi="宋体" w:eastAsia="宋体"/>
          <w:b/>
          <w:bCs w:val="0"/>
          <w:color w:val="auto"/>
          <w:kern w:val="28"/>
          <w:sz w:val="28"/>
          <w:szCs w:val="28"/>
        </w:rPr>
        <w:t>1安全技术对策措施</w:t>
      </w:r>
      <w:bookmarkEnd w:id="253"/>
      <w:bookmarkEnd w:id="254"/>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4.1.1总平面布置单元安全对策措施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1）下部设计总平面布置应严格按照《金属非金属矿山安全规程》（GB16423-2020）进行布置。</w:t>
      </w:r>
    </w:p>
    <w:p>
      <w:pPr>
        <w:widowControl/>
        <w:spacing w:line="500" w:lineRule="exact"/>
        <w:ind w:firstLine="480" w:firstLineChars="200"/>
        <w:rPr>
          <w:rFonts w:ascii="宋体" w:hAnsi="宋体"/>
          <w:color w:val="auto"/>
          <w:sz w:val="24"/>
        </w:rPr>
      </w:pPr>
      <w:r>
        <w:rPr>
          <w:rFonts w:hint="eastAsia" w:ascii="宋体" w:hAnsi="宋体"/>
          <w:color w:val="auto"/>
          <w:sz w:val="24"/>
        </w:rPr>
        <w:t>2）建议下步设计完善企业总平面布置图。</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4.1.2开拓运输单元安全对策措施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1）防车辆伤害对策措施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（1）设计时合理选择开拓运输方式，矿山作业过程中严格按设计的开拓运输方式进行作业。</w:t>
      </w:r>
    </w:p>
    <w:p>
      <w:pPr>
        <w:widowControl/>
        <w:spacing w:line="500" w:lineRule="exact"/>
        <w:ind w:firstLine="480" w:firstLineChars="200"/>
        <w:rPr>
          <w:rFonts w:ascii="宋体" w:hAnsi="宋体"/>
          <w:color w:val="auto"/>
          <w:sz w:val="24"/>
        </w:rPr>
      </w:pPr>
      <w:r>
        <w:rPr>
          <w:rFonts w:hint="eastAsia" w:ascii="宋体" w:hAnsi="宋体"/>
          <w:color w:val="auto"/>
          <w:sz w:val="24"/>
        </w:rPr>
        <w:t>（2）矿山运输线路坡度不超过8%。</w:t>
      </w:r>
    </w:p>
    <w:p>
      <w:pPr>
        <w:widowControl/>
        <w:spacing w:line="500" w:lineRule="exact"/>
        <w:ind w:firstLine="480" w:firstLineChars="200"/>
        <w:rPr>
          <w:rFonts w:ascii="宋体" w:hAnsi="宋体"/>
          <w:color w:val="auto"/>
          <w:sz w:val="24"/>
        </w:rPr>
      </w:pPr>
      <w:r>
        <w:rPr>
          <w:rFonts w:hint="eastAsia" w:ascii="宋体" w:hAnsi="宋体"/>
          <w:color w:val="auto"/>
          <w:sz w:val="24"/>
        </w:rPr>
        <w:t>（3）按设计要求设置错车道。</w:t>
      </w:r>
    </w:p>
    <w:p>
      <w:pPr>
        <w:widowControl/>
        <w:spacing w:line="500" w:lineRule="exact"/>
        <w:ind w:firstLine="480" w:firstLineChars="200"/>
        <w:rPr>
          <w:rFonts w:ascii="宋体" w:hAnsi="宋体"/>
          <w:color w:val="auto"/>
          <w:sz w:val="24"/>
        </w:rPr>
      </w:pPr>
      <w:r>
        <w:rPr>
          <w:rFonts w:hint="eastAsia" w:ascii="宋体" w:hAnsi="宋体"/>
          <w:color w:val="auto"/>
          <w:sz w:val="24"/>
        </w:rPr>
        <w:t>（4）按设计要求设置路面宽度。</w:t>
      </w:r>
    </w:p>
    <w:p>
      <w:pPr>
        <w:widowControl/>
        <w:spacing w:line="500" w:lineRule="exact"/>
        <w:ind w:firstLine="480" w:firstLineChars="200"/>
        <w:rPr>
          <w:rFonts w:ascii="宋体" w:hAnsi="宋体"/>
          <w:color w:val="auto"/>
          <w:sz w:val="24"/>
        </w:rPr>
      </w:pPr>
      <w:r>
        <w:rPr>
          <w:rFonts w:hint="eastAsia" w:ascii="宋体" w:hAnsi="宋体"/>
          <w:color w:val="auto"/>
          <w:sz w:val="24"/>
        </w:rPr>
        <w:t>（5）及时维修及保养路面。</w:t>
      </w:r>
    </w:p>
    <w:p>
      <w:pPr>
        <w:widowControl/>
        <w:spacing w:line="500" w:lineRule="exact"/>
        <w:ind w:firstLine="480" w:firstLineChars="200"/>
        <w:rPr>
          <w:rFonts w:ascii="宋体" w:hAnsi="宋体"/>
          <w:color w:val="auto"/>
          <w:sz w:val="24"/>
        </w:rPr>
      </w:pPr>
      <w:r>
        <w:rPr>
          <w:rFonts w:hint="eastAsia" w:ascii="宋体" w:hAnsi="宋体"/>
          <w:color w:val="auto"/>
          <w:sz w:val="24"/>
        </w:rPr>
        <w:t>（6）运输道路临山侧设排水沟。</w:t>
      </w:r>
    </w:p>
    <w:p>
      <w:pPr>
        <w:widowControl/>
        <w:spacing w:line="500" w:lineRule="exact"/>
        <w:ind w:firstLine="480" w:firstLineChars="200"/>
        <w:rPr>
          <w:rFonts w:ascii="宋体" w:hAnsi="宋体"/>
          <w:color w:val="auto"/>
          <w:sz w:val="24"/>
        </w:rPr>
      </w:pPr>
      <w:r>
        <w:rPr>
          <w:rFonts w:hint="eastAsia" w:ascii="宋体" w:hAnsi="宋体"/>
          <w:color w:val="auto"/>
          <w:sz w:val="24"/>
        </w:rPr>
        <w:t>（7）应在运输路段设置限速、安全警示标识，在陡坡或急弯路段临空面设置护拦和挡车垛等。</w:t>
      </w:r>
    </w:p>
    <w:p>
      <w:pPr>
        <w:widowControl/>
        <w:spacing w:line="500" w:lineRule="exact"/>
        <w:ind w:firstLine="480" w:firstLineChars="200"/>
        <w:rPr>
          <w:rFonts w:ascii="宋体" w:hAnsi="宋体"/>
          <w:color w:val="auto"/>
          <w:sz w:val="24"/>
        </w:rPr>
      </w:pPr>
      <w:r>
        <w:rPr>
          <w:rFonts w:hint="eastAsia" w:ascii="宋体" w:hAnsi="宋体"/>
          <w:color w:val="auto"/>
          <w:sz w:val="24"/>
        </w:rPr>
        <w:t>（8）运输道路坡度</w:t>
      </w:r>
      <w:r>
        <w:rPr>
          <w:rFonts w:ascii="宋体" w:hAnsi="宋体"/>
          <w:color w:val="auto"/>
          <w:sz w:val="24"/>
        </w:rPr>
        <w:t>超过</w:t>
      </w:r>
      <w:r>
        <w:rPr>
          <w:rFonts w:hint="eastAsia" w:ascii="宋体" w:hAnsi="宋体"/>
          <w:color w:val="auto"/>
          <w:sz w:val="24"/>
        </w:rPr>
        <w:t>10</w:t>
      </w:r>
      <w:r>
        <w:rPr>
          <w:rFonts w:ascii="宋体" w:hAnsi="宋体"/>
          <w:color w:val="auto"/>
          <w:sz w:val="24"/>
        </w:rPr>
        <w:t>%的路段</w:t>
      </w:r>
      <w:r>
        <w:rPr>
          <w:rFonts w:hint="eastAsia" w:ascii="宋体" w:hAnsi="宋体"/>
          <w:color w:val="auto"/>
          <w:sz w:val="24"/>
        </w:rPr>
        <w:t>只能</w:t>
      </w:r>
      <w:r>
        <w:rPr>
          <w:rFonts w:ascii="宋体" w:hAnsi="宋体"/>
          <w:color w:val="auto"/>
          <w:sz w:val="24"/>
        </w:rPr>
        <w:t>供</w:t>
      </w:r>
      <w:r>
        <w:rPr>
          <w:rFonts w:hint="eastAsia" w:ascii="宋体" w:hAnsi="宋体"/>
          <w:color w:val="auto"/>
          <w:sz w:val="24"/>
        </w:rPr>
        <w:t>挖掘机或</w:t>
      </w:r>
      <w:r>
        <w:rPr>
          <w:rFonts w:ascii="宋体" w:hAnsi="宋体"/>
          <w:color w:val="auto"/>
          <w:sz w:val="24"/>
        </w:rPr>
        <w:t>行人通过。</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）按设计要求购置相应数量及载重量的运输车辆。</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）运输车辆及时检修。</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11</w:t>
      </w:r>
      <w:r>
        <w:rPr>
          <w:rFonts w:hint="eastAsia" w:ascii="宋体" w:hAnsi="宋体"/>
          <w:color w:val="auto"/>
          <w:sz w:val="24"/>
        </w:rPr>
        <w:t>）严禁超载、超速。</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）驾驶员应持证上岗，驾驶时遵章守纪。严禁疲劳驾驶、酒后驾驶、带病驾驶。</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13</w:t>
      </w:r>
      <w:r>
        <w:rPr>
          <w:rFonts w:hint="eastAsia" w:ascii="宋体" w:hAnsi="宋体"/>
          <w:color w:val="auto"/>
          <w:sz w:val="24"/>
        </w:rPr>
        <w:t>）挖掘机铲装作业时应停靠或行走在稳固区域。</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14</w:t>
      </w:r>
      <w:r>
        <w:rPr>
          <w:rFonts w:hint="eastAsia" w:ascii="宋体" w:hAnsi="宋体"/>
          <w:color w:val="auto"/>
          <w:sz w:val="24"/>
        </w:rPr>
        <w:t>）雷雨天气、六级以上大风、大雾天气及夜间时不作业。</w:t>
      </w:r>
    </w:p>
    <w:p>
      <w:pPr>
        <w:widowControl/>
        <w:spacing w:line="500" w:lineRule="exact"/>
        <w:ind w:firstLine="480" w:firstLineChars="200"/>
        <w:rPr>
          <w:rFonts w:ascii="宋体" w:hAnsi="宋体"/>
          <w:color w:val="auto"/>
          <w:sz w:val="24"/>
        </w:rPr>
      </w:pPr>
      <w:r>
        <w:rPr>
          <w:rFonts w:hint="eastAsia" w:ascii="宋体" w:hAnsi="宋体"/>
          <w:color w:val="auto"/>
          <w:sz w:val="24"/>
        </w:rPr>
        <w:t>2）防坍塌滑坡对策措施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（1）按规程修筑道路。</w:t>
      </w:r>
    </w:p>
    <w:p>
      <w:pPr>
        <w:widowControl/>
        <w:spacing w:line="500" w:lineRule="exact"/>
        <w:ind w:firstLine="480" w:firstLineChars="200"/>
        <w:rPr>
          <w:rFonts w:ascii="宋体" w:hAnsi="宋体"/>
          <w:color w:val="auto"/>
          <w:sz w:val="24"/>
        </w:rPr>
      </w:pPr>
      <w:r>
        <w:rPr>
          <w:rFonts w:hint="eastAsia" w:ascii="宋体" w:hAnsi="宋体"/>
          <w:color w:val="auto"/>
          <w:sz w:val="24"/>
        </w:rPr>
        <w:t>（2）按要求在道路的傍山侧修建排水沟，并保证其完好有效。</w:t>
      </w:r>
    </w:p>
    <w:p>
      <w:pPr>
        <w:widowControl/>
        <w:spacing w:line="500" w:lineRule="exact"/>
        <w:ind w:firstLine="480" w:firstLineChars="200"/>
        <w:rPr>
          <w:rFonts w:ascii="宋体" w:hAnsi="宋体"/>
          <w:color w:val="auto"/>
          <w:sz w:val="24"/>
        </w:rPr>
      </w:pPr>
      <w:r>
        <w:rPr>
          <w:rFonts w:hint="eastAsia" w:ascii="宋体" w:hAnsi="宋体"/>
          <w:color w:val="auto"/>
          <w:sz w:val="24"/>
        </w:rPr>
        <w:t>（3）加强道路边坡检查维护。</w:t>
      </w:r>
    </w:p>
    <w:p>
      <w:pPr>
        <w:widowControl/>
        <w:spacing w:line="500" w:lineRule="exact"/>
        <w:ind w:firstLine="480" w:firstLineChars="200"/>
        <w:rPr>
          <w:rFonts w:ascii="宋体" w:hAnsi="宋体"/>
          <w:color w:val="auto"/>
          <w:sz w:val="24"/>
        </w:rPr>
      </w:pPr>
      <w:r>
        <w:rPr>
          <w:rFonts w:hint="eastAsia" w:ascii="宋体" w:hAnsi="宋体"/>
          <w:color w:val="auto"/>
          <w:sz w:val="24"/>
        </w:rPr>
        <w:t>（4）运输道路临山坡侧设排水沟。</w:t>
      </w:r>
    </w:p>
    <w:p>
      <w:pPr>
        <w:widowControl/>
        <w:spacing w:line="5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）防物体打击对策措施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运输设备、人员经过道路边坡下部时，应先清除道路边坡浮石，对不稳定的路面进行加固处理。</w:t>
      </w:r>
    </w:p>
    <w:p>
      <w:pPr>
        <w:widowControl/>
        <w:spacing w:line="500" w:lineRule="exact"/>
        <w:ind w:firstLine="480" w:firstLineChars="200"/>
        <w:rPr>
          <w:rFonts w:ascii="宋体" w:hAnsi="宋体"/>
          <w:color w:val="auto"/>
          <w:sz w:val="24"/>
        </w:rPr>
      </w:pPr>
      <w:r>
        <w:rPr>
          <w:rFonts w:hint="eastAsia" w:ascii="宋体" w:hAnsi="宋体"/>
          <w:color w:val="auto"/>
          <w:sz w:val="24"/>
        </w:rPr>
        <w:t>3）防高处坠落对策措施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（1）行车应距临空面保持1m以上安全距离。</w:t>
      </w:r>
    </w:p>
    <w:p>
      <w:pPr>
        <w:widowControl/>
        <w:spacing w:line="500" w:lineRule="exact"/>
        <w:ind w:firstLine="480" w:firstLineChars="200"/>
        <w:rPr>
          <w:rFonts w:ascii="宋体" w:hAnsi="宋体"/>
          <w:color w:val="auto"/>
          <w:sz w:val="24"/>
        </w:rPr>
      </w:pPr>
      <w:r>
        <w:rPr>
          <w:rFonts w:hint="eastAsia" w:ascii="宋体" w:hAnsi="宋体"/>
          <w:color w:val="auto"/>
          <w:sz w:val="24"/>
        </w:rPr>
        <w:t>（2）在明显位置设警示标志及防护栏。</w:t>
      </w:r>
    </w:p>
    <w:p>
      <w:pPr>
        <w:widowControl/>
        <w:spacing w:line="500" w:lineRule="exact"/>
        <w:ind w:firstLine="480" w:firstLineChars="200"/>
        <w:rPr>
          <w:rFonts w:hint="eastAsia" w:ascii="宋体" w:hAnsi="宋体"/>
          <w:color w:val="auto"/>
          <w:sz w:val="24"/>
        </w:rPr>
      </w:pPr>
      <w:r>
        <w:rPr>
          <w:rFonts w:hint="eastAsia" w:ascii="宋体" w:hAnsi="宋体"/>
          <w:color w:val="auto"/>
          <w:sz w:val="24"/>
        </w:rPr>
        <w:t>4）该运输道路宽度不满足《厂矿道路设计规范》的相关要求，建议下步安全设施设计</w:t>
      </w:r>
      <w:r>
        <w:rPr>
          <w:rFonts w:hint="eastAsia" w:ascii="宋体" w:hAnsi="宋体"/>
          <w:color w:val="auto"/>
          <w:sz w:val="24"/>
          <w:lang w:val="zh-CN"/>
        </w:rPr>
        <w:t>重新对其进行设计；</w:t>
      </w:r>
      <w:r>
        <w:rPr>
          <w:rFonts w:hint="eastAsia" w:ascii="宋体" w:hAnsi="宋体"/>
          <w:color w:val="auto"/>
          <w:sz w:val="24"/>
        </w:rPr>
        <w:t>可行性研究报告未提出运输公路安全设施，建议矿山下一步设计在转弯、陡峻的运输公路内侧设置截排水沟。</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4.1.3采剥单元安全对策措施</w:t>
      </w:r>
    </w:p>
    <w:p>
      <w:pPr>
        <w:pStyle w:val="6"/>
        <w:keepLines w:val="0"/>
        <w:widowControl/>
        <w:spacing w:before="0" w:after="0" w:line="500" w:lineRule="exact"/>
        <w:rPr>
          <w:rFonts w:ascii="宋体" w:hAnsi="宋体" w:eastAsia="宋体"/>
          <w:color w:val="auto"/>
          <w:kern w:val="28"/>
        </w:rPr>
      </w:pPr>
      <w:r>
        <w:rPr>
          <w:rFonts w:hint="eastAsia" w:ascii="宋体" w:hAnsi="宋体" w:eastAsia="宋体"/>
          <w:color w:val="auto"/>
          <w:kern w:val="28"/>
        </w:rPr>
        <w:t>4.1.3.</w:t>
      </w:r>
      <w:r>
        <w:rPr>
          <w:rFonts w:ascii="宋体" w:hAnsi="宋体" w:eastAsia="宋体"/>
          <w:color w:val="auto"/>
          <w:kern w:val="28"/>
        </w:rPr>
        <w:t>1</w:t>
      </w:r>
      <w:r>
        <w:rPr>
          <w:rFonts w:hint="eastAsia" w:ascii="宋体" w:hAnsi="宋体" w:eastAsia="宋体"/>
          <w:color w:val="auto"/>
          <w:kern w:val="28"/>
        </w:rPr>
        <w:t>剥离与矿岩开采对策措施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1）防坍塌滑坡对策措施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（1）设计时，选择合理的台阶参数，台阶作业时按设计的要素进行施工。</w:t>
      </w:r>
    </w:p>
    <w:p>
      <w:pPr>
        <w:widowControl/>
        <w:spacing w:line="500" w:lineRule="exact"/>
        <w:ind w:firstLine="480" w:firstLineChars="200"/>
        <w:rPr>
          <w:rFonts w:ascii="宋体" w:hAnsi="宋体"/>
          <w:color w:val="auto"/>
          <w:sz w:val="24"/>
        </w:rPr>
      </w:pPr>
      <w:r>
        <w:rPr>
          <w:rFonts w:hint="eastAsia" w:ascii="宋体" w:hAnsi="宋体"/>
          <w:color w:val="auto"/>
          <w:sz w:val="24"/>
        </w:rPr>
        <w:t>（2）采场应设置截水沟，各分层台阶设排水沟，截排水沟的排水能力应能满足暴雨季节的排水要求。</w:t>
      </w:r>
    </w:p>
    <w:p>
      <w:pPr>
        <w:widowControl/>
        <w:spacing w:line="500" w:lineRule="exact"/>
        <w:ind w:firstLine="480" w:firstLineChars="200"/>
        <w:rPr>
          <w:rFonts w:ascii="宋体" w:hAnsi="宋体"/>
          <w:color w:val="auto"/>
          <w:sz w:val="24"/>
        </w:rPr>
      </w:pPr>
      <w:r>
        <w:rPr>
          <w:rFonts w:hint="eastAsia" w:ascii="宋体" w:hAnsi="宋体"/>
          <w:color w:val="auto"/>
          <w:sz w:val="24"/>
        </w:rPr>
        <w:t>（4）</w:t>
      </w:r>
      <w:bookmarkStart w:id="255" w:name="_Hlk144114507"/>
      <w:r>
        <w:rPr>
          <w:rFonts w:hint="eastAsia" w:ascii="宋体" w:hAnsi="宋体"/>
          <w:color w:val="auto"/>
          <w:sz w:val="24"/>
        </w:rPr>
        <w:t>严格按照设计的开采顺序开采，严禁掏采、滥采乱挖。加强边坡的监督、检查、管理和维护。</w:t>
      </w:r>
      <w:bookmarkEnd w:id="255"/>
    </w:p>
    <w:p>
      <w:pPr>
        <w:widowControl/>
        <w:spacing w:line="500" w:lineRule="exact"/>
        <w:ind w:firstLine="480" w:firstLineChars="200"/>
        <w:rPr>
          <w:rFonts w:ascii="宋体" w:hAnsi="宋体"/>
          <w:color w:val="auto"/>
          <w:sz w:val="24"/>
        </w:rPr>
      </w:pPr>
      <w:r>
        <w:rPr>
          <w:rFonts w:hint="eastAsia" w:ascii="宋体" w:hAnsi="宋体"/>
          <w:color w:val="auto"/>
          <w:sz w:val="24"/>
        </w:rPr>
        <w:t>（5）作业设备应与台阶坡顶线保持安全距离，并设置安全警示标志。</w:t>
      </w:r>
    </w:p>
    <w:p>
      <w:pPr>
        <w:widowControl/>
        <w:spacing w:line="500" w:lineRule="exact"/>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在开采过程中遇到</w:t>
      </w:r>
      <w:r>
        <w:rPr>
          <w:rFonts w:hint="eastAsia" w:ascii="宋体" w:hAnsi="宋体"/>
          <w:color w:val="auto"/>
          <w:sz w:val="24"/>
        </w:rPr>
        <w:t>节理、裂隙发育</w:t>
      </w:r>
      <w:r>
        <w:rPr>
          <w:rFonts w:ascii="宋体" w:hAnsi="宋体"/>
          <w:color w:val="auto"/>
          <w:sz w:val="24"/>
        </w:rPr>
        <w:t>的地段</w:t>
      </w:r>
      <w:r>
        <w:rPr>
          <w:rFonts w:hint="eastAsia" w:ascii="宋体" w:hAnsi="宋体"/>
          <w:color w:val="auto"/>
          <w:sz w:val="24"/>
        </w:rPr>
        <w:t>，应及时调整台阶参数。必要时采取加固措施。</w:t>
      </w:r>
    </w:p>
    <w:p>
      <w:pPr>
        <w:widowControl/>
        <w:spacing w:line="500" w:lineRule="exact"/>
        <w:ind w:firstLine="480" w:firstLineChars="200"/>
        <w:rPr>
          <w:rFonts w:ascii="宋体" w:hAnsi="宋体"/>
          <w:color w:val="auto"/>
          <w:sz w:val="24"/>
        </w:rPr>
      </w:pPr>
      <w:r>
        <w:rPr>
          <w:rFonts w:hint="eastAsia" w:ascii="宋体" w:hAnsi="宋体"/>
          <w:color w:val="auto"/>
          <w:sz w:val="24"/>
        </w:rPr>
        <w:t>（7）加强矿区内边坡的治理、监测监控与管理措施。</w:t>
      </w:r>
    </w:p>
    <w:p>
      <w:pPr>
        <w:widowControl/>
        <w:spacing w:line="500" w:lineRule="exact"/>
        <w:ind w:firstLine="480" w:firstLineChars="200"/>
        <w:rPr>
          <w:rFonts w:ascii="宋体" w:hAnsi="宋体"/>
          <w:color w:val="auto"/>
          <w:sz w:val="24"/>
        </w:rPr>
      </w:pPr>
      <w:r>
        <w:rPr>
          <w:rFonts w:hint="eastAsia" w:ascii="宋体" w:hAnsi="宋体"/>
          <w:color w:val="auto"/>
          <w:sz w:val="24"/>
        </w:rPr>
        <w:t>2）防高处坠落对策措施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（1）作业时应距台阶边缘、临空面保持1m以上安全距离；</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）在明显位置设警示标志及防护栏；</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）临近矿区内台阶外缘作业时，应划定危险区域，设立警示标志，并加强检查。</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）严禁采用人工清理边坡危石、浮石。</w:t>
      </w:r>
    </w:p>
    <w:p>
      <w:pPr>
        <w:widowControl/>
        <w:spacing w:line="500" w:lineRule="exact"/>
        <w:ind w:firstLine="480" w:firstLineChars="200"/>
        <w:rPr>
          <w:rFonts w:ascii="宋体" w:hAnsi="宋体"/>
          <w:color w:val="auto"/>
          <w:sz w:val="24"/>
        </w:rPr>
      </w:pPr>
      <w:r>
        <w:rPr>
          <w:rFonts w:hint="eastAsia" w:ascii="宋体" w:hAnsi="宋体"/>
          <w:color w:val="auto"/>
          <w:sz w:val="24"/>
        </w:rPr>
        <w:t>3）防物体打击对策措施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（1）装载矿石前，利用挖掘机处理好边坡上的伞檐、松石和浮石；</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）严禁掏采；</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）规范作业，严禁上下层台阶垂直交叉作业，</w:t>
      </w:r>
      <w:r>
        <w:rPr>
          <w:rFonts w:ascii="宋体" w:hAnsi="宋体"/>
          <w:color w:val="auto"/>
          <w:sz w:val="24"/>
        </w:rPr>
        <w:t>若需立体</w:t>
      </w:r>
      <w:r>
        <w:rPr>
          <w:rFonts w:hint="eastAsia" w:ascii="宋体" w:hAnsi="宋体"/>
          <w:color w:val="auto"/>
          <w:sz w:val="24"/>
        </w:rPr>
        <w:t>作业</w:t>
      </w:r>
      <w:r>
        <w:rPr>
          <w:rFonts w:ascii="宋体" w:hAnsi="宋体"/>
          <w:color w:val="auto"/>
          <w:sz w:val="24"/>
        </w:rPr>
        <w:t>，两设备相距必须＞</w:t>
      </w:r>
      <w:r>
        <w:rPr>
          <w:rFonts w:hint="eastAsia" w:ascii="宋体" w:hAnsi="宋体"/>
          <w:color w:val="auto"/>
          <w:sz w:val="24"/>
        </w:rPr>
        <w:t>50</w:t>
      </w:r>
      <w:r>
        <w:rPr>
          <w:rFonts w:ascii="宋体" w:hAnsi="宋体"/>
          <w:color w:val="auto"/>
          <w:sz w:val="24"/>
        </w:rPr>
        <w:t>m</w:t>
      </w:r>
      <w:r>
        <w:rPr>
          <w:rFonts w:hint="eastAsia" w:ascii="宋体" w:hAnsi="宋体"/>
          <w:color w:val="auto"/>
          <w:sz w:val="24"/>
        </w:rPr>
        <w:t>；加强现场管理，清扫及处理边坡时其下方严禁有人员；</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）临近台阶外缘作业时，应划定危险区域，设立警示标志。</w:t>
      </w:r>
    </w:p>
    <w:p>
      <w:pPr>
        <w:widowControl/>
        <w:spacing w:line="500" w:lineRule="exac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）防车辆伤害对策措施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ascii="宋体" w:hAnsi="宋体"/>
          <w:color w:val="auto"/>
          <w:sz w:val="24"/>
        </w:rPr>
        <w:t>加强作业人员培训教育，现场</w:t>
      </w:r>
      <w:r>
        <w:rPr>
          <w:rFonts w:hint="eastAsia" w:ascii="宋体" w:hAnsi="宋体"/>
          <w:color w:val="auto"/>
          <w:sz w:val="24"/>
        </w:rPr>
        <w:t>设</w:t>
      </w:r>
      <w:r>
        <w:rPr>
          <w:rFonts w:ascii="宋体" w:hAnsi="宋体"/>
          <w:color w:val="auto"/>
          <w:sz w:val="24"/>
        </w:rPr>
        <w:t>专人指挥。</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w:t>
      </w:r>
      <w:r>
        <w:rPr>
          <w:rFonts w:ascii="宋体" w:hAnsi="宋体"/>
          <w:color w:val="auto"/>
          <w:sz w:val="24"/>
        </w:rPr>
        <w:t>加强管理；明确</w:t>
      </w:r>
      <w:r>
        <w:rPr>
          <w:rFonts w:hint="eastAsia" w:ascii="宋体" w:hAnsi="宋体"/>
          <w:color w:val="auto"/>
          <w:sz w:val="24"/>
        </w:rPr>
        <w:t>作业</w:t>
      </w:r>
      <w:r>
        <w:rPr>
          <w:rFonts w:ascii="宋体" w:hAnsi="宋体"/>
          <w:color w:val="auto"/>
          <w:sz w:val="24"/>
        </w:rPr>
        <w:t>信号</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）边坡外侧设安全垛和安全警示标志。保持车辆完好。</w:t>
      </w:r>
    </w:p>
    <w:p>
      <w:pPr>
        <w:widowControl/>
        <w:spacing w:line="500" w:lineRule="exact"/>
        <w:ind w:firstLine="480" w:firstLineChars="200"/>
        <w:rPr>
          <w:rFonts w:ascii="宋体" w:hAnsi="宋体"/>
          <w:color w:val="auto"/>
          <w:sz w:val="24"/>
        </w:rPr>
      </w:pPr>
      <w:r>
        <w:rPr>
          <w:rFonts w:hint="eastAsia" w:ascii="宋体" w:hAnsi="宋体"/>
          <w:color w:val="auto"/>
          <w:sz w:val="24"/>
        </w:rPr>
        <w:t>（4）驾驶员持证上岗，且保持精力充沛，不开疲劳车；严禁酒后或带病开车。</w:t>
      </w:r>
    </w:p>
    <w:p>
      <w:pPr>
        <w:widowControl/>
        <w:spacing w:line="500" w:lineRule="exact"/>
        <w:ind w:firstLine="480" w:firstLineChars="200"/>
        <w:rPr>
          <w:rFonts w:ascii="宋体" w:hAnsi="宋体"/>
          <w:color w:val="auto"/>
          <w:sz w:val="24"/>
        </w:rPr>
      </w:pPr>
      <w:r>
        <w:rPr>
          <w:rFonts w:hint="eastAsia" w:ascii="宋体" w:hAnsi="宋体"/>
          <w:color w:val="auto"/>
          <w:sz w:val="24"/>
        </w:rPr>
        <w:t>（5）危险地段设置限速等安全交通警示标志。</w:t>
      </w:r>
    </w:p>
    <w:p>
      <w:pPr>
        <w:widowControl/>
        <w:spacing w:line="500" w:lineRule="exact"/>
        <w:ind w:firstLine="480" w:firstLineChars="200"/>
        <w:rPr>
          <w:rFonts w:ascii="宋体" w:hAnsi="宋体"/>
          <w:color w:val="auto"/>
          <w:sz w:val="24"/>
        </w:rPr>
      </w:pPr>
      <w:r>
        <w:rPr>
          <w:rFonts w:hint="eastAsia" w:ascii="宋体" w:hAnsi="宋体"/>
          <w:color w:val="auto"/>
          <w:sz w:val="24"/>
        </w:rPr>
        <w:t>（6）一旦发生危险，作业人员应紧急撤离。</w:t>
      </w:r>
    </w:p>
    <w:p>
      <w:pPr>
        <w:widowControl/>
        <w:spacing w:line="500" w:lineRule="exact"/>
        <w:ind w:firstLine="480" w:firstLineChars="200"/>
        <w:rPr>
          <w:rFonts w:ascii="宋体" w:hAnsi="宋体"/>
          <w:color w:val="auto"/>
          <w:sz w:val="24"/>
        </w:rPr>
      </w:pPr>
      <w:r>
        <w:rPr>
          <w:rFonts w:hint="eastAsia" w:ascii="宋体" w:hAnsi="宋体"/>
          <w:color w:val="auto"/>
          <w:sz w:val="24"/>
        </w:rPr>
        <w:t>5）《可行性研究报告》中拟设台阶高度为5m，但编制的图纸中，台阶高度为4-</w:t>
      </w:r>
      <w:r>
        <w:rPr>
          <w:rFonts w:ascii="宋体" w:hAnsi="宋体"/>
          <w:color w:val="auto"/>
          <w:sz w:val="24"/>
        </w:rPr>
        <w:t>12</w:t>
      </w:r>
      <w:r>
        <w:rPr>
          <w:rFonts w:hint="eastAsia" w:ascii="宋体" w:hAnsi="宋体"/>
          <w:color w:val="auto"/>
          <w:sz w:val="24"/>
        </w:rPr>
        <w:t>m，建议下步设计确定工作台阶参数。</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4.1.</w:t>
      </w:r>
      <w:r>
        <w:rPr>
          <w:rFonts w:ascii="宋体" w:hAnsi="宋体"/>
          <w:color w:val="auto"/>
          <w:kern w:val="28"/>
          <w:sz w:val="28"/>
          <w:szCs w:val="28"/>
        </w:rPr>
        <w:t>4</w:t>
      </w:r>
      <w:r>
        <w:rPr>
          <w:rFonts w:hint="eastAsia" w:ascii="宋体" w:hAnsi="宋体"/>
          <w:color w:val="auto"/>
          <w:kern w:val="28"/>
          <w:sz w:val="28"/>
          <w:szCs w:val="28"/>
        </w:rPr>
        <w:t>矿山供配电设施单元对策措施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1）防触电（雷击）安全对策措施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（1）电气作业人员应按规定考核合格方准上岗，上岗应穿戴和使用防护用品、用具进行操作。</w:t>
      </w:r>
    </w:p>
    <w:p>
      <w:pPr>
        <w:widowControl/>
        <w:spacing w:line="500" w:lineRule="exact"/>
        <w:ind w:firstLine="480" w:firstLineChars="200"/>
        <w:rPr>
          <w:rFonts w:ascii="宋体" w:hAnsi="宋体"/>
          <w:color w:val="auto"/>
          <w:sz w:val="24"/>
        </w:rPr>
      </w:pPr>
      <w:r>
        <w:rPr>
          <w:rFonts w:hint="eastAsia" w:ascii="宋体" w:hAnsi="宋体"/>
          <w:color w:val="auto"/>
          <w:sz w:val="24"/>
        </w:rPr>
        <w:t>（2）电气线路维修应由电气作业人员进行，其他人员严禁电气线路维修。</w:t>
      </w:r>
    </w:p>
    <w:p>
      <w:pPr>
        <w:widowControl/>
        <w:spacing w:line="500" w:lineRule="exact"/>
        <w:ind w:firstLine="480" w:firstLineChars="200"/>
        <w:rPr>
          <w:rFonts w:ascii="宋体" w:hAnsi="宋体"/>
          <w:color w:val="auto"/>
          <w:sz w:val="24"/>
        </w:rPr>
      </w:pPr>
      <w:r>
        <w:rPr>
          <w:rFonts w:hint="eastAsia" w:ascii="宋体" w:hAnsi="宋体"/>
          <w:color w:val="auto"/>
          <w:sz w:val="24"/>
        </w:rPr>
        <w:t>（3）供电线路的停电和送电，应执行工作票制度。</w:t>
      </w:r>
    </w:p>
    <w:p>
      <w:pPr>
        <w:widowControl/>
        <w:spacing w:line="500" w:lineRule="exact"/>
        <w:ind w:firstLine="480" w:firstLineChars="200"/>
        <w:rPr>
          <w:rFonts w:ascii="宋体" w:hAnsi="宋体"/>
          <w:color w:val="auto"/>
          <w:sz w:val="24"/>
        </w:rPr>
      </w:pPr>
      <w:r>
        <w:rPr>
          <w:rFonts w:hint="eastAsia" w:ascii="宋体" w:hAnsi="宋体"/>
          <w:color w:val="auto"/>
          <w:sz w:val="24"/>
        </w:rPr>
        <w:t>（4）在电源线路上断电作业时，该线路的电源开关把手，应加锁或设专人看护，并悬挂“有人作业，不准送电”的警示牌。</w:t>
      </w:r>
    </w:p>
    <w:p>
      <w:pPr>
        <w:widowControl/>
        <w:spacing w:line="500" w:lineRule="exact"/>
        <w:ind w:firstLine="480" w:firstLineChars="200"/>
        <w:rPr>
          <w:rFonts w:ascii="宋体" w:hAnsi="宋体"/>
          <w:color w:val="auto"/>
          <w:sz w:val="24"/>
        </w:rPr>
      </w:pPr>
      <w:r>
        <w:rPr>
          <w:rFonts w:hint="eastAsia" w:ascii="宋体" w:hAnsi="宋体"/>
          <w:color w:val="auto"/>
          <w:sz w:val="24"/>
        </w:rPr>
        <w:t>（5）在停电线路上工作时，应采取验电和挂接地线等安全措施。</w:t>
      </w:r>
    </w:p>
    <w:p>
      <w:pPr>
        <w:widowControl/>
        <w:spacing w:line="500" w:lineRule="exact"/>
        <w:ind w:firstLine="480" w:firstLineChars="200"/>
        <w:rPr>
          <w:rFonts w:ascii="宋体" w:hAnsi="宋体"/>
          <w:color w:val="auto"/>
          <w:sz w:val="24"/>
        </w:rPr>
      </w:pPr>
      <w:r>
        <w:rPr>
          <w:rFonts w:hint="eastAsia" w:ascii="宋体" w:hAnsi="宋体"/>
          <w:color w:val="auto"/>
          <w:sz w:val="24"/>
        </w:rPr>
        <w:t>（6）线路跳闸后，不应强行送电，应立即报告由电气作业人员查明原因，排除故障后，方可送电。</w:t>
      </w:r>
    </w:p>
    <w:p>
      <w:pPr>
        <w:widowControl/>
        <w:spacing w:line="500" w:lineRule="exact"/>
        <w:ind w:firstLine="480" w:firstLineChars="200"/>
        <w:rPr>
          <w:rFonts w:ascii="宋体" w:hAnsi="宋体"/>
          <w:color w:val="auto"/>
          <w:sz w:val="24"/>
        </w:rPr>
      </w:pPr>
      <w:r>
        <w:rPr>
          <w:rFonts w:hint="eastAsia" w:ascii="宋体" w:hAnsi="宋体"/>
          <w:color w:val="auto"/>
          <w:sz w:val="24"/>
        </w:rPr>
        <w:t>（7）定期对输电线路进行检查，发现损坏后及时修复。</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）电气设备可能被人触及的裸露带电部分，应设置保护罩或遮栏及警示标志</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）电气设备、设施应设置漏电保护装置，接地（零）装置或保护装置。</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）电气设备和装置的金属框架或外壳、电缆和金属包皮、互感器的二次绕组，应按有关规定进行保护接地。</w:t>
      </w:r>
    </w:p>
    <w:p>
      <w:pPr>
        <w:widowControl/>
        <w:spacing w:line="500" w:lineRule="exact"/>
        <w:ind w:firstLine="480" w:firstLineChars="200"/>
        <w:rPr>
          <w:rFonts w:ascii="宋体" w:hAnsi="宋体"/>
          <w:color w:val="auto"/>
          <w:sz w:val="24"/>
        </w:rPr>
      </w:pPr>
      <w:r>
        <w:rPr>
          <w:rFonts w:hint="eastAsia" w:ascii="宋体" w:hAnsi="宋体"/>
          <w:color w:val="auto"/>
          <w:sz w:val="24"/>
        </w:rPr>
        <w:t>（11）加强作业人员教育，杜绝违规操作。</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12</w:t>
      </w:r>
      <w:r>
        <w:rPr>
          <w:rFonts w:hint="eastAsia" w:ascii="宋体" w:hAnsi="宋体"/>
          <w:color w:val="auto"/>
          <w:sz w:val="24"/>
        </w:rPr>
        <w:t>）矿山应安装避雷设施。</w:t>
      </w:r>
    </w:p>
    <w:p>
      <w:pPr>
        <w:widowControl/>
        <w:spacing w:line="500" w:lineRule="exact"/>
        <w:ind w:firstLine="480" w:firstLineChars="200"/>
        <w:rPr>
          <w:rFonts w:ascii="宋体" w:hAnsi="宋体"/>
          <w:color w:val="auto"/>
          <w:sz w:val="24"/>
        </w:rPr>
      </w:pPr>
      <w:r>
        <w:rPr>
          <w:rFonts w:hint="eastAsia" w:ascii="宋体" w:hAnsi="宋体"/>
          <w:color w:val="auto"/>
          <w:sz w:val="24"/>
        </w:rPr>
        <w:t>2）防火灾对策措施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（1）在带电的导线附近，严禁存放易燃易爆物品，附近茅草应清除。</w:t>
      </w:r>
    </w:p>
    <w:p>
      <w:pPr>
        <w:widowControl/>
        <w:spacing w:line="500" w:lineRule="exact"/>
        <w:ind w:firstLine="480" w:firstLineChars="200"/>
        <w:rPr>
          <w:rFonts w:ascii="宋体" w:hAnsi="宋体"/>
          <w:color w:val="auto"/>
          <w:sz w:val="24"/>
        </w:rPr>
      </w:pPr>
      <w:r>
        <w:rPr>
          <w:rFonts w:hint="eastAsia" w:ascii="宋体" w:hAnsi="宋体"/>
          <w:color w:val="auto"/>
          <w:sz w:val="24"/>
        </w:rPr>
        <w:t>（2）电气线路布置有序，及时更换绝缘老化线路。</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）定期对用电设备进行检修，长时运转时应检查外壳温度。配备过流保护装置。</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）用电设备周边严禁存放易燃易爆物品。</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4.1.</w:t>
      </w:r>
      <w:r>
        <w:rPr>
          <w:rFonts w:ascii="宋体" w:hAnsi="宋体"/>
          <w:color w:val="auto"/>
          <w:kern w:val="28"/>
          <w:sz w:val="28"/>
          <w:szCs w:val="28"/>
        </w:rPr>
        <w:t>5</w:t>
      </w:r>
      <w:r>
        <w:rPr>
          <w:rFonts w:hint="eastAsia" w:ascii="宋体" w:hAnsi="宋体"/>
          <w:color w:val="auto"/>
          <w:kern w:val="28"/>
          <w:sz w:val="28"/>
          <w:szCs w:val="28"/>
        </w:rPr>
        <w:t>防排水单元对策措施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1）防坍塌滑坡对策措施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（1）设计应按日最大降雨量对截排水沟排水能力进行校核。</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）矿山应严格按设计要求进行防排水系统修建并定期进行检查及维护。</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）在采场各台阶内侧修筑排水沟。</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）完善采场上部的排水沟；</w:t>
      </w:r>
    </w:p>
    <w:p>
      <w:pPr>
        <w:widowControl/>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）加强采场边坡的监测。</w:t>
      </w:r>
    </w:p>
    <w:p>
      <w:pPr>
        <w:widowControl/>
        <w:spacing w:line="500" w:lineRule="exact"/>
        <w:ind w:firstLine="480" w:firstLineChars="200"/>
        <w:rPr>
          <w:rFonts w:ascii="宋体" w:hAnsi="宋体"/>
          <w:color w:val="auto"/>
          <w:sz w:val="24"/>
        </w:rPr>
      </w:pPr>
      <w:r>
        <w:rPr>
          <w:rFonts w:hint="eastAsia" w:ascii="宋体" w:hAnsi="宋体"/>
          <w:color w:val="auto"/>
          <w:sz w:val="24"/>
        </w:rPr>
        <w:t>2）防车辆伤害对策措施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（1）修筑好道路内侧的排水沟。</w:t>
      </w:r>
    </w:p>
    <w:p>
      <w:pPr>
        <w:widowControl/>
        <w:spacing w:line="500" w:lineRule="exact"/>
        <w:ind w:firstLine="480" w:firstLineChars="200"/>
        <w:rPr>
          <w:rFonts w:ascii="宋体" w:hAnsi="宋体"/>
          <w:color w:val="auto"/>
          <w:sz w:val="24"/>
        </w:rPr>
      </w:pPr>
      <w:r>
        <w:rPr>
          <w:rFonts w:hint="eastAsia" w:ascii="宋体" w:hAnsi="宋体"/>
          <w:color w:val="auto"/>
          <w:sz w:val="24"/>
        </w:rPr>
        <w:t>（2）加强管理。</w:t>
      </w:r>
    </w:p>
    <w:p>
      <w:pPr>
        <w:widowControl/>
        <w:spacing w:line="500" w:lineRule="exact"/>
        <w:ind w:firstLine="480" w:firstLineChars="200"/>
        <w:rPr>
          <w:rFonts w:ascii="宋体" w:hAnsi="宋体"/>
          <w:color w:val="auto"/>
          <w:sz w:val="24"/>
        </w:rPr>
      </w:pPr>
      <w:r>
        <w:rPr>
          <w:rFonts w:hint="eastAsia" w:ascii="宋体" w:hAnsi="宋体"/>
          <w:color w:val="auto"/>
          <w:sz w:val="24"/>
        </w:rPr>
        <w:t>3）防火灾对策措施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（1）建立蓄水设施；</w:t>
      </w:r>
    </w:p>
    <w:p>
      <w:pPr>
        <w:widowControl/>
        <w:spacing w:line="500" w:lineRule="exact"/>
        <w:ind w:firstLine="480" w:firstLineChars="200"/>
        <w:rPr>
          <w:rFonts w:ascii="宋体" w:hAnsi="宋体"/>
          <w:color w:val="auto"/>
          <w:sz w:val="24"/>
        </w:rPr>
      </w:pPr>
      <w:r>
        <w:rPr>
          <w:rFonts w:hint="eastAsia" w:ascii="宋体" w:hAnsi="宋体"/>
          <w:color w:val="auto"/>
          <w:sz w:val="24"/>
        </w:rPr>
        <w:t>（2）配备相应的灭火器材；</w:t>
      </w:r>
    </w:p>
    <w:p>
      <w:pPr>
        <w:widowControl/>
        <w:spacing w:line="500" w:lineRule="exact"/>
        <w:ind w:firstLine="480" w:firstLineChars="200"/>
        <w:rPr>
          <w:rFonts w:ascii="宋体" w:hAnsi="宋体"/>
          <w:color w:val="auto"/>
          <w:sz w:val="24"/>
        </w:rPr>
      </w:pPr>
      <w:r>
        <w:rPr>
          <w:rFonts w:hint="eastAsia" w:ascii="宋体" w:hAnsi="宋体"/>
          <w:color w:val="auto"/>
          <w:sz w:val="24"/>
        </w:rPr>
        <w:t>（3）完善矿区的供水系统及供水设施。</w:t>
      </w:r>
    </w:p>
    <w:p>
      <w:pPr>
        <w:pStyle w:val="25"/>
        <w:widowControl/>
        <w:spacing w:line="500" w:lineRule="exact"/>
        <w:ind w:firstLine="480"/>
        <w:rPr>
          <w:rFonts w:hint="eastAsia"/>
          <w:color w:val="auto"/>
          <w:sz w:val="24"/>
        </w:rPr>
      </w:pPr>
      <w:r>
        <w:rPr>
          <w:rFonts w:hint="eastAsia"/>
          <w:color w:val="auto"/>
          <w:sz w:val="24"/>
        </w:rPr>
        <w:t>4）建议下步安全设施设计计算拟设置的排水沟与当地最大涌水量是否匹配。</w:t>
      </w:r>
    </w:p>
    <w:p>
      <w:pPr>
        <w:widowControl/>
        <w:spacing w:line="500" w:lineRule="exac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）《可行性研究报告》拟在距离采场边界</w:t>
      </w:r>
      <w:r>
        <w:rPr>
          <w:rFonts w:ascii="宋体" w:hAnsi="宋体"/>
          <w:color w:val="auto"/>
          <w:sz w:val="24"/>
        </w:rPr>
        <w:t>5-10</w:t>
      </w:r>
      <w:r>
        <w:rPr>
          <w:rFonts w:hint="eastAsia" w:ascii="宋体" w:hAnsi="宋体"/>
          <w:color w:val="auto"/>
          <w:sz w:val="24"/>
        </w:rPr>
        <w:t>m挖掘截洪沟，建议企业与相关部门协商，完成征地工作。</w:t>
      </w:r>
    </w:p>
    <w:p>
      <w:pPr>
        <w:pStyle w:val="5"/>
        <w:spacing w:before="100" w:after="100" w:line="500" w:lineRule="exact"/>
        <w:rPr>
          <w:rFonts w:ascii="宋体" w:hAnsi="宋体"/>
          <w:color w:val="auto"/>
          <w:sz w:val="28"/>
          <w:szCs w:val="28"/>
        </w:rPr>
      </w:pPr>
      <w:r>
        <w:rPr>
          <w:rFonts w:hint="eastAsia" w:ascii="宋体" w:hAnsi="宋体"/>
          <w:color w:val="auto"/>
          <w:sz w:val="28"/>
          <w:szCs w:val="28"/>
        </w:rPr>
        <w:t>4.1.</w:t>
      </w:r>
      <w:r>
        <w:rPr>
          <w:rFonts w:ascii="宋体" w:hAnsi="宋体"/>
          <w:color w:val="auto"/>
          <w:sz w:val="28"/>
          <w:szCs w:val="28"/>
        </w:rPr>
        <w:t>6</w:t>
      </w:r>
      <w:r>
        <w:rPr>
          <w:rFonts w:hint="eastAsia" w:ascii="宋体" w:hAnsi="宋体"/>
          <w:color w:val="auto"/>
          <w:sz w:val="28"/>
          <w:szCs w:val="28"/>
        </w:rPr>
        <w:t>排土场单元安全对策措施</w:t>
      </w:r>
    </w:p>
    <w:p>
      <w:pPr>
        <w:spacing w:line="500" w:lineRule="exact"/>
        <w:ind w:firstLine="480" w:firstLineChars="200"/>
        <w:rPr>
          <w:rFonts w:ascii="宋体" w:hAnsi="宋体"/>
          <w:color w:val="auto"/>
          <w:sz w:val="24"/>
        </w:rPr>
      </w:pPr>
      <w:r>
        <w:rPr>
          <w:rFonts w:hint="eastAsia" w:ascii="宋体" w:hAnsi="宋体"/>
          <w:color w:val="auto"/>
          <w:sz w:val="24"/>
        </w:rPr>
        <w:t>1）防坍塌滑坡对策措施</w:t>
      </w:r>
    </w:p>
    <w:p>
      <w:pPr>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ascii="宋体" w:hAnsi="宋体"/>
          <w:color w:val="auto"/>
          <w:sz w:val="24"/>
        </w:rPr>
        <w:t>按设计设置截排水设施。</w:t>
      </w:r>
    </w:p>
    <w:p>
      <w:pPr>
        <w:spacing w:line="500" w:lineRule="exact"/>
        <w:ind w:firstLine="480" w:firstLineChars="200"/>
        <w:rPr>
          <w:rFonts w:ascii="宋体" w:hAnsi="宋体"/>
          <w:color w:val="auto"/>
          <w:sz w:val="24"/>
        </w:rPr>
      </w:pPr>
      <w:r>
        <w:rPr>
          <w:rFonts w:ascii="宋体" w:hAnsi="宋体"/>
          <w:color w:val="auto"/>
          <w:sz w:val="24"/>
        </w:rPr>
        <w:t>（2）由</w:t>
      </w:r>
      <w:r>
        <w:rPr>
          <w:rFonts w:hint="eastAsia" w:ascii="宋体" w:hAnsi="宋体"/>
          <w:color w:val="auto"/>
          <w:sz w:val="24"/>
        </w:rPr>
        <w:t>有资质的</w:t>
      </w:r>
      <w:r>
        <w:rPr>
          <w:rFonts w:ascii="宋体" w:hAnsi="宋体"/>
          <w:color w:val="auto"/>
          <w:sz w:val="24"/>
        </w:rPr>
        <w:t>设计单位进行设计，并</w:t>
      </w:r>
      <w:r>
        <w:rPr>
          <w:rFonts w:hint="eastAsia" w:ascii="宋体" w:hAnsi="宋体"/>
          <w:color w:val="auto"/>
          <w:sz w:val="24"/>
        </w:rPr>
        <w:t>建立监测系统观察。</w:t>
      </w:r>
    </w:p>
    <w:p>
      <w:pPr>
        <w:spacing w:line="500" w:lineRule="exact"/>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w:t>
      </w:r>
      <w:r>
        <w:rPr>
          <w:rFonts w:ascii="宋体" w:hAnsi="宋体"/>
          <w:color w:val="auto"/>
          <w:sz w:val="24"/>
        </w:rPr>
        <w:t>按作业安全规程作业</w:t>
      </w:r>
      <w:r>
        <w:rPr>
          <w:rFonts w:hint="eastAsia" w:ascii="宋体" w:hAnsi="宋体"/>
          <w:color w:val="auto"/>
          <w:sz w:val="24"/>
        </w:rPr>
        <w:t>。</w:t>
      </w:r>
    </w:p>
    <w:p>
      <w:pPr>
        <w:spacing w:line="500" w:lineRule="exact"/>
        <w:ind w:firstLine="480" w:firstLineChars="200"/>
        <w:rPr>
          <w:rFonts w:ascii="宋体" w:hAnsi="宋体"/>
          <w:color w:val="auto"/>
          <w:sz w:val="24"/>
        </w:rPr>
      </w:pPr>
      <w:r>
        <w:rPr>
          <w:rFonts w:hint="eastAsia" w:ascii="宋体" w:hAnsi="宋体"/>
          <w:color w:val="auto"/>
          <w:sz w:val="24"/>
        </w:rPr>
        <w:t>2）防车辆伤害对策措施</w:t>
      </w:r>
    </w:p>
    <w:p>
      <w:pPr>
        <w:spacing w:line="50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设挡车堤。</w:t>
      </w:r>
    </w:p>
    <w:p>
      <w:pPr>
        <w:spacing w:line="50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工作面设反坡。</w:t>
      </w:r>
    </w:p>
    <w:p>
      <w:pPr>
        <w:spacing w:line="50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专人</w:t>
      </w:r>
      <w:r>
        <w:rPr>
          <w:rFonts w:hint="eastAsia" w:ascii="宋体" w:hAnsi="宋体"/>
          <w:color w:val="auto"/>
          <w:sz w:val="24"/>
        </w:rPr>
        <w:t>指挥。</w:t>
      </w:r>
    </w:p>
    <w:p>
      <w:pPr>
        <w:spacing w:line="500" w:lineRule="exact"/>
        <w:ind w:firstLine="480" w:firstLineChars="200"/>
        <w:rPr>
          <w:rFonts w:ascii="宋体" w:hAnsi="宋体"/>
          <w:color w:val="auto"/>
          <w:sz w:val="24"/>
        </w:rPr>
      </w:pPr>
      <w:r>
        <w:rPr>
          <w:rFonts w:hint="eastAsia" w:ascii="宋体" w:hAnsi="宋体"/>
          <w:color w:val="auto"/>
          <w:sz w:val="24"/>
        </w:rPr>
        <w:t>3）防高处坠落对策措施</w:t>
      </w:r>
    </w:p>
    <w:p>
      <w:pPr>
        <w:spacing w:line="500" w:lineRule="exact"/>
        <w:ind w:firstLine="480" w:firstLineChars="200"/>
        <w:rPr>
          <w:rFonts w:ascii="宋体" w:hAnsi="宋体"/>
          <w:color w:val="auto"/>
          <w:sz w:val="24"/>
        </w:rPr>
      </w:pPr>
      <w:r>
        <w:rPr>
          <w:rFonts w:hint="eastAsia" w:ascii="宋体" w:hAnsi="宋体"/>
          <w:color w:val="auto"/>
          <w:sz w:val="24"/>
        </w:rPr>
        <w:t>（1）加强现场作业管理。</w:t>
      </w:r>
    </w:p>
    <w:p>
      <w:pPr>
        <w:spacing w:line="500" w:lineRule="exact"/>
        <w:ind w:firstLine="480" w:firstLineChars="200"/>
        <w:rPr>
          <w:rFonts w:ascii="宋体" w:hAnsi="宋体"/>
          <w:color w:val="auto"/>
          <w:sz w:val="24"/>
        </w:rPr>
      </w:pPr>
      <w:r>
        <w:rPr>
          <w:rFonts w:hint="eastAsia" w:ascii="宋体" w:hAnsi="宋体"/>
          <w:color w:val="auto"/>
          <w:sz w:val="24"/>
        </w:rPr>
        <w:t>（2）作业时专人指挥。</w:t>
      </w:r>
    </w:p>
    <w:p>
      <w:pPr>
        <w:spacing w:line="500" w:lineRule="exact"/>
        <w:ind w:firstLine="480" w:firstLineChars="200"/>
        <w:rPr>
          <w:rFonts w:ascii="宋体" w:hAnsi="宋体"/>
          <w:color w:val="auto"/>
          <w:sz w:val="24"/>
        </w:rPr>
      </w:pPr>
      <w:r>
        <w:rPr>
          <w:rFonts w:hint="eastAsia" w:ascii="宋体" w:hAnsi="宋体"/>
          <w:color w:val="auto"/>
          <w:sz w:val="24"/>
        </w:rPr>
        <w:t>4）防物体打击对策措施</w:t>
      </w:r>
    </w:p>
    <w:p>
      <w:pPr>
        <w:spacing w:line="500" w:lineRule="exact"/>
        <w:ind w:firstLine="480" w:firstLineChars="200"/>
        <w:rPr>
          <w:rFonts w:ascii="宋体" w:hAnsi="宋体"/>
          <w:color w:val="auto"/>
          <w:sz w:val="24"/>
        </w:rPr>
      </w:pPr>
      <w:r>
        <w:rPr>
          <w:rFonts w:hint="eastAsia" w:ascii="宋体" w:hAnsi="宋体"/>
          <w:color w:val="auto"/>
          <w:sz w:val="24"/>
        </w:rPr>
        <w:t>及时清理排土场边坡的浮石、危石。</w:t>
      </w:r>
    </w:p>
    <w:p>
      <w:pPr>
        <w:spacing w:line="500" w:lineRule="exact"/>
        <w:ind w:firstLine="480" w:firstLineChars="200"/>
        <w:rPr>
          <w:rFonts w:ascii="宋体" w:hAnsi="宋体"/>
          <w:color w:val="auto"/>
          <w:sz w:val="24"/>
        </w:rPr>
      </w:pPr>
      <w:r>
        <w:rPr>
          <w:rFonts w:hint="eastAsia" w:ascii="宋体" w:hAnsi="宋体"/>
          <w:color w:val="auto"/>
          <w:sz w:val="24"/>
        </w:rPr>
        <w:t>5）建议下一步设计对排土场进行稳定性分析。</w:t>
      </w:r>
    </w:p>
    <w:p>
      <w:pPr>
        <w:spacing w:line="500" w:lineRule="exact"/>
        <w:ind w:firstLine="480" w:firstLineChars="200"/>
        <w:rPr>
          <w:rFonts w:ascii="宋体" w:hAnsi="宋体"/>
          <w:color w:val="auto"/>
          <w:sz w:val="24"/>
        </w:rPr>
      </w:pPr>
      <w:r>
        <w:rPr>
          <w:rFonts w:hint="eastAsia" w:ascii="宋体" w:hAnsi="宋体"/>
          <w:color w:val="auto"/>
          <w:sz w:val="24"/>
        </w:rPr>
        <w:t>6）该矿山不属于有色金属矿山，建议排土场排水根据《金属非金属矿山安全规程》的相关要求进行设计。</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4.1.7其他单元对策措施</w:t>
      </w:r>
    </w:p>
    <w:p>
      <w:pPr>
        <w:pStyle w:val="6"/>
        <w:keepLines w:val="0"/>
        <w:widowControl/>
        <w:spacing w:before="0" w:after="0" w:line="500" w:lineRule="exact"/>
        <w:rPr>
          <w:rFonts w:ascii="宋体" w:hAnsi="宋体" w:eastAsia="宋体"/>
          <w:color w:val="auto"/>
          <w:kern w:val="28"/>
        </w:rPr>
      </w:pPr>
      <w:r>
        <w:rPr>
          <w:rFonts w:hint="eastAsia" w:ascii="宋体" w:hAnsi="宋体" w:eastAsia="宋体"/>
          <w:color w:val="auto"/>
          <w:kern w:val="28"/>
        </w:rPr>
        <w:t>4.1.7.1职业危害单元对策措施</w:t>
      </w:r>
    </w:p>
    <w:p>
      <w:pPr>
        <w:widowControl/>
        <w:spacing w:line="5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）防粉尘对策</w:t>
      </w:r>
      <w:r>
        <w:rPr>
          <w:rFonts w:ascii="宋体" w:hAnsi="宋体"/>
          <w:color w:val="auto"/>
          <w:sz w:val="24"/>
        </w:rPr>
        <w:t>措施</w:t>
      </w:r>
    </w:p>
    <w:p>
      <w:pPr>
        <w:widowControl/>
        <w:spacing w:line="500" w:lineRule="exact"/>
        <w:ind w:firstLine="480" w:firstLineChars="200"/>
        <w:rPr>
          <w:rFonts w:ascii="宋体" w:hAnsi="宋体"/>
          <w:color w:val="auto"/>
          <w:sz w:val="24"/>
        </w:rPr>
      </w:pPr>
      <w:r>
        <w:rPr>
          <w:rFonts w:hint="eastAsia" w:ascii="宋体" w:hAnsi="宋体"/>
          <w:color w:val="auto"/>
          <w:sz w:val="24"/>
        </w:rPr>
        <w:t>（1）利用洒水车对运输道路定期洒水降尘；铲装作业采取洒水降尘。</w:t>
      </w:r>
    </w:p>
    <w:p>
      <w:pPr>
        <w:widowControl/>
        <w:spacing w:line="500" w:lineRule="exact"/>
        <w:ind w:firstLine="480" w:firstLineChars="200"/>
        <w:rPr>
          <w:rFonts w:ascii="宋体" w:hAnsi="宋体"/>
          <w:color w:val="auto"/>
          <w:sz w:val="24"/>
        </w:rPr>
      </w:pPr>
      <w:r>
        <w:rPr>
          <w:rFonts w:hint="eastAsia" w:ascii="宋体" w:hAnsi="宋体"/>
          <w:color w:val="auto"/>
          <w:sz w:val="24"/>
        </w:rPr>
        <w:t>（2）采取个体防护，按要求配发个体防护用品、从业人员必须正确佩戴个体防护用品。</w:t>
      </w:r>
    </w:p>
    <w:p>
      <w:pPr>
        <w:widowControl/>
        <w:spacing w:line="500" w:lineRule="exact"/>
        <w:ind w:firstLine="480" w:firstLineChars="200"/>
        <w:rPr>
          <w:rFonts w:ascii="宋体" w:hAnsi="宋体"/>
          <w:color w:val="auto"/>
          <w:sz w:val="24"/>
        </w:rPr>
      </w:pPr>
      <w:r>
        <w:rPr>
          <w:rFonts w:hint="eastAsia" w:ascii="宋体" w:hAnsi="宋体"/>
          <w:color w:val="auto"/>
          <w:sz w:val="24"/>
        </w:rPr>
        <w:t>（3）加强现场安全管理及职业病宣传教育。</w:t>
      </w:r>
    </w:p>
    <w:p>
      <w:pPr>
        <w:widowControl/>
        <w:spacing w:line="500" w:lineRule="exact"/>
        <w:ind w:firstLine="480" w:firstLineChars="200"/>
        <w:rPr>
          <w:rFonts w:ascii="宋体" w:hAnsi="宋体"/>
          <w:color w:val="auto"/>
          <w:sz w:val="24"/>
        </w:rPr>
      </w:pPr>
      <w:r>
        <w:rPr>
          <w:rFonts w:hint="eastAsia" w:ascii="宋体" w:hAnsi="宋体"/>
          <w:color w:val="auto"/>
          <w:sz w:val="24"/>
        </w:rPr>
        <w:t>2）防中暑对策措施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（1）适当的调整作业时间，尽量避开高温时段作业。</w:t>
      </w:r>
    </w:p>
    <w:p>
      <w:pPr>
        <w:widowControl/>
        <w:spacing w:line="500" w:lineRule="exact"/>
        <w:ind w:firstLine="480" w:firstLineChars="200"/>
        <w:rPr>
          <w:rFonts w:ascii="宋体" w:hAnsi="宋体"/>
          <w:color w:val="auto"/>
          <w:sz w:val="24"/>
        </w:rPr>
      </w:pPr>
      <w:r>
        <w:rPr>
          <w:rFonts w:hint="eastAsia" w:ascii="宋体" w:hAnsi="宋体"/>
          <w:color w:val="auto"/>
          <w:sz w:val="24"/>
        </w:rPr>
        <w:t>（2）为工人供应避暑糖水，配备遮阳帽等用品。</w:t>
      </w:r>
    </w:p>
    <w:p>
      <w:pPr>
        <w:widowControl/>
        <w:spacing w:line="5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）防噪声对策措施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（1）设备定时注油、保养。</w:t>
      </w:r>
    </w:p>
    <w:p>
      <w:pPr>
        <w:widowControl/>
        <w:spacing w:line="500" w:lineRule="exact"/>
        <w:ind w:firstLine="480" w:firstLineChars="200"/>
        <w:rPr>
          <w:rFonts w:ascii="宋体" w:hAnsi="宋体"/>
          <w:color w:val="auto"/>
          <w:sz w:val="24"/>
        </w:rPr>
      </w:pPr>
      <w:r>
        <w:rPr>
          <w:rFonts w:hint="eastAsia" w:ascii="宋体" w:hAnsi="宋体"/>
          <w:color w:val="auto"/>
          <w:sz w:val="24"/>
        </w:rPr>
        <w:t>（2）为从业人员配备个体防护用品，并督促其正确使用。</w:t>
      </w:r>
    </w:p>
    <w:p>
      <w:pPr>
        <w:widowControl/>
        <w:spacing w:line="500" w:lineRule="exact"/>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）防振动对策措施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（1）调整从业人员的作业时限，合理安排时间。</w:t>
      </w:r>
    </w:p>
    <w:p>
      <w:pPr>
        <w:widowControl/>
        <w:spacing w:line="500" w:lineRule="exact"/>
        <w:ind w:firstLine="480" w:firstLineChars="200"/>
        <w:rPr>
          <w:rFonts w:ascii="宋体" w:hAnsi="宋体"/>
          <w:color w:val="auto"/>
          <w:sz w:val="24"/>
        </w:rPr>
      </w:pPr>
      <w:r>
        <w:rPr>
          <w:rFonts w:hint="eastAsia" w:ascii="宋体" w:hAnsi="宋体"/>
          <w:color w:val="auto"/>
          <w:sz w:val="24"/>
        </w:rPr>
        <w:t>（2）在能够采取减振措施的设备上安装合格的减振装置。</w:t>
      </w:r>
    </w:p>
    <w:p>
      <w:pPr>
        <w:widowControl/>
        <w:spacing w:line="500" w:lineRule="exact"/>
        <w:ind w:firstLine="480" w:firstLineChars="200"/>
        <w:rPr>
          <w:rFonts w:ascii="宋体" w:hAnsi="宋体"/>
          <w:color w:val="auto"/>
          <w:sz w:val="24"/>
        </w:rPr>
      </w:pPr>
      <w:r>
        <w:rPr>
          <w:rFonts w:hint="eastAsia" w:ascii="宋体" w:hAnsi="宋体"/>
          <w:color w:val="auto"/>
          <w:sz w:val="24"/>
        </w:rPr>
        <w:t>（3）加强个体防护。</w:t>
      </w:r>
    </w:p>
    <w:p>
      <w:pPr>
        <w:widowControl/>
        <w:spacing w:line="500" w:lineRule="exac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）防辐射对策措施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（1）矿石定期进行放射性检测。</w:t>
      </w:r>
    </w:p>
    <w:p>
      <w:pPr>
        <w:widowControl/>
        <w:spacing w:line="500" w:lineRule="exact"/>
        <w:ind w:firstLine="480" w:firstLineChars="200"/>
        <w:rPr>
          <w:rFonts w:ascii="宋体" w:hAnsi="宋体"/>
          <w:color w:val="auto"/>
          <w:sz w:val="24"/>
        </w:rPr>
      </w:pPr>
      <w:r>
        <w:rPr>
          <w:rFonts w:hint="eastAsia" w:ascii="宋体" w:hAnsi="宋体"/>
          <w:color w:val="auto"/>
          <w:sz w:val="24"/>
        </w:rPr>
        <w:t>（2）人员定期进行职业健康检查。</w:t>
      </w:r>
    </w:p>
    <w:p>
      <w:pPr>
        <w:widowControl/>
        <w:spacing w:line="500" w:lineRule="exact"/>
        <w:ind w:firstLine="480" w:firstLineChars="200"/>
        <w:rPr>
          <w:rFonts w:ascii="宋体" w:hAnsi="宋体"/>
          <w:color w:val="auto"/>
          <w:sz w:val="24"/>
        </w:rPr>
      </w:pPr>
      <w:r>
        <w:rPr>
          <w:rFonts w:hint="eastAsia" w:ascii="宋体" w:hAnsi="宋体"/>
          <w:color w:val="auto"/>
          <w:sz w:val="24"/>
        </w:rPr>
        <w:t>6）建议下步设计明确洒水车规格型号、数量等内容。</w:t>
      </w:r>
    </w:p>
    <w:p>
      <w:pPr>
        <w:pStyle w:val="6"/>
        <w:keepLines w:val="0"/>
        <w:widowControl/>
        <w:spacing w:before="0" w:after="0" w:line="500" w:lineRule="exact"/>
        <w:rPr>
          <w:rFonts w:ascii="宋体" w:hAnsi="宋体" w:eastAsia="宋体"/>
          <w:color w:val="auto"/>
          <w:kern w:val="28"/>
        </w:rPr>
      </w:pPr>
      <w:r>
        <w:rPr>
          <w:rFonts w:hint="eastAsia" w:ascii="宋体" w:hAnsi="宋体" w:eastAsia="宋体"/>
          <w:color w:val="auto"/>
          <w:kern w:val="28"/>
        </w:rPr>
        <w:t>4.1.7</w:t>
      </w:r>
      <w:r>
        <w:rPr>
          <w:rFonts w:ascii="宋体" w:hAnsi="宋体" w:eastAsia="宋体"/>
          <w:color w:val="auto"/>
          <w:kern w:val="28"/>
        </w:rPr>
        <w:t>.2</w:t>
      </w:r>
      <w:r>
        <w:rPr>
          <w:rFonts w:hint="eastAsia" w:ascii="宋体" w:hAnsi="宋体" w:eastAsia="宋体"/>
          <w:color w:val="auto"/>
          <w:kern w:val="28"/>
        </w:rPr>
        <w:t>办公生活区对策措施</w:t>
      </w:r>
    </w:p>
    <w:p>
      <w:pPr>
        <w:widowControl/>
        <w:spacing w:line="5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）防触电对策措施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（1）严格按规定进行带电作业；悬挂警示标志。</w:t>
      </w:r>
    </w:p>
    <w:p>
      <w:pPr>
        <w:widowControl/>
        <w:spacing w:line="500" w:lineRule="exact"/>
        <w:ind w:firstLine="480" w:firstLineChars="200"/>
        <w:rPr>
          <w:rFonts w:ascii="宋体" w:hAnsi="宋体"/>
          <w:color w:val="auto"/>
          <w:sz w:val="24"/>
        </w:rPr>
      </w:pPr>
      <w:r>
        <w:rPr>
          <w:rFonts w:hint="eastAsia" w:ascii="宋体" w:hAnsi="宋体"/>
          <w:color w:val="auto"/>
          <w:sz w:val="24"/>
        </w:rPr>
        <w:t>（2）电气设备、线路应设避雷装置并定期检测。</w:t>
      </w:r>
    </w:p>
    <w:p>
      <w:pPr>
        <w:widowControl/>
        <w:spacing w:line="500" w:lineRule="exact"/>
        <w:ind w:firstLine="480" w:firstLineChars="200"/>
        <w:rPr>
          <w:rFonts w:ascii="宋体" w:hAnsi="宋体"/>
          <w:color w:val="auto"/>
          <w:sz w:val="24"/>
        </w:rPr>
      </w:pPr>
      <w:r>
        <w:rPr>
          <w:rFonts w:hint="eastAsia" w:ascii="宋体" w:hAnsi="宋体"/>
          <w:color w:val="auto"/>
          <w:sz w:val="24"/>
        </w:rPr>
        <w:t>（3）供电线路要与用电设备、设施匹配，按规范接地、安装漏电和裸露部位保护。</w:t>
      </w:r>
    </w:p>
    <w:p>
      <w:pPr>
        <w:widowControl/>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）防触电对策措施</w:t>
      </w:r>
    </w:p>
    <w:p>
      <w:pPr>
        <w:widowControl/>
        <w:spacing w:line="500" w:lineRule="exact"/>
        <w:ind w:firstLine="480" w:firstLineChars="200"/>
        <w:rPr>
          <w:rFonts w:ascii="宋体" w:hAnsi="宋体"/>
          <w:color w:val="auto"/>
          <w:sz w:val="24"/>
        </w:rPr>
      </w:pPr>
      <w:r>
        <w:rPr>
          <w:rFonts w:hint="eastAsia" w:ascii="宋体" w:hAnsi="宋体"/>
          <w:color w:val="auto"/>
          <w:sz w:val="24"/>
        </w:rPr>
        <w:t>（1）在带电的导线附近，严禁存放易燃易爆物品，附近茅草应清除。</w:t>
      </w:r>
    </w:p>
    <w:p>
      <w:pPr>
        <w:widowControl/>
        <w:spacing w:line="500" w:lineRule="exact"/>
        <w:ind w:firstLine="480" w:firstLineChars="200"/>
        <w:rPr>
          <w:rFonts w:ascii="宋体" w:hAnsi="宋体"/>
          <w:color w:val="auto"/>
          <w:sz w:val="24"/>
        </w:rPr>
      </w:pPr>
      <w:r>
        <w:rPr>
          <w:rFonts w:hint="eastAsia" w:ascii="宋体" w:hAnsi="宋体"/>
          <w:color w:val="auto"/>
          <w:sz w:val="24"/>
        </w:rPr>
        <w:t>（2）电气线路布置有序，及时更换绝缘老化线路。</w:t>
      </w:r>
    </w:p>
    <w:p>
      <w:pPr>
        <w:widowControl/>
        <w:spacing w:line="500" w:lineRule="exact"/>
        <w:ind w:firstLine="480" w:firstLineChars="200"/>
        <w:rPr>
          <w:rFonts w:ascii="宋体" w:hAnsi="宋体"/>
          <w:color w:val="auto"/>
          <w:sz w:val="24"/>
        </w:rPr>
      </w:pPr>
      <w:r>
        <w:rPr>
          <w:rFonts w:hint="eastAsia" w:ascii="宋体" w:hAnsi="宋体"/>
          <w:color w:val="auto"/>
          <w:sz w:val="24"/>
        </w:rPr>
        <w:t>（3）定期对用电设备进行检修，长时运转时应检查外壳温度。配备过流保护装置。</w:t>
      </w:r>
    </w:p>
    <w:p>
      <w:pPr>
        <w:widowControl/>
        <w:spacing w:line="500" w:lineRule="exact"/>
        <w:ind w:firstLine="480" w:firstLineChars="200"/>
        <w:rPr>
          <w:rFonts w:ascii="宋体" w:hAnsi="宋体"/>
          <w:color w:val="auto"/>
          <w:sz w:val="24"/>
        </w:rPr>
      </w:pPr>
      <w:r>
        <w:rPr>
          <w:rFonts w:hint="eastAsia" w:ascii="宋体" w:hAnsi="宋体"/>
          <w:color w:val="auto"/>
          <w:sz w:val="24"/>
        </w:rPr>
        <w:t>（4）用电设备周边严禁存放易燃易爆物品。</w:t>
      </w:r>
    </w:p>
    <w:p>
      <w:pPr>
        <w:widowControl/>
        <w:spacing w:line="500" w:lineRule="exact"/>
        <w:ind w:firstLine="480" w:firstLineChars="200"/>
        <w:rPr>
          <w:rFonts w:ascii="宋体" w:hAnsi="宋体"/>
          <w:color w:val="auto"/>
          <w:sz w:val="24"/>
        </w:rPr>
      </w:pPr>
      <w:r>
        <w:rPr>
          <w:rFonts w:hint="eastAsia" w:ascii="宋体" w:hAnsi="宋体"/>
          <w:color w:val="auto"/>
          <w:sz w:val="24"/>
        </w:rPr>
        <w:t>3）柴油属于危险化学品，企业应按《危险化学品安全管理条例》的相关要求，对柴油进行管理。</w:t>
      </w:r>
    </w:p>
    <w:p>
      <w:pPr>
        <w:pStyle w:val="4"/>
        <w:keepLines w:val="0"/>
        <w:widowControl/>
        <w:spacing w:before="120" w:after="120" w:line="500" w:lineRule="exact"/>
        <w:rPr>
          <w:rFonts w:ascii="宋体" w:hAnsi="宋体" w:eastAsia="宋体"/>
          <w:b/>
          <w:bCs w:val="0"/>
          <w:color w:val="auto"/>
          <w:kern w:val="28"/>
          <w:sz w:val="28"/>
          <w:szCs w:val="28"/>
        </w:rPr>
      </w:pPr>
      <w:bookmarkStart w:id="256" w:name="_Toc198106939"/>
      <w:bookmarkStart w:id="257" w:name="_Toc241824342"/>
      <w:bookmarkStart w:id="258" w:name="_Toc229928359"/>
      <w:bookmarkStart w:id="259" w:name="_Toc158168039"/>
      <w:bookmarkStart w:id="260" w:name="_Toc150262788"/>
      <w:bookmarkStart w:id="261" w:name="_Toc166918986"/>
      <w:bookmarkStart w:id="262" w:name="_Toc166919197"/>
      <w:bookmarkStart w:id="263" w:name="_Toc168484335"/>
      <w:bookmarkStart w:id="264" w:name="_Toc240347041"/>
      <w:bookmarkStart w:id="265" w:name="_Toc158167926"/>
      <w:r>
        <w:rPr>
          <w:rFonts w:ascii="宋体" w:hAnsi="宋体" w:eastAsia="宋体"/>
          <w:b/>
          <w:bCs w:val="0"/>
          <w:color w:val="auto"/>
          <w:kern w:val="28"/>
          <w:sz w:val="28"/>
          <w:szCs w:val="28"/>
        </w:rPr>
        <w:t>4.</w:t>
      </w:r>
      <w:r>
        <w:rPr>
          <w:rFonts w:hint="eastAsia" w:ascii="宋体" w:hAnsi="宋体" w:eastAsia="宋体"/>
          <w:b/>
          <w:bCs w:val="0"/>
          <w:color w:val="auto"/>
          <w:kern w:val="28"/>
          <w:sz w:val="28"/>
          <w:szCs w:val="28"/>
        </w:rPr>
        <w:t>2</w:t>
      </w:r>
      <w:r>
        <w:rPr>
          <w:rFonts w:ascii="宋体" w:hAnsi="宋体" w:eastAsia="宋体"/>
          <w:b/>
          <w:bCs w:val="0"/>
          <w:color w:val="auto"/>
          <w:kern w:val="28"/>
          <w:sz w:val="28"/>
          <w:szCs w:val="28"/>
        </w:rPr>
        <w:t>安全管理措施</w:t>
      </w:r>
      <w:bookmarkEnd w:id="256"/>
      <w:bookmarkEnd w:id="257"/>
      <w:bookmarkEnd w:id="258"/>
      <w:bookmarkEnd w:id="259"/>
      <w:bookmarkEnd w:id="260"/>
      <w:bookmarkEnd w:id="261"/>
      <w:bookmarkEnd w:id="262"/>
      <w:bookmarkEnd w:id="263"/>
      <w:bookmarkEnd w:id="264"/>
      <w:bookmarkEnd w:id="265"/>
    </w:p>
    <w:p>
      <w:pPr>
        <w:pStyle w:val="5"/>
        <w:keepLines w:val="0"/>
        <w:widowControl/>
        <w:spacing w:before="120" w:after="120" w:line="500" w:lineRule="exact"/>
        <w:rPr>
          <w:rFonts w:ascii="宋体" w:hAnsi="宋体"/>
          <w:color w:val="auto"/>
          <w:kern w:val="28"/>
          <w:sz w:val="28"/>
          <w:szCs w:val="28"/>
        </w:rPr>
      </w:pPr>
      <w:bookmarkStart w:id="266" w:name="_Toc193792647"/>
      <w:bookmarkStart w:id="267" w:name="_Toc190416582"/>
      <w:bookmarkStart w:id="268" w:name="_Toc190431896"/>
      <w:bookmarkStart w:id="269" w:name="_Toc194551718"/>
      <w:bookmarkStart w:id="270" w:name="_Toc193789447"/>
      <w:bookmarkStart w:id="271" w:name="_Toc234376087"/>
      <w:bookmarkStart w:id="272" w:name="_Toc193792538"/>
      <w:bookmarkStart w:id="273" w:name="_Toc194481426"/>
      <w:bookmarkStart w:id="274" w:name="_Toc193101207"/>
      <w:bookmarkStart w:id="275" w:name="_Toc209858965"/>
      <w:r>
        <w:rPr>
          <w:rFonts w:hint="eastAsia" w:ascii="宋体" w:hAnsi="宋体"/>
          <w:color w:val="auto"/>
          <w:kern w:val="28"/>
          <w:sz w:val="28"/>
          <w:szCs w:val="28"/>
        </w:rPr>
        <w:t>4.2.1安全管理基本要求</w:t>
      </w:r>
    </w:p>
    <w:p>
      <w:pPr>
        <w:widowControl/>
        <w:spacing w:line="500" w:lineRule="exact"/>
        <w:ind w:firstLine="480" w:firstLineChars="200"/>
        <w:rPr>
          <w:rFonts w:ascii="宋体" w:hAnsi="宋体"/>
          <w:color w:val="auto"/>
          <w:sz w:val="24"/>
        </w:rPr>
      </w:pPr>
      <w:r>
        <w:rPr>
          <w:rFonts w:hint="eastAsia" w:ascii="宋体" w:hAnsi="宋体"/>
          <w:color w:val="auto"/>
          <w:sz w:val="24"/>
        </w:rPr>
        <w:t>1）与有资质的矿山救护队签订协议，以防发生事故做到有组织的救援，减少事故的损失。</w:t>
      </w:r>
    </w:p>
    <w:p>
      <w:pPr>
        <w:widowControl/>
        <w:spacing w:line="500" w:lineRule="exact"/>
        <w:ind w:firstLine="480" w:firstLineChars="200"/>
        <w:rPr>
          <w:rFonts w:ascii="宋体" w:hAnsi="宋体"/>
          <w:color w:val="auto"/>
          <w:sz w:val="24"/>
        </w:rPr>
      </w:pPr>
      <w:r>
        <w:rPr>
          <w:rFonts w:hint="eastAsia" w:ascii="宋体" w:hAnsi="宋体"/>
          <w:color w:val="auto"/>
          <w:sz w:val="24"/>
        </w:rPr>
        <w:t>2）根据法律、法规的要求，安全设施应与主体工程同时设计，同时施工，同时投入使用。安全设施按设计与主体工程同时施工时，应有资质的施工单位进行施工，防止工程质量事故。</w:t>
      </w:r>
    </w:p>
    <w:p>
      <w:pPr>
        <w:widowControl/>
        <w:spacing w:line="500" w:lineRule="exact"/>
        <w:ind w:firstLine="480" w:firstLineChars="200"/>
        <w:rPr>
          <w:rFonts w:ascii="宋体" w:hAnsi="宋体"/>
          <w:color w:val="auto"/>
          <w:sz w:val="24"/>
        </w:rPr>
      </w:pPr>
      <w:r>
        <w:rPr>
          <w:rFonts w:hint="eastAsia" w:ascii="宋体" w:hAnsi="宋体"/>
          <w:color w:val="auto"/>
          <w:sz w:val="24"/>
        </w:rPr>
        <w:t>3）应为全体员工购买工伤保险以及安全生产责任险。</w:t>
      </w:r>
    </w:p>
    <w:p>
      <w:pPr>
        <w:pStyle w:val="5"/>
        <w:keepLines w:val="0"/>
        <w:widowControl/>
        <w:spacing w:before="120" w:after="120" w:line="500" w:lineRule="exact"/>
        <w:rPr>
          <w:rFonts w:ascii="宋体" w:hAnsi="宋体"/>
          <w:color w:val="auto"/>
          <w:kern w:val="28"/>
          <w:sz w:val="28"/>
          <w:szCs w:val="28"/>
        </w:rPr>
      </w:pPr>
      <w:bookmarkStart w:id="276" w:name="_Toc193101201"/>
      <w:bookmarkStart w:id="277" w:name="_Toc190431890"/>
      <w:bookmarkStart w:id="278" w:name="_Toc193792640"/>
      <w:bookmarkStart w:id="279" w:name="_Toc193792531"/>
      <w:bookmarkStart w:id="280" w:name="_Toc193789441"/>
      <w:bookmarkStart w:id="281" w:name="_Toc194481419"/>
      <w:bookmarkStart w:id="282" w:name="_Toc194551711"/>
      <w:bookmarkStart w:id="283" w:name="_Toc190416576"/>
      <w:bookmarkStart w:id="284" w:name="_Toc209858958"/>
      <w:r>
        <w:rPr>
          <w:rFonts w:hint="eastAsia" w:ascii="宋体" w:hAnsi="宋体"/>
          <w:color w:val="auto"/>
          <w:kern w:val="28"/>
          <w:sz w:val="28"/>
          <w:szCs w:val="28"/>
        </w:rPr>
        <w:t>4.2.2安全机构、人员及设备配置</w:t>
      </w:r>
      <w:bookmarkEnd w:id="276"/>
      <w:bookmarkEnd w:id="277"/>
      <w:bookmarkEnd w:id="278"/>
      <w:bookmarkEnd w:id="279"/>
      <w:bookmarkEnd w:id="280"/>
      <w:bookmarkEnd w:id="281"/>
      <w:bookmarkEnd w:id="282"/>
      <w:bookmarkEnd w:id="283"/>
      <w:bookmarkEnd w:id="284"/>
    </w:p>
    <w:p>
      <w:pPr>
        <w:widowControl/>
        <w:spacing w:line="500" w:lineRule="exact"/>
        <w:ind w:firstLine="480" w:firstLineChars="200"/>
        <w:rPr>
          <w:rFonts w:ascii="宋体" w:hAnsi="宋体"/>
          <w:color w:val="auto"/>
          <w:sz w:val="24"/>
        </w:rPr>
      </w:pPr>
      <w:r>
        <w:rPr>
          <w:rFonts w:hint="eastAsia" w:ascii="宋体" w:hAnsi="宋体"/>
          <w:color w:val="auto"/>
          <w:sz w:val="24"/>
        </w:rPr>
        <w:t>1）建立健全安全生产管理机构和人员配置，保证各类安全生产管理制度能认真贯彻执行，设置专职安全生产管理人员。</w:t>
      </w:r>
    </w:p>
    <w:p>
      <w:pPr>
        <w:widowControl/>
        <w:spacing w:line="500" w:lineRule="exact"/>
        <w:ind w:firstLine="480" w:firstLineChars="200"/>
        <w:rPr>
          <w:rFonts w:ascii="宋体" w:hAnsi="宋体"/>
          <w:color w:val="auto"/>
          <w:sz w:val="24"/>
        </w:rPr>
      </w:pPr>
      <w:r>
        <w:rPr>
          <w:rFonts w:hint="eastAsia" w:ascii="宋体" w:hAnsi="宋体"/>
          <w:color w:val="auto"/>
          <w:sz w:val="24"/>
        </w:rPr>
        <w:t>2）明确各级第一责任人为安全生产第一责任人。</w:t>
      </w:r>
    </w:p>
    <w:p>
      <w:pPr>
        <w:widowControl/>
        <w:spacing w:line="500" w:lineRule="exact"/>
        <w:ind w:firstLine="480" w:firstLineChars="200"/>
        <w:rPr>
          <w:rFonts w:ascii="宋体" w:hAnsi="宋体"/>
          <w:color w:val="auto"/>
          <w:sz w:val="24"/>
        </w:rPr>
      </w:pPr>
      <w:r>
        <w:rPr>
          <w:rFonts w:hint="eastAsia" w:ascii="宋体" w:hAnsi="宋体"/>
          <w:color w:val="auto"/>
          <w:sz w:val="24"/>
        </w:rPr>
        <w:t>3）配备安全卫生管理、检查、事故调查分析、检测检验的用品和检查、检测、通信、车辆等设施、设备。配备安全卫生培训、教育设备和场所。</w:t>
      </w:r>
    </w:p>
    <w:p>
      <w:pPr>
        <w:widowControl/>
        <w:spacing w:line="500" w:lineRule="exact"/>
        <w:ind w:firstLine="480" w:firstLineChars="200"/>
        <w:rPr>
          <w:rFonts w:ascii="宋体" w:hAnsi="宋体"/>
          <w:color w:val="auto"/>
          <w:sz w:val="24"/>
        </w:rPr>
      </w:pPr>
      <w:r>
        <w:rPr>
          <w:rFonts w:hint="eastAsia" w:ascii="宋体" w:hAnsi="宋体"/>
          <w:color w:val="auto"/>
          <w:sz w:val="24"/>
        </w:rPr>
        <w:t>4）加强企业生产技术管理。矿山应设立技术总负责人，并明确技术总负责人在企业主要负责人的领导下，对矿山生产技术工作负总责。与此同时，要设立生产技术管理机构，配备采矿、机电、地质及测量等专业技术人员。没有条件配备专业技术人员的矿山，必须聘请专业技术人员或委托评价、咨询、技术服务等中介机构提供技术服务。</w:t>
      </w:r>
    </w:p>
    <w:p>
      <w:pPr>
        <w:widowControl/>
        <w:spacing w:line="500" w:lineRule="exact"/>
        <w:ind w:firstLine="480" w:firstLineChars="200"/>
        <w:rPr>
          <w:rFonts w:ascii="宋体" w:hAnsi="宋体"/>
          <w:color w:val="auto"/>
          <w:sz w:val="24"/>
        </w:rPr>
      </w:pPr>
      <w:r>
        <w:rPr>
          <w:rFonts w:hint="eastAsia" w:ascii="宋体" w:hAnsi="宋体"/>
          <w:color w:val="auto"/>
          <w:sz w:val="24"/>
        </w:rPr>
        <w:t>5）配备注册安全工程师。</w:t>
      </w:r>
    </w:p>
    <w:p>
      <w:pPr>
        <w:pStyle w:val="5"/>
        <w:keepLines w:val="0"/>
        <w:widowControl/>
        <w:spacing w:before="120" w:after="120" w:line="500" w:lineRule="exact"/>
        <w:rPr>
          <w:rFonts w:ascii="宋体" w:hAnsi="宋体"/>
          <w:color w:val="auto"/>
          <w:kern w:val="28"/>
          <w:sz w:val="28"/>
          <w:szCs w:val="28"/>
        </w:rPr>
      </w:pPr>
      <w:bookmarkStart w:id="285" w:name="_Toc190416577"/>
      <w:bookmarkStart w:id="286" w:name="_Toc193792532"/>
      <w:bookmarkStart w:id="287" w:name="_Toc190431891"/>
      <w:bookmarkStart w:id="288" w:name="_Toc194481420"/>
      <w:bookmarkStart w:id="289" w:name="_Toc194551712"/>
      <w:bookmarkStart w:id="290" w:name="_Toc193789442"/>
      <w:bookmarkStart w:id="291" w:name="_Toc193792641"/>
      <w:bookmarkStart w:id="292" w:name="_Toc209858959"/>
      <w:bookmarkStart w:id="293" w:name="_Toc193101202"/>
      <w:r>
        <w:rPr>
          <w:rFonts w:hint="eastAsia" w:ascii="宋体" w:hAnsi="宋体"/>
          <w:color w:val="auto"/>
          <w:kern w:val="28"/>
          <w:sz w:val="28"/>
          <w:szCs w:val="28"/>
        </w:rPr>
        <w:t>4.2.3建立完善的规章制度</w:t>
      </w:r>
      <w:bookmarkEnd w:id="285"/>
      <w:bookmarkEnd w:id="286"/>
      <w:bookmarkEnd w:id="287"/>
      <w:bookmarkEnd w:id="288"/>
      <w:bookmarkEnd w:id="289"/>
      <w:bookmarkEnd w:id="290"/>
      <w:bookmarkEnd w:id="291"/>
      <w:bookmarkEnd w:id="292"/>
      <w:bookmarkEnd w:id="293"/>
    </w:p>
    <w:p>
      <w:pPr>
        <w:widowControl/>
        <w:spacing w:line="500" w:lineRule="exact"/>
        <w:ind w:firstLine="480" w:firstLineChars="200"/>
        <w:rPr>
          <w:rFonts w:ascii="宋体" w:hAnsi="宋体"/>
          <w:color w:val="auto"/>
          <w:sz w:val="24"/>
        </w:rPr>
      </w:pPr>
      <w:r>
        <w:rPr>
          <w:rFonts w:hint="eastAsia" w:ascii="宋体" w:hAnsi="宋体"/>
          <w:color w:val="auto"/>
          <w:sz w:val="24"/>
        </w:rPr>
        <w:t>应建立如下管理制度：</w:t>
      </w:r>
    </w:p>
    <w:p>
      <w:pPr>
        <w:widowControl/>
        <w:spacing w:line="500" w:lineRule="exact"/>
        <w:ind w:firstLine="480" w:firstLineChars="200"/>
        <w:rPr>
          <w:rFonts w:ascii="宋体" w:hAnsi="宋体"/>
          <w:color w:val="auto"/>
          <w:sz w:val="24"/>
        </w:rPr>
      </w:pPr>
      <w:r>
        <w:rPr>
          <w:rFonts w:ascii="宋体" w:hAnsi="宋体"/>
          <w:color w:val="auto"/>
          <w:sz w:val="24"/>
        </w:rPr>
        <w:t>1）安全生产责任制度；2）安全目标管理制度；3）安全例会制度；4）安全检查制度；5）安全教育培训制度；</w:t>
      </w:r>
      <w:r>
        <w:rPr>
          <w:rFonts w:hint="eastAsia" w:ascii="宋体" w:hAnsi="宋体"/>
          <w:color w:val="auto"/>
          <w:sz w:val="24"/>
        </w:rPr>
        <w:t>6）生产技术管理制度；7）机电设备管理制度；8）劳动管理制度；9）安全费用提取与使用制度；10）重大危险源监控制度；11）安全生产隐患排查治理制度；12）安全技术措施审批制度；13）劳动防护用品管理制度；14）职业危害预防制度；15）生产安全事故报告16）安全生产奖惩17）安全生产档案管理制度。</w:t>
      </w:r>
    </w:p>
    <w:p>
      <w:pPr>
        <w:pStyle w:val="5"/>
        <w:keepLines w:val="0"/>
        <w:widowControl/>
        <w:spacing w:before="120" w:after="120" w:line="500" w:lineRule="exact"/>
        <w:rPr>
          <w:rFonts w:ascii="宋体" w:hAnsi="宋体"/>
          <w:color w:val="auto"/>
          <w:kern w:val="28"/>
          <w:sz w:val="28"/>
          <w:szCs w:val="28"/>
        </w:rPr>
      </w:pPr>
      <w:bookmarkStart w:id="294" w:name="_Toc193792533"/>
      <w:bookmarkStart w:id="295" w:name="_Toc193792642"/>
      <w:bookmarkStart w:id="296" w:name="_Toc190431892"/>
      <w:bookmarkStart w:id="297" w:name="_Toc194481421"/>
      <w:bookmarkStart w:id="298" w:name="_Toc193789443"/>
      <w:bookmarkStart w:id="299" w:name="_Toc209858960"/>
      <w:bookmarkStart w:id="300" w:name="_Toc193101203"/>
      <w:bookmarkStart w:id="301" w:name="_Toc190416578"/>
      <w:bookmarkStart w:id="302" w:name="_Toc194551713"/>
      <w:r>
        <w:rPr>
          <w:rFonts w:hint="eastAsia" w:ascii="宋体" w:hAnsi="宋体"/>
          <w:color w:val="auto"/>
          <w:kern w:val="28"/>
          <w:sz w:val="28"/>
          <w:szCs w:val="28"/>
        </w:rPr>
        <w:t>4.2.4安全培训、教育、考核</w:t>
      </w:r>
      <w:bookmarkEnd w:id="294"/>
      <w:bookmarkEnd w:id="295"/>
      <w:bookmarkEnd w:id="296"/>
      <w:bookmarkEnd w:id="297"/>
      <w:bookmarkEnd w:id="298"/>
      <w:bookmarkEnd w:id="299"/>
      <w:bookmarkEnd w:id="300"/>
      <w:bookmarkEnd w:id="301"/>
      <w:bookmarkEnd w:id="302"/>
    </w:p>
    <w:p>
      <w:pPr>
        <w:widowControl/>
        <w:spacing w:line="500" w:lineRule="exact"/>
        <w:ind w:firstLine="480" w:firstLineChars="200"/>
        <w:rPr>
          <w:rFonts w:ascii="宋体" w:hAnsi="宋体"/>
          <w:color w:val="auto"/>
          <w:sz w:val="24"/>
        </w:rPr>
      </w:pPr>
      <w:r>
        <w:rPr>
          <w:rFonts w:hint="eastAsia" w:ascii="宋体" w:hAnsi="宋体"/>
          <w:color w:val="auto"/>
          <w:sz w:val="24"/>
        </w:rPr>
        <w:t>1）主要负责人、安全生产管理人员必须进行安全资格培训，经有资质的公司或法律法规规定的有关主管部门考核合格并取得合格证后方可任职。</w:t>
      </w:r>
    </w:p>
    <w:p>
      <w:pPr>
        <w:widowControl/>
        <w:spacing w:line="500" w:lineRule="exact"/>
        <w:ind w:firstLine="480" w:firstLineChars="200"/>
        <w:rPr>
          <w:rFonts w:ascii="宋体" w:hAnsi="宋体"/>
          <w:color w:val="auto"/>
          <w:sz w:val="24"/>
        </w:rPr>
      </w:pPr>
      <w:r>
        <w:rPr>
          <w:rFonts w:hint="eastAsia" w:ascii="宋体" w:hAnsi="宋体"/>
          <w:color w:val="auto"/>
          <w:sz w:val="24"/>
        </w:rPr>
        <w:t>2）主要负责人、安全生产管理人员每年应进行安全再培训。</w:t>
      </w:r>
    </w:p>
    <w:p>
      <w:pPr>
        <w:widowControl/>
        <w:spacing w:line="500" w:lineRule="exact"/>
        <w:ind w:firstLine="480" w:firstLineChars="200"/>
        <w:rPr>
          <w:rFonts w:ascii="宋体" w:hAnsi="宋体"/>
          <w:color w:val="auto"/>
          <w:sz w:val="24"/>
        </w:rPr>
      </w:pPr>
      <w:r>
        <w:rPr>
          <w:rFonts w:hint="eastAsia" w:ascii="宋体" w:hAnsi="宋体"/>
          <w:color w:val="auto"/>
          <w:sz w:val="24"/>
        </w:rPr>
        <w:t>3）特种作业人员上岗前，必须进行专门的安全技术和操作技能的培训和考核，并经培训考核合格，取得《特种作业人员操作证》后方可上岗。</w:t>
      </w:r>
    </w:p>
    <w:p>
      <w:pPr>
        <w:widowControl/>
        <w:spacing w:line="500" w:lineRule="exact"/>
        <w:ind w:firstLine="480" w:firstLineChars="200"/>
        <w:rPr>
          <w:rFonts w:ascii="宋体" w:hAnsi="宋体"/>
          <w:color w:val="auto"/>
          <w:sz w:val="24"/>
        </w:rPr>
      </w:pPr>
      <w:r>
        <w:rPr>
          <w:rFonts w:hint="eastAsia" w:ascii="宋体" w:hAnsi="宋体"/>
          <w:color w:val="auto"/>
          <w:sz w:val="24"/>
        </w:rPr>
        <w:t>4）取得特种作业人员操作证者，按规定定期进行年审。</w:t>
      </w:r>
    </w:p>
    <w:p>
      <w:pPr>
        <w:widowControl/>
        <w:spacing w:line="500" w:lineRule="exact"/>
        <w:ind w:firstLine="480" w:firstLineChars="200"/>
        <w:rPr>
          <w:rFonts w:ascii="宋体" w:hAnsi="宋体"/>
          <w:color w:val="auto"/>
          <w:sz w:val="24"/>
        </w:rPr>
      </w:pPr>
      <w:r>
        <w:rPr>
          <w:rFonts w:hint="eastAsia" w:ascii="宋体" w:hAnsi="宋体"/>
          <w:color w:val="auto"/>
          <w:sz w:val="24"/>
        </w:rPr>
        <w:t>5）新进露天矿从业人员上岗安全培训时间不得少于</w:t>
      </w:r>
      <w:r>
        <w:rPr>
          <w:rFonts w:ascii="宋体" w:hAnsi="宋体"/>
          <w:color w:val="auto"/>
          <w:sz w:val="24"/>
        </w:rPr>
        <w:t>72</w:t>
      </w:r>
      <w:r>
        <w:rPr>
          <w:rFonts w:hint="eastAsia" w:ascii="宋体" w:hAnsi="宋体"/>
          <w:color w:val="auto"/>
          <w:sz w:val="24"/>
        </w:rPr>
        <w:t>学时，每年接受再培训时间不少于20学时。</w:t>
      </w:r>
    </w:p>
    <w:p>
      <w:pPr>
        <w:widowControl/>
        <w:spacing w:line="500" w:lineRule="exact"/>
        <w:ind w:firstLine="480" w:firstLineChars="200"/>
        <w:rPr>
          <w:rFonts w:ascii="宋体" w:hAnsi="宋体"/>
          <w:color w:val="auto"/>
          <w:sz w:val="24"/>
        </w:rPr>
      </w:pPr>
      <w:r>
        <w:rPr>
          <w:rFonts w:hint="eastAsia" w:ascii="宋体" w:hAnsi="宋体"/>
          <w:color w:val="auto"/>
          <w:sz w:val="24"/>
        </w:rPr>
        <w:t>6）调整工作岗位或离岗一年以上重新上岗时，应进行相应的车间级安全生产教育培训。</w:t>
      </w:r>
    </w:p>
    <w:p>
      <w:pPr>
        <w:widowControl/>
        <w:spacing w:line="500" w:lineRule="exact"/>
        <w:ind w:firstLine="480" w:firstLineChars="200"/>
        <w:rPr>
          <w:rFonts w:ascii="宋体" w:hAnsi="宋体"/>
          <w:color w:val="auto"/>
          <w:sz w:val="24"/>
        </w:rPr>
      </w:pPr>
      <w:r>
        <w:rPr>
          <w:rFonts w:hint="eastAsia" w:ascii="宋体" w:hAnsi="宋体"/>
          <w:color w:val="auto"/>
          <w:sz w:val="24"/>
        </w:rPr>
        <w:t>7）矿山实施新工艺、新技术或使用新设备、新材料时，应对从业人员进行针对性的安全生产教育培训。</w:t>
      </w:r>
    </w:p>
    <w:p>
      <w:pPr>
        <w:widowControl/>
        <w:spacing w:line="500" w:lineRule="exact"/>
        <w:ind w:firstLine="480" w:firstLineChars="200"/>
        <w:rPr>
          <w:rFonts w:ascii="宋体" w:hAnsi="宋体"/>
          <w:color w:val="auto"/>
          <w:sz w:val="24"/>
        </w:rPr>
      </w:pPr>
      <w:r>
        <w:rPr>
          <w:rFonts w:hint="eastAsia" w:ascii="宋体" w:hAnsi="宋体"/>
          <w:color w:val="auto"/>
          <w:sz w:val="24"/>
        </w:rPr>
        <w:t>8）每年要编制全矿职工培训教育计划。</w:t>
      </w:r>
    </w:p>
    <w:p>
      <w:pPr>
        <w:pStyle w:val="5"/>
        <w:keepLines w:val="0"/>
        <w:widowControl/>
        <w:spacing w:before="120" w:after="120" w:line="500" w:lineRule="exact"/>
        <w:rPr>
          <w:rFonts w:ascii="宋体" w:hAnsi="宋体"/>
          <w:color w:val="auto"/>
          <w:kern w:val="28"/>
          <w:sz w:val="28"/>
          <w:szCs w:val="28"/>
        </w:rPr>
      </w:pPr>
      <w:bookmarkStart w:id="303" w:name="_Toc190416579"/>
      <w:bookmarkStart w:id="304" w:name="_Toc193789444"/>
      <w:bookmarkStart w:id="305" w:name="_Toc194481422"/>
      <w:bookmarkStart w:id="306" w:name="_Toc209858961"/>
      <w:bookmarkStart w:id="307" w:name="_Toc194551714"/>
      <w:bookmarkStart w:id="308" w:name="_Toc193101204"/>
      <w:bookmarkStart w:id="309" w:name="_Toc190431893"/>
      <w:bookmarkStart w:id="310" w:name="_Toc193792643"/>
      <w:bookmarkStart w:id="311" w:name="_Toc193792534"/>
      <w:r>
        <w:rPr>
          <w:rFonts w:hint="eastAsia" w:ascii="宋体" w:hAnsi="宋体"/>
          <w:color w:val="auto"/>
          <w:kern w:val="28"/>
          <w:sz w:val="28"/>
          <w:szCs w:val="28"/>
        </w:rPr>
        <w:t>4.2.5安全投入与安全设施</w:t>
      </w:r>
      <w:bookmarkEnd w:id="303"/>
      <w:bookmarkEnd w:id="304"/>
      <w:bookmarkEnd w:id="305"/>
      <w:bookmarkEnd w:id="306"/>
      <w:bookmarkEnd w:id="307"/>
      <w:bookmarkEnd w:id="308"/>
      <w:bookmarkEnd w:id="309"/>
      <w:bookmarkEnd w:id="310"/>
      <w:bookmarkEnd w:id="311"/>
    </w:p>
    <w:p>
      <w:pPr>
        <w:widowControl/>
        <w:spacing w:line="500" w:lineRule="exact"/>
        <w:ind w:firstLine="480" w:firstLineChars="200"/>
        <w:rPr>
          <w:rFonts w:ascii="宋体" w:hAnsi="宋体"/>
          <w:color w:val="auto"/>
          <w:sz w:val="24"/>
        </w:rPr>
      </w:pPr>
      <w:r>
        <w:rPr>
          <w:rFonts w:ascii="宋体" w:hAnsi="宋体"/>
          <w:color w:val="auto"/>
          <w:sz w:val="24"/>
        </w:rPr>
        <w:t>依照</w:t>
      </w:r>
      <w:r>
        <w:rPr>
          <w:rFonts w:hint="eastAsia" w:ascii="宋体" w:hAnsi="宋体"/>
          <w:color w:val="auto"/>
          <w:sz w:val="24"/>
        </w:rPr>
        <w:t>《财政部 安全监管总局关于印发&lt;企业安全生产费用提取和使用管理办法&gt;的通知》</w:t>
      </w:r>
      <w:r>
        <w:rPr>
          <w:rFonts w:ascii="宋体" w:hAnsi="宋体"/>
          <w:color w:val="auto"/>
          <w:sz w:val="24"/>
        </w:rPr>
        <w:t>有关规定足额提取安全生产费用</w:t>
      </w:r>
      <w:r>
        <w:rPr>
          <w:rFonts w:hint="eastAsia" w:ascii="宋体" w:hAnsi="宋体"/>
          <w:color w:val="auto"/>
          <w:sz w:val="24"/>
        </w:rPr>
        <w:t>。本项目属于</w:t>
      </w:r>
      <w:r>
        <w:rPr>
          <w:rFonts w:ascii="宋体" w:hAnsi="宋体"/>
          <w:color w:val="auto"/>
          <w:sz w:val="24"/>
        </w:rPr>
        <w:t>非金属</w:t>
      </w:r>
      <w:r>
        <w:rPr>
          <w:rFonts w:hint="eastAsia" w:ascii="宋体" w:hAnsi="宋体"/>
          <w:color w:val="auto"/>
          <w:sz w:val="24"/>
        </w:rPr>
        <w:t>露天</w:t>
      </w:r>
      <w:r>
        <w:rPr>
          <w:rFonts w:ascii="宋体" w:hAnsi="宋体"/>
          <w:color w:val="auto"/>
          <w:sz w:val="24"/>
        </w:rPr>
        <w:t>矿山，</w:t>
      </w:r>
      <w:r>
        <w:rPr>
          <w:rFonts w:hint="eastAsia" w:ascii="宋体" w:hAnsi="宋体"/>
          <w:color w:val="auto"/>
          <w:sz w:val="24"/>
        </w:rPr>
        <w:t>按</w:t>
      </w:r>
      <w:r>
        <w:rPr>
          <w:rFonts w:ascii="宋体" w:hAnsi="宋体"/>
          <w:color w:val="auto"/>
          <w:sz w:val="24"/>
        </w:rPr>
        <w:t>每吨3元</w:t>
      </w:r>
      <w:r>
        <w:rPr>
          <w:rFonts w:hint="eastAsia" w:ascii="宋体" w:hAnsi="宋体"/>
          <w:color w:val="auto"/>
          <w:sz w:val="24"/>
        </w:rPr>
        <w:t>的提取标准。</w:t>
      </w:r>
    </w:p>
    <w:p>
      <w:pPr>
        <w:widowControl/>
        <w:spacing w:line="50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完善、改造和维护安全防护设施设备和重大安全隐患治理支出</w:t>
      </w:r>
      <w:r>
        <w:rPr>
          <w:rFonts w:hint="eastAsia" w:ascii="宋体" w:hAnsi="宋体"/>
          <w:color w:val="auto"/>
          <w:sz w:val="24"/>
        </w:rPr>
        <w:t>。</w:t>
      </w:r>
      <w:r>
        <w:rPr>
          <w:rFonts w:ascii="宋体" w:hAnsi="宋体"/>
          <w:color w:val="auto"/>
          <w:sz w:val="24"/>
        </w:rPr>
        <w:t>包括矿山综合防尘、防灭火、防治水、机电设备、供配电系统、运输系统等</w:t>
      </w:r>
      <w:r>
        <w:rPr>
          <w:rFonts w:hint="eastAsia" w:ascii="宋体" w:hAnsi="宋体"/>
          <w:color w:val="auto"/>
          <w:sz w:val="24"/>
        </w:rPr>
        <w:t>的</w:t>
      </w:r>
      <w:r>
        <w:rPr>
          <w:rFonts w:ascii="宋体" w:hAnsi="宋体"/>
          <w:color w:val="auto"/>
          <w:sz w:val="24"/>
        </w:rPr>
        <w:t>完善、改造和维护支出</w:t>
      </w:r>
      <w:r>
        <w:rPr>
          <w:rFonts w:hint="eastAsia" w:ascii="宋体" w:hAnsi="宋体"/>
          <w:color w:val="auto"/>
          <w:sz w:val="24"/>
        </w:rPr>
        <w:t>，</w:t>
      </w:r>
      <w:r>
        <w:rPr>
          <w:rFonts w:ascii="宋体" w:hAnsi="宋体"/>
          <w:color w:val="auto"/>
          <w:sz w:val="24"/>
        </w:rPr>
        <w:t>以及实施露天矿边坡治理等支出。</w:t>
      </w:r>
    </w:p>
    <w:p>
      <w:pPr>
        <w:widowControl/>
        <w:spacing w:line="500" w:lineRule="exact"/>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）完善应急救援技术装备、设施配置及维护保养支出，事故逃生和紧急避难设施设备的配置和应急演练支出。</w:t>
      </w:r>
    </w:p>
    <w:p>
      <w:pPr>
        <w:widowControl/>
        <w:spacing w:line="500" w:lineRule="exact"/>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）开展重大危险源和事故隐患评估、监控和整改支出。</w:t>
      </w:r>
    </w:p>
    <w:p>
      <w:pPr>
        <w:widowControl/>
        <w:spacing w:line="50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）安全生产检查、评价（不包括新建、改建、扩建项目安全评价）、咨询、标准化建设支出。</w:t>
      </w:r>
    </w:p>
    <w:p>
      <w:pPr>
        <w:widowControl/>
        <w:spacing w:line="500" w:lineRule="exact"/>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）配备和更新现场作业人员安全防护用品支出。</w:t>
      </w:r>
    </w:p>
    <w:p>
      <w:pPr>
        <w:widowControl/>
        <w:spacing w:line="500" w:lineRule="exact"/>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）安全生产宣传、教育、培训支出。</w:t>
      </w:r>
    </w:p>
    <w:p>
      <w:pPr>
        <w:widowControl/>
        <w:spacing w:line="500" w:lineRule="exact"/>
        <w:ind w:firstLine="480" w:firstLineChars="200"/>
        <w:rPr>
          <w:rFonts w:ascii="宋体" w:hAnsi="宋体"/>
          <w:color w:val="auto"/>
          <w:sz w:val="24"/>
        </w:rPr>
      </w:pPr>
      <w:r>
        <w:rPr>
          <w:rFonts w:hint="eastAsia" w:ascii="宋体" w:hAnsi="宋体"/>
          <w:color w:val="auto"/>
          <w:sz w:val="24"/>
        </w:rPr>
        <w:t>7</w:t>
      </w:r>
      <w:r>
        <w:rPr>
          <w:rFonts w:ascii="宋体" w:hAnsi="宋体"/>
          <w:color w:val="auto"/>
          <w:sz w:val="24"/>
        </w:rPr>
        <w:t>）安全生产适用的新技术、新标准、新工艺、新装备的推广应用支出。</w:t>
      </w:r>
    </w:p>
    <w:p>
      <w:pPr>
        <w:widowControl/>
        <w:spacing w:line="500" w:lineRule="exact"/>
        <w:ind w:firstLine="480" w:firstLineChars="200"/>
        <w:rPr>
          <w:rFonts w:ascii="宋体" w:hAnsi="宋体"/>
          <w:color w:val="auto"/>
          <w:sz w:val="24"/>
        </w:rPr>
      </w:pPr>
      <w:r>
        <w:rPr>
          <w:rFonts w:hint="eastAsia" w:ascii="宋体" w:hAnsi="宋体"/>
          <w:color w:val="auto"/>
          <w:sz w:val="24"/>
        </w:rPr>
        <w:t>8</w:t>
      </w:r>
      <w:r>
        <w:rPr>
          <w:rFonts w:ascii="宋体" w:hAnsi="宋体"/>
          <w:color w:val="auto"/>
          <w:sz w:val="24"/>
        </w:rPr>
        <w:t>）安全设施及特种设备检测检验支出</w:t>
      </w:r>
      <w:r>
        <w:rPr>
          <w:rFonts w:hint="eastAsia" w:ascii="宋体" w:hAnsi="宋体"/>
          <w:color w:val="auto"/>
          <w:sz w:val="24"/>
        </w:rPr>
        <w:t>。</w:t>
      </w:r>
    </w:p>
    <w:p>
      <w:pPr>
        <w:widowControl/>
        <w:spacing w:line="500" w:lineRule="exact"/>
        <w:ind w:firstLine="480" w:firstLineChars="200"/>
        <w:rPr>
          <w:rFonts w:ascii="宋体" w:hAnsi="宋体"/>
          <w:color w:val="auto"/>
          <w:sz w:val="24"/>
        </w:rPr>
      </w:pPr>
      <w:r>
        <w:rPr>
          <w:rFonts w:hint="eastAsia" w:ascii="宋体" w:hAnsi="宋体"/>
          <w:color w:val="auto"/>
          <w:sz w:val="24"/>
        </w:rPr>
        <w:t>9）按《非煤矿矿山企业安全生产许可证实施办法》要求办理安全生产责任保险。</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4.2.6安全生产标准化</w:t>
      </w:r>
    </w:p>
    <w:p>
      <w:pPr>
        <w:widowControl/>
        <w:spacing w:line="500" w:lineRule="exact"/>
        <w:ind w:firstLine="480" w:firstLineChars="200"/>
        <w:rPr>
          <w:rFonts w:ascii="宋体" w:hAnsi="宋体"/>
          <w:color w:val="auto"/>
          <w:sz w:val="24"/>
        </w:rPr>
      </w:pPr>
      <w:r>
        <w:rPr>
          <w:rFonts w:hint="eastAsia" w:ascii="宋体" w:hAnsi="宋体"/>
          <w:color w:val="auto"/>
          <w:sz w:val="24"/>
        </w:rPr>
        <w:t>企业取得安全生产许可证后，</w:t>
      </w:r>
      <w:r>
        <w:rPr>
          <w:rFonts w:ascii="宋体" w:hAnsi="宋体"/>
          <w:color w:val="auto"/>
          <w:sz w:val="24"/>
        </w:rPr>
        <w:t>应积极开展安全标准化工作</w:t>
      </w:r>
      <w:r>
        <w:rPr>
          <w:rFonts w:hint="eastAsia" w:ascii="宋体" w:hAnsi="宋体"/>
          <w:color w:val="auto"/>
          <w:sz w:val="24"/>
        </w:rPr>
        <w:t>，提高企业安全标准化等级</w:t>
      </w:r>
      <w:r>
        <w:rPr>
          <w:rFonts w:ascii="宋体" w:hAnsi="宋体"/>
          <w:color w:val="auto"/>
          <w:sz w:val="24"/>
        </w:rPr>
        <w:t>。</w:t>
      </w:r>
    </w:p>
    <w:p>
      <w:pPr>
        <w:pStyle w:val="5"/>
        <w:keepLines w:val="0"/>
        <w:widowControl/>
        <w:spacing w:before="120" w:after="120" w:line="500" w:lineRule="exact"/>
        <w:rPr>
          <w:rFonts w:ascii="宋体" w:hAnsi="宋体"/>
          <w:color w:val="auto"/>
          <w:kern w:val="28"/>
          <w:sz w:val="28"/>
          <w:szCs w:val="28"/>
        </w:rPr>
      </w:pPr>
      <w:bookmarkStart w:id="312" w:name="_Toc190431894"/>
      <w:bookmarkStart w:id="313" w:name="_Toc193792535"/>
      <w:bookmarkStart w:id="314" w:name="_Toc209858962"/>
      <w:bookmarkStart w:id="315" w:name="_Toc193792644"/>
      <w:bookmarkStart w:id="316" w:name="_Toc194551715"/>
      <w:bookmarkStart w:id="317" w:name="_Toc190416580"/>
      <w:bookmarkStart w:id="318" w:name="_Toc194481423"/>
      <w:bookmarkStart w:id="319" w:name="_Toc193101205"/>
      <w:bookmarkStart w:id="320" w:name="_Toc193789445"/>
      <w:r>
        <w:rPr>
          <w:rFonts w:hint="eastAsia" w:ascii="宋体" w:hAnsi="宋体"/>
          <w:color w:val="auto"/>
          <w:kern w:val="28"/>
          <w:sz w:val="28"/>
          <w:szCs w:val="28"/>
        </w:rPr>
        <w:t>4.2.7实施监督与管理</w:t>
      </w:r>
      <w:bookmarkEnd w:id="312"/>
      <w:bookmarkEnd w:id="313"/>
      <w:bookmarkEnd w:id="314"/>
      <w:bookmarkEnd w:id="315"/>
      <w:bookmarkEnd w:id="316"/>
      <w:bookmarkEnd w:id="317"/>
      <w:bookmarkEnd w:id="318"/>
      <w:bookmarkEnd w:id="319"/>
      <w:bookmarkEnd w:id="320"/>
    </w:p>
    <w:p>
      <w:pPr>
        <w:widowControl/>
        <w:spacing w:line="500" w:lineRule="exact"/>
        <w:ind w:firstLine="480" w:firstLineChars="200"/>
        <w:rPr>
          <w:rFonts w:ascii="宋体" w:hAnsi="宋体"/>
          <w:color w:val="auto"/>
          <w:sz w:val="24"/>
        </w:rPr>
      </w:pPr>
      <w:r>
        <w:rPr>
          <w:rFonts w:hint="eastAsia" w:ascii="宋体" w:hAnsi="宋体"/>
          <w:color w:val="auto"/>
          <w:sz w:val="24"/>
        </w:rPr>
        <w:t>1）安全管理对策措施的动态表现就是监督与检查，对于有关安全生产方面国家法律法规、技术标准、规范和行政规章执行情况的监督与检查，对于本单位所制定的各类安全生产规章制度和责任制的落实情况的监督与检查。</w:t>
      </w:r>
    </w:p>
    <w:p>
      <w:pPr>
        <w:widowControl/>
        <w:spacing w:line="500" w:lineRule="exact"/>
        <w:ind w:firstLine="480" w:firstLineChars="200"/>
        <w:rPr>
          <w:rFonts w:ascii="宋体" w:hAnsi="宋体"/>
          <w:color w:val="auto"/>
          <w:sz w:val="24"/>
        </w:rPr>
      </w:pPr>
      <w:r>
        <w:rPr>
          <w:rFonts w:hint="eastAsia" w:ascii="宋体" w:hAnsi="宋体"/>
          <w:color w:val="auto"/>
          <w:sz w:val="24"/>
        </w:rPr>
        <w:t>2）通过监督检查，保证本单位各层面的安全教育和培训能正常有效地进行，保证本单位安全生产投入有效实施，保证本单位安全设施、安全技术装备能正常发挥作用。</w:t>
      </w:r>
    </w:p>
    <w:p>
      <w:pPr>
        <w:widowControl/>
        <w:spacing w:line="500" w:lineRule="exact"/>
        <w:ind w:firstLine="480" w:firstLineChars="200"/>
        <w:rPr>
          <w:rFonts w:ascii="宋体" w:hAnsi="宋体"/>
          <w:color w:val="auto"/>
          <w:sz w:val="24"/>
        </w:rPr>
      </w:pPr>
      <w:r>
        <w:rPr>
          <w:rFonts w:hint="eastAsia" w:ascii="宋体" w:hAnsi="宋体"/>
          <w:color w:val="auto"/>
          <w:sz w:val="24"/>
        </w:rPr>
        <w:t>3）经常性督促、检查本单位的安全生产工作，及时消除生产安全事故隐患。</w:t>
      </w:r>
    </w:p>
    <w:p>
      <w:pPr>
        <w:widowControl/>
        <w:spacing w:line="500" w:lineRule="exact"/>
        <w:ind w:firstLine="480" w:firstLineChars="200"/>
        <w:rPr>
          <w:rFonts w:ascii="宋体" w:hAnsi="宋体"/>
          <w:color w:val="auto"/>
          <w:sz w:val="24"/>
        </w:rPr>
      </w:pPr>
      <w:r>
        <w:rPr>
          <w:rFonts w:hint="eastAsia" w:ascii="宋体" w:hAnsi="宋体"/>
          <w:color w:val="auto"/>
          <w:sz w:val="24"/>
        </w:rPr>
        <w:t>4）安全生产管理人员应当根据本单位的实际情况，对本单位生产状况进行经常性检查，对检查中发现的安全问题，应当立即处理；不能处理的，应当及时报告本单位有关负责人。检查及处理情况应当记录在案。</w:t>
      </w:r>
    </w:p>
    <w:p>
      <w:pPr>
        <w:widowControl/>
        <w:spacing w:line="500" w:lineRule="exact"/>
        <w:ind w:firstLine="480" w:firstLineChars="200"/>
        <w:rPr>
          <w:rFonts w:ascii="宋体" w:hAnsi="宋体"/>
          <w:color w:val="auto"/>
          <w:sz w:val="24"/>
        </w:rPr>
      </w:pPr>
      <w:r>
        <w:rPr>
          <w:rFonts w:hint="eastAsia" w:ascii="宋体" w:hAnsi="宋体"/>
          <w:color w:val="auto"/>
          <w:sz w:val="24"/>
        </w:rPr>
        <w:t>5）制定并严格执行动火审批制度，动火前应检测可燃物。</w:t>
      </w:r>
    </w:p>
    <w:p>
      <w:pPr>
        <w:widowControl/>
        <w:spacing w:line="500" w:lineRule="exact"/>
        <w:ind w:firstLine="480" w:firstLineChars="200"/>
        <w:rPr>
          <w:rFonts w:ascii="宋体" w:hAnsi="宋体"/>
          <w:color w:val="auto"/>
          <w:sz w:val="24"/>
        </w:rPr>
      </w:pPr>
      <w:r>
        <w:rPr>
          <w:rFonts w:hint="eastAsia" w:ascii="宋体" w:hAnsi="宋体"/>
          <w:color w:val="auto"/>
          <w:sz w:val="24"/>
        </w:rPr>
        <w:t>6）矿山防火灾计划应每年编制，包括防火措施、各级人员的职责等。</w:t>
      </w:r>
    </w:p>
    <w:p>
      <w:pPr>
        <w:pStyle w:val="5"/>
        <w:keepLines w:val="0"/>
        <w:widowControl/>
        <w:spacing w:before="120" w:after="120" w:line="500" w:lineRule="exact"/>
        <w:rPr>
          <w:rFonts w:ascii="宋体" w:hAnsi="宋体"/>
          <w:color w:val="auto"/>
          <w:kern w:val="28"/>
          <w:sz w:val="28"/>
          <w:szCs w:val="28"/>
        </w:rPr>
      </w:pPr>
      <w:r>
        <w:rPr>
          <w:rFonts w:hint="eastAsia" w:ascii="宋体" w:hAnsi="宋体"/>
          <w:color w:val="auto"/>
          <w:kern w:val="28"/>
          <w:sz w:val="28"/>
          <w:szCs w:val="28"/>
        </w:rPr>
        <w:t>4.2.8职业健康管理要求</w:t>
      </w:r>
    </w:p>
    <w:p>
      <w:pPr>
        <w:widowControl/>
        <w:spacing w:line="500" w:lineRule="exact"/>
        <w:ind w:firstLine="480" w:firstLineChars="200"/>
        <w:rPr>
          <w:rFonts w:ascii="宋体" w:hAnsi="宋体"/>
          <w:color w:val="auto"/>
          <w:sz w:val="24"/>
        </w:rPr>
      </w:pPr>
      <w:r>
        <w:rPr>
          <w:rFonts w:hint="eastAsia" w:ascii="宋体" w:hAnsi="宋体"/>
          <w:color w:val="auto"/>
          <w:sz w:val="24"/>
        </w:rPr>
        <w:t>1）矿山应设职业健康管理机构，配备专职或兼职管理人员，负责矿山职业危害防治工作。</w:t>
      </w:r>
    </w:p>
    <w:p>
      <w:pPr>
        <w:widowControl/>
        <w:spacing w:line="500" w:lineRule="exact"/>
        <w:ind w:firstLine="480" w:firstLineChars="200"/>
        <w:rPr>
          <w:rFonts w:ascii="宋体" w:hAnsi="宋体"/>
          <w:color w:val="auto"/>
          <w:sz w:val="24"/>
        </w:rPr>
      </w:pPr>
      <w:r>
        <w:rPr>
          <w:rFonts w:hint="eastAsia" w:ascii="宋体" w:hAnsi="宋体"/>
          <w:color w:val="auto"/>
          <w:sz w:val="24"/>
        </w:rPr>
        <w:t>2）矿山负责人及职业健康管理人员应接受职业健康知识及相关法规的培训，提高其管理能力。</w:t>
      </w:r>
    </w:p>
    <w:p>
      <w:pPr>
        <w:widowControl/>
        <w:spacing w:line="500" w:lineRule="exact"/>
        <w:ind w:firstLine="480" w:firstLineChars="200"/>
        <w:rPr>
          <w:rFonts w:ascii="宋体" w:hAnsi="宋体"/>
          <w:color w:val="auto"/>
          <w:sz w:val="24"/>
        </w:rPr>
      </w:pPr>
      <w:r>
        <w:rPr>
          <w:rFonts w:hint="eastAsia" w:ascii="宋体" w:hAnsi="宋体"/>
          <w:color w:val="auto"/>
          <w:sz w:val="24"/>
        </w:rPr>
        <w:t>3）矿山应对其从业人员进行职业健康教育，督促从业人员遵守职业危害防治法规、标准及规章。</w:t>
      </w:r>
    </w:p>
    <w:p>
      <w:pPr>
        <w:widowControl/>
        <w:spacing w:line="500" w:lineRule="exact"/>
        <w:ind w:firstLine="480" w:firstLineChars="200"/>
        <w:rPr>
          <w:rFonts w:ascii="宋体" w:hAnsi="宋体"/>
          <w:color w:val="auto"/>
          <w:sz w:val="24"/>
        </w:rPr>
      </w:pPr>
      <w:r>
        <w:rPr>
          <w:rFonts w:hint="eastAsia" w:ascii="宋体" w:hAnsi="宋体"/>
          <w:color w:val="auto"/>
          <w:sz w:val="24"/>
        </w:rPr>
        <w:t>4）矿山应当建立、健全职业危害防治制度和操作规程。</w:t>
      </w:r>
    </w:p>
    <w:p>
      <w:pPr>
        <w:widowControl/>
        <w:spacing w:line="500" w:lineRule="exact"/>
        <w:ind w:firstLine="480" w:firstLineChars="200"/>
        <w:rPr>
          <w:rFonts w:ascii="宋体" w:hAnsi="宋体"/>
          <w:color w:val="auto"/>
          <w:sz w:val="24"/>
        </w:rPr>
      </w:pPr>
      <w:r>
        <w:rPr>
          <w:rFonts w:hint="eastAsia" w:ascii="宋体" w:hAnsi="宋体"/>
          <w:color w:val="auto"/>
          <w:sz w:val="24"/>
        </w:rPr>
        <w:t>5）矿山应按规定，及时、如实地将本单位的职业危害因素向当地应急管理部申报，并自觉接受其监督和检查。</w:t>
      </w:r>
    </w:p>
    <w:p>
      <w:pPr>
        <w:widowControl/>
        <w:spacing w:line="500" w:lineRule="exact"/>
        <w:ind w:firstLine="480" w:firstLineChars="200"/>
        <w:rPr>
          <w:rFonts w:ascii="宋体" w:hAnsi="宋体"/>
          <w:color w:val="auto"/>
          <w:sz w:val="24"/>
        </w:rPr>
      </w:pPr>
      <w:r>
        <w:rPr>
          <w:rFonts w:hint="eastAsia" w:ascii="宋体" w:hAnsi="宋体"/>
          <w:color w:val="auto"/>
          <w:sz w:val="24"/>
        </w:rPr>
        <w:t>6）矿山委托有相应资质的中介机构每年至少进行一次职业危害因素检测，每三年至少进行一次职业危害现状评价。</w:t>
      </w:r>
    </w:p>
    <w:p>
      <w:pPr>
        <w:widowControl/>
        <w:spacing w:line="500" w:lineRule="exact"/>
        <w:ind w:firstLine="480" w:firstLineChars="200"/>
        <w:rPr>
          <w:rFonts w:ascii="宋体" w:hAnsi="宋体"/>
          <w:color w:val="auto"/>
          <w:sz w:val="24"/>
        </w:rPr>
      </w:pPr>
      <w:r>
        <w:rPr>
          <w:rFonts w:hint="eastAsia" w:ascii="宋体" w:hAnsi="宋体"/>
          <w:color w:val="auto"/>
          <w:sz w:val="24"/>
        </w:rPr>
        <w:t>7）对接触职业危害的从业人员，矿山应按规定组织上岗前、在岗期间和离岗时的职业健康检查，建立职业健康监护档案并妥善保管。</w:t>
      </w:r>
    </w:p>
    <w:p>
      <w:pPr>
        <w:pStyle w:val="5"/>
        <w:keepLines w:val="0"/>
        <w:widowControl/>
        <w:spacing w:before="120" w:after="120" w:line="500" w:lineRule="exact"/>
        <w:rPr>
          <w:rFonts w:ascii="宋体" w:hAnsi="宋体"/>
          <w:color w:val="auto"/>
          <w:kern w:val="28"/>
          <w:sz w:val="28"/>
          <w:szCs w:val="28"/>
        </w:rPr>
      </w:pPr>
      <w:bookmarkStart w:id="321" w:name="_Toc194551717"/>
      <w:bookmarkStart w:id="322" w:name="_Toc193792646"/>
      <w:bookmarkStart w:id="323" w:name="_Toc209858964"/>
      <w:bookmarkStart w:id="324" w:name="_Toc193792537"/>
      <w:bookmarkStart w:id="325" w:name="_Toc194481425"/>
      <w:r>
        <w:rPr>
          <w:rFonts w:hint="eastAsia" w:ascii="宋体" w:hAnsi="宋体"/>
          <w:color w:val="auto"/>
          <w:kern w:val="28"/>
          <w:sz w:val="28"/>
          <w:szCs w:val="28"/>
        </w:rPr>
        <w:t>4.2.9制定事故应急预案</w:t>
      </w:r>
      <w:bookmarkEnd w:id="321"/>
      <w:bookmarkEnd w:id="322"/>
      <w:bookmarkEnd w:id="323"/>
      <w:bookmarkEnd w:id="324"/>
      <w:bookmarkEnd w:id="325"/>
    </w:p>
    <w:bookmarkEnd w:id="266"/>
    <w:bookmarkEnd w:id="267"/>
    <w:bookmarkEnd w:id="268"/>
    <w:bookmarkEnd w:id="269"/>
    <w:bookmarkEnd w:id="270"/>
    <w:bookmarkEnd w:id="271"/>
    <w:bookmarkEnd w:id="272"/>
    <w:bookmarkEnd w:id="273"/>
    <w:bookmarkEnd w:id="274"/>
    <w:bookmarkEnd w:id="275"/>
    <w:p>
      <w:pPr>
        <w:widowControl/>
        <w:spacing w:line="500" w:lineRule="exact"/>
        <w:ind w:firstLine="480" w:firstLineChars="200"/>
        <w:rPr>
          <w:rFonts w:ascii="宋体" w:hAnsi="宋体"/>
          <w:color w:val="auto"/>
          <w:sz w:val="24"/>
        </w:rPr>
      </w:pPr>
      <w:bookmarkStart w:id="326" w:name="_Toc158167934"/>
      <w:bookmarkStart w:id="327" w:name="_Toc149559820"/>
      <w:bookmarkStart w:id="328" w:name="_Toc166918989"/>
      <w:bookmarkStart w:id="329" w:name="_Toc166919207"/>
      <w:bookmarkStart w:id="330" w:name="_Toc168484338"/>
      <w:bookmarkStart w:id="331" w:name="_Toc156811399"/>
      <w:bookmarkStart w:id="332" w:name="_Toc158168047"/>
      <w:bookmarkStart w:id="333" w:name="_Toc233881451"/>
      <w:bookmarkStart w:id="334" w:name="_Toc198106942"/>
      <w:r>
        <w:rPr>
          <w:rFonts w:hint="eastAsia" w:ascii="宋体" w:hAnsi="宋体"/>
          <w:color w:val="auto"/>
          <w:sz w:val="24"/>
        </w:rPr>
        <w:t>1）事故应急救援预案的作用</w:t>
      </w:r>
    </w:p>
    <w:p>
      <w:pPr>
        <w:widowControl/>
        <w:spacing w:line="500" w:lineRule="exact"/>
        <w:ind w:firstLine="480" w:firstLineChars="200"/>
        <w:rPr>
          <w:rFonts w:ascii="宋体" w:hAnsi="宋体"/>
          <w:color w:val="auto"/>
          <w:sz w:val="24"/>
        </w:rPr>
      </w:pPr>
      <w:r>
        <w:rPr>
          <w:rFonts w:hint="eastAsia" w:ascii="宋体" w:hAnsi="宋体"/>
          <w:color w:val="auto"/>
          <w:sz w:val="24"/>
        </w:rPr>
        <w:t>编制好事故应急救援预案，当事故发生时，可起到下列积极作用：</w:t>
      </w:r>
    </w:p>
    <w:p>
      <w:pPr>
        <w:widowControl/>
        <w:spacing w:line="500" w:lineRule="exact"/>
        <w:ind w:firstLine="480" w:firstLineChars="200"/>
        <w:rPr>
          <w:rFonts w:ascii="宋体" w:hAnsi="宋体"/>
          <w:color w:val="auto"/>
          <w:sz w:val="24"/>
        </w:rPr>
      </w:pPr>
      <w:r>
        <w:rPr>
          <w:rFonts w:hint="eastAsia" w:ascii="宋体" w:hAnsi="宋体"/>
          <w:color w:val="auto"/>
          <w:sz w:val="24"/>
        </w:rPr>
        <w:t>（1）保证救援行动紧张、有序、有效地进行，避免因行动紊乱而造成不必要的事故损失。</w:t>
      </w:r>
    </w:p>
    <w:p>
      <w:pPr>
        <w:widowControl/>
        <w:spacing w:line="500" w:lineRule="exact"/>
        <w:ind w:firstLine="480" w:firstLineChars="200"/>
        <w:rPr>
          <w:rFonts w:ascii="宋体" w:hAnsi="宋体"/>
          <w:color w:val="auto"/>
          <w:sz w:val="24"/>
        </w:rPr>
      </w:pPr>
      <w:r>
        <w:rPr>
          <w:rFonts w:hint="eastAsia" w:ascii="宋体" w:hAnsi="宋体"/>
          <w:color w:val="auto"/>
          <w:sz w:val="24"/>
        </w:rPr>
        <w:t>（2）将紧急事件局部化，并尽力予以消除。</w:t>
      </w:r>
    </w:p>
    <w:p>
      <w:pPr>
        <w:widowControl/>
        <w:spacing w:line="500" w:lineRule="exact"/>
        <w:ind w:firstLine="480" w:firstLineChars="200"/>
        <w:rPr>
          <w:rFonts w:ascii="宋体" w:hAnsi="宋体"/>
          <w:color w:val="auto"/>
          <w:sz w:val="24"/>
        </w:rPr>
      </w:pPr>
      <w:r>
        <w:rPr>
          <w:rFonts w:hint="eastAsia" w:ascii="宋体" w:hAnsi="宋体"/>
          <w:color w:val="auto"/>
          <w:sz w:val="24"/>
        </w:rPr>
        <w:t>（3）可以最大限度地减少事故发生或降低事故造成的损失。</w:t>
      </w:r>
    </w:p>
    <w:p>
      <w:pPr>
        <w:widowControl/>
        <w:spacing w:line="500" w:lineRule="exact"/>
        <w:ind w:firstLine="480" w:firstLineChars="200"/>
        <w:rPr>
          <w:rFonts w:ascii="宋体" w:hAnsi="宋体"/>
          <w:color w:val="auto"/>
          <w:sz w:val="24"/>
        </w:rPr>
      </w:pPr>
      <w:r>
        <w:rPr>
          <w:rFonts w:hint="eastAsia" w:ascii="宋体" w:hAnsi="宋体"/>
          <w:color w:val="auto"/>
          <w:sz w:val="24"/>
        </w:rPr>
        <w:t>（4）能有效利用各种应急资源，如人员、技术、医疗和信息等，保证在最短时间内完成对事故现场的应急救援行动。</w:t>
      </w:r>
    </w:p>
    <w:p>
      <w:pPr>
        <w:widowControl/>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）应急预案</w:t>
      </w:r>
      <w:r>
        <w:rPr>
          <w:rFonts w:ascii="宋体" w:hAnsi="宋体"/>
          <w:color w:val="auto"/>
          <w:sz w:val="24"/>
        </w:rPr>
        <w:t>编制应按照</w:t>
      </w:r>
      <w:r>
        <w:rPr>
          <w:rFonts w:hint="eastAsia" w:ascii="宋体" w:hAnsi="宋体"/>
          <w:color w:val="auto"/>
          <w:sz w:val="24"/>
        </w:rPr>
        <w:t>《生产经营单位生产安全事故应急预案编制导则》进行</w:t>
      </w:r>
      <w:r>
        <w:rPr>
          <w:rFonts w:ascii="宋体" w:hAnsi="宋体"/>
          <w:color w:val="auto"/>
          <w:sz w:val="24"/>
        </w:rPr>
        <w:t>编制。</w:t>
      </w:r>
    </w:p>
    <w:p>
      <w:pPr>
        <w:widowControl/>
        <w:spacing w:line="500" w:lineRule="exact"/>
        <w:ind w:firstLine="480" w:firstLineChars="200"/>
        <w:rPr>
          <w:rFonts w:ascii="宋体" w:hAnsi="宋体"/>
          <w:color w:val="auto"/>
          <w:sz w:val="24"/>
        </w:rPr>
      </w:pPr>
      <w:r>
        <w:rPr>
          <w:rFonts w:hint="eastAsia" w:ascii="宋体" w:hAnsi="宋体"/>
          <w:color w:val="auto"/>
          <w:sz w:val="24"/>
        </w:rPr>
        <w:t>3）矿山</w:t>
      </w:r>
      <w:r>
        <w:rPr>
          <w:rFonts w:ascii="宋体" w:hAnsi="宋体"/>
          <w:color w:val="auto"/>
          <w:sz w:val="24"/>
        </w:rPr>
        <w:t>应急预案编制完成后应报当地应急管理部备案</w:t>
      </w:r>
      <w:r>
        <w:rPr>
          <w:rFonts w:hint="eastAsia" w:ascii="宋体" w:hAnsi="宋体"/>
          <w:color w:val="auto"/>
          <w:sz w:val="24"/>
        </w:rPr>
        <w:t>，并</w:t>
      </w:r>
      <w:r>
        <w:rPr>
          <w:rFonts w:ascii="宋体" w:hAnsi="宋体"/>
          <w:color w:val="auto"/>
          <w:sz w:val="24"/>
        </w:rPr>
        <w:t>应定期演练</w:t>
      </w:r>
      <w:r>
        <w:rPr>
          <w:rFonts w:hint="eastAsia" w:ascii="宋体" w:hAnsi="宋体"/>
          <w:color w:val="auto"/>
          <w:sz w:val="24"/>
        </w:rPr>
        <w:t>。</w:t>
      </w:r>
    </w:p>
    <w:p>
      <w:pPr>
        <w:pStyle w:val="3"/>
        <w:widowControl/>
        <w:spacing w:before="120" w:after="120" w:line="500" w:lineRule="exact"/>
        <w:rPr>
          <w:rFonts w:ascii="宋体" w:hAnsi="宋体" w:eastAsia="宋体"/>
          <w:b/>
          <w:color w:val="auto"/>
          <w:kern w:val="30"/>
          <w:sz w:val="30"/>
          <w:szCs w:val="30"/>
        </w:rPr>
      </w:pPr>
      <w:r>
        <w:rPr>
          <w:rFonts w:ascii="宋体" w:hAnsi="宋体" w:eastAsia="宋体"/>
          <w:b/>
          <w:color w:val="auto"/>
          <w:szCs w:val="32"/>
        </w:rPr>
        <w:br w:type="page"/>
      </w:r>
      <w:bookmarkStart w:id="335" w:name="_Toc150262789"/>
      <w:r>
        <w:rPr>
          <w:rFonts w:hint="eastAsia" w:ascii="宋体" w:hAnsi="宋体" w:eastAsia="宋体"/>
          <w:b/>
          <w:color w:val="auto"/>
          <w:kern w:val="30"/>
          <w:sz w:val="30"/>
          <w:szCs w:val="30"/>
        </w:rPr>
        <w:t>5安全预评价结论</w:t>
      </w:r>
      <w:bookmarkEnd w:id="326"/>
      <w:bookmarkEnd w:id="327"/>
      <w:bookmarkEnd w:id="328"/>
      <w:bookmarkEnd w:id="329"/>
      <w:bookmarkEnd w:id="330"/>
      <w:bookmarkEnd w:id="331"/>
      <w:bookmarkEnd w:id="332"/>
      <w:bookmarkEnd w:id="333"/>
      <w:bookmarkEnd w:id="334"/>
      <w:bookmarkEnd w:id="335"/>
    </w:p>
    <w:p>
      <w:pPr>
        <w:widowControl/>
        <w:spacing w:line="500" w:lineRule="exact"/>
        <w:ind w:firstLine="480" w:firstLineChars="200"/>
        <w:rPr>
          <w:rFonts w:ascii="宋体" w:hAnsi="宋体"/>
          <w:color w:val="auto"/>
          <w:sz w:val="24"/>
        </w:rPr>
      </w:pPr>
      <w:r>
        <w:rPr>
          <w:rFonts w:ascii="宋体" w:hAnsi="宋体"/>
          <w:color w:val="auto"/>
          <w:sz w:val="24"/>
        </w:rPr>
        <w:t>通过</w:t>
      </w:r>
      <w:r>
        <w:rPr>
          <w:rFonts w:hint="eastAsia" w:ascii="宋体" w:hAnsi="宋体"/>
          <w:color w:val="auto"/>
          <w:sz w:val="24"/>
        </w:rPr>
        <w:t>勘查兴宁市守元矿业有限公司军营高岭土矿分公司扩建年产5万吨高岭土露天开采项目</w:t>
      </w:r>
      <w:r>
        <w:rPr>
          <w:rFonts w:ascii="宋体" w:hAnsi="宋体"/>
          <w:color w:val="auto"/>
          <w:sz w:val="24"/>
        </w:rPr>
        <w:t>的现场，阅看提供的有关资料，并通过对该项目可能存在的危险、有害因素的分析评价，现作出以下评价结论：</w:t>
      </w:r>
    </w:p>
    <w:p>
      <w:pPr>
        <w:pStyle w:val="4"/>
        <w:keepLines w:val="0"/>
        <w:widowControl/>
        <w:spacing w:before="120" w:after="120" w:line="500" w:lineRule="exact"/>
        <w:rPr>
          <w:rFonts w:ascii="宋体" w:hAnsi="宋体" w:eastAsia="宋体"/>
          <w:b/>
          <w:bCs w:val="0"/>
          <w:color w:val="auto"/>
          <w:kern w:val="28"/>
          <w:sz w:val="28"/>
          <w:szCs w:val="28"/>
        </w:rPr>
      </w:pPr>
      <w:bookmarkStart w:id="336" w:name="_Toc193792649"/>
      <w:bookmarkStart w:id="337" w:name="_Toc194481428"/>
      <w:bookmarkStart w:id="338" w:name="_Toc193792540"/>
      <w:bookmarkStart w:id="339" w:name="_Toc233881452"/>
      <w:bookmarkStart w:id="340" w:name="_Toc194551720"/>
      <w:bookmarkStart w:id="341" w:name="_Toc229928362"/>
      <w:bookmarkStart w:id="342" w:name="_Toc150262790"/>
      <w:r>
        <w:rPr>
          <w:rFonts w:hint="eastAsia" w:ascii="宋体" w:hAnsi="宋体" w:eastAsia="宋体"/>
          <w:b/>
          <w:bCs w:val="0"/>
          <w:color w:val="auto"/>
          <w:kern w:val="28"/>
          <w:sz w:val="28"/>
          <w:szCs w:val="28"/>
        </w:rPr>
        <w:t>5.1主要危险、有害因素及</w:t>
      </w:r>
      <w:bookmarkEnd w:id="336"/>
      <w:bookmarkEnd w:id="337"/>
      <w:bookmarkEnd w:id="338"/>
      <w:bookmarkEnd w:id="339"/>
      <w:bookmarkEnd w:id="340"/>
      <w:bookmarkEnd w:id="341"/>
      <w:r>
        <w:rPr>
          <w:rFonts w:hint="eastAsia" w:ascii="宋体" w:hAnsi="宋体" w:eastAsia="宋体"/>
          <w:b/>
          <w:bCs w:val="0"/>
          <w:color w:val="auto"/>
          <w:kern w:val="28"/>
          <w:sz w:val="28"/>
          <w:szCs w:val="28"/>
        </w:rPr>
        <w:t>应重点防范的重大危险有害因素</w:t>
      </w:r>
      <w:bookmarkEnd w:id="342"/>
    </w:p>
    <w:p>
      <w:pPr>
        <w:widowControl/>
        <w:spacing w:line="500" w:lineRule="exact"/>
        <w:ind w:firstLine="480" w:firstLineChars="200"/>
        <w:rPr>
          <w:rFonts w:ascii="宋体" w:hAnsi="宋体"/>
          <w:color w:val="auto"/>
          <w:sz w:val="24"/>
        </w:rPr>
      </w:pPr>
      <w:r>
        <w:rPr>
          <w:rFonts w:hint="eastAsia" w:ascii="宋体" w:hAnsi="宋体"/>
          <w:color w:val="auto"/>
          <w:sz w:val="24"/>
        </w:rPr>
        <w:t>1）主要危险、有害因素</w:t>
      </w:r>
    </w:p>
    <w:p>
      <w:pPr>
        <w:widowControl/>
        <w:spacing w:line="500" w:lineRule="exact"/>
        <w:ind w:firstLine="480" w:firstLineChars="200"/>
        <w:rPr>
          <w:rFonts w:ascii="宋体" w:hAnsi="宋体"/>
          <w:color w:val="auto"/>
          <w:sz w:val="24"/>
        </w:rPr>
      </w:pPr>
      <w:r>
        <w:rPr>
          <w:rFonts w:hint="eastAsia" w:ascii="宋体" w:hAnsi="宋体"/>
          <w:color w:val="auto"/>
          <w:sz w:val="24"/>
        </w:rPr>
        <w:t>矿山运行过程中潜在的危险有害因素有：坍塌滑坡、</w:t>
      </w:r>
      <w:r>
        <w:rPr>
          <w:rFonts w:ascii="宋体" w:hAnsi="宋体"/>
          <w:color w:val="auto"/>
          <w:sz w:val="24"/>
        </w:rPr>
        <w:t>物体打击</w:t>
      </w:r>
      <w:r>
        <w:rPr>
          <w:rFonts w:hint="eastAsia" w:ascii="宋体" w:hAnsi="宋体"/>
          <w:color w:val="auto"/>
          <w:sz w:val="24"/>
        </w:rPr>
        <w:t>、</w:t>
      </w:r>
      <w:r>
        <w:rPr>
          <w:rFonts w:ascii="宋体" w:hAnsi="宋体"/>
          <w:color w:val="auto"/>
          <w:sz w:val="24"/>
        </w:rPr>
        <w:t>高处坠落</w:t>
      </w:r>
      <w:r>
        <w:rPr>
          <w:rFonts w:hint="eastAsia" w:ascii="宋体" w:hAnsi="宋体"/>
          <w:color w:val="auto"/>
          <w:sz w:val="24"/>
        </w:rPr>
        <w:t>、</w:t>
      </w:r>
      <w:r>
        <w:rPr>
          <w:rFonts w:ascii="宋体" w:hAnsi="宋体"/>
          <w:color w:val="auto"/>
          <w:sz w:val="24"/>
        </w:rPr>
        <w:t>车辆伤害</w:t>
      </w:r>
      <w:r>
        <w:rPr>
          <w:rFonts w:hint="eastAsia" w:ascii="宋体" w:hAnsi="宋体"/>
          <w:color w:val="auto"/>
          <w:sz w:val="24"/>
        </w:rPr>
        <w:t>、</w:t>
      </w:r>
      <w:r>
        <w:rPr>
          <w:rFonts w:ascii="宋体" w:hAnsi="宋体"/>
          <w:color w:val="auto"/>
          <w:sz w:val="24"/>
        </w:rPr>
        <w:t>机械伤害</w:t>
      </w:r>
      <w:r>
        <w:rPr>
          <w:rFonts w:hint="eastAsia" w:ascii="宋体" w:hAnsi="宋体"/>
          <w:color w:val="auto"/>
          <w:sz w:val="24"/>
        </w:rPr>
        <w:t>、触电、</w:t>
      </w:r>
      <w:r>
        <w:rPr>
          <w:rFonts w:ascii="宋体" w:hAnsi="宋体"/>
          <w:color w:val="auto"/>
          <w:sz w:val="24"/>
        </w:rPr>
        <w:t>火灾</w:t>
      </w:r>
      <w:r>
        <w:rPr>
          <w:rFonts w:hint="eastAsia" w:ascii="宋体" w:hAnsi="宋体"/>
          <w:color w:val="auto"/>
          <w:sz w:val="24"/>
        </w:rPr>
        <w:t>、粉尘、噪声、振动、高温中暑</w:t>
      </w:r>
      <w:r>
        <w:rPr>
          <w:rFonts w:ascii="宋体" w:hAnsi="宋体"/>
          <w:color w:val="auto"/>
          <w:sz w:val="24"/>
        </w:rPr>
        <w:t>、</w:t>
      </w:r>
      <w:r>
        <w:rPr>
          <w:rFonts w:hint="eastAsia" w:ascii="宋体" w:hAnsi="宋体"/>
          <w:color w:val="auto"/>
          <w:sz w:val="24"/>
        </w:rPr>
        <w:t>辐射等。</w:t>
      </w:r>
    </w:p>
    <w:p>
      <w:pPr>
        <w:widowControl/>
        <w:spacing w:line="500" w:lineRule="exact"/>
        <w:ind w:firstLine="480" w:firstLineChars="200"/>
        <w:rPr>
          <w:rFonts w:ascii="宋体" w:hAnsi="宋体"/>
          <w:color w:val="auto"/>
          <w:sz w:val="24"/>
        </w:rPr>
      </w:pPr>
      <w:r>
        <w:rPr>
          <w:rFonts w:hint="eastAsia" w:ascii="宋体" w:hAnsi="宋体"/>
          <w:color w:val="auto"/>
          <w:sz w:val="24"/>
        </w:rPr>
        <w:t>2）应重点防范的危险有害因素</w:t>
      </w:r>
    </w:p>
    <w:p>
      <w:pPr>
        <w:widowControl/>
        <w:spacing w:line="500" w:lineRule="exact"/>
        <w:ind w:firstLine="456" w:firstLineChars="200"/>
        <w:rPr>
          <w:rFonts w:ascii="宋体" w:hAnsi="宋体"/>
          <w:color w:val="auto"/>
          <w:sz w:val="24"/>
        </w:rPr>
      </w:pPr>
      <w:r>
        <w:rPr>
          <w:rFonts w:hint="eastAsia" w:ascii="宋体" w:hAnsi="宋体"/>
          <w:color w:val="auto"/>
          <w:spacing w:val="-6"/>
          <w:sz w:val="24"/>
        </w:rPr>
        <w:t>矿山应重点防范的危险有害因素：坍塌滑坡、粉尘、高处坠落、车辆伤害、物体打击。</w:t>
      </w:r>
    </w:p>
    <w:p>
      <w:pPr>
        <w:pStyle w:val="4"/>
        <w:keepLines w:val="0"/>
        <w:widowControl/>
        <w:spacing w:before="120" w:after="120" w:line="500" w:lineRule="exact"/>
        <w:rPr>
          <w:rFonts w:ascii="宋体" w:hAnsi="宋体" w:eastAsia="宋体"/>
          <w:b/>
          <w:bCs w:val="0"/>
          <w:color w:val="auto"/>
          <w:kern w:val="28"/>
          <w:sz w:val="28"/>
          <w:szCs w:val="28"/>
        </w:rPr>
      </w:pPr>
      <w:bookmarkStart w:id="343" w:name="_Toc193792542"/>
      <w:bookmarkStart w:id="344" w:name="_Toc194481430"/>
      <w:bookmarkStart w:id="345" w:name="_Toc193792651"/>
      <w:bookmarkStart w:id="346" w:name="_Toc233881454"/>
      <w:bookmarkStart w:id="347" w:name="_Toc194551722"/>
      <w:bookmarkStart w:id="348" w:name="_Toc150262791"/>
      <w:r>
        <w:rPr>
          <w:rFonts w:hint="eastAsia" w:ascii="宋体" w:hAnsi="宋体" w:eastAsia="宋体"/>
          <w:b/>
          <w:bCs w:val="0"/>
          <w:color w:val="auto"/>
          <w:kern w:val="28"/>
          <w:sz w:val="28"/>
          <w:szCs w:val="28"/>
        </w:rPr>
        <w:t>5.2应重视的安全对策措施</w:t>
      </w:r>
      <w:bookmarkEnd w:id="343"/>
      <w:bookmarkEnd w:id="344"/>
      <w:bookmarkEnd w:id="345"/>
      <w:bookmarkEnd w:id="346"/>
      <w:bookmarkEnd w:id="347"/>
      <w:r>
        <w:rPr>
          <w:rFonts w:hint="eastAsia" w:ascii="宋体" w:hAnsi="宋体" w:eastAsia="宋体"/>
          <w:b/>
          <w:bCs w:val="0"/>
          <w:color w:val="auto"/>
          <w:kern w:val="28"/>
          <w:sz w:val="28"/>
          <w:szCs w:val="28"/>
        </w:rPr>
        <w:t>建议</w:t>
      </w:r>
      <w:bookmarkEnd w:id="348"/>
    </w:p>
    <w:p>
      <w:pPr>
        <w:widowControl/>
        <w:spacing w:line="500" w:lineRule="exact"/>
        <w:ind w:firstLine="480" w:firstLineChars="200"/>
        <w:rPr>
          <w:rFonts w:ascii="宋体" w:hAnsi="宋体"/>
          <w:color w:val="auto"/>
          <w:sz w:val="24"/>
        </w:rPr>
      </w:pPr>
      <w:r>
        <w:rPr>
          <w:rFonts w:hint="eastAsia" w:ascii="宋体" w:hAnsi="宋体"/>
          <w:color w:val="auto"/>
          <w:sz w:val="24"/>
        </w:rPr>
        <w:t>1）建议下一步设计对排土场进行稳定性分析。</w:t>
      </w:r>
    </w:p>
    <w:p>
      <w:pPr>
        <w:widowControl/>
        <w:spacing w:line="5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）严格按照设计的开采顺序开采，严禁掏采、滥采乱挖。加强边坡的监督、检查、管理和维护。</w:t>
      </w:r>
    </w:p>
    <w:p>
      <w:pPr>
        <w:widowControl/>
        <w:spacing w:line="500" w:lineRule="exact"/>
        <w:ind w:firstLine="480" w:firstLineChars="200"/>
        <w:rPr>
          <w:rFonts w:ascii="宋体" w:hAnsi="宋体"/>
          <w:color w:val="auto"/>
          <w:sz w:val="24"/>
        </w:rPr>
      </w:pPr>
      <w:r>
        <w:rPr>
          <w:rFonts w:hint="eastAsia" w:ascii="宋体" w:hAnsi="宋体"/>
          <w:color w:val="auto"/>
          <w:sz w:val="24"/>
        </w:rPr>
        <w:t>3）柴油属于危险化学品，企业应按《危险化学品安全管理条例》的相关要求，对柴油进行管理。</w:t>
      </w:r>
    </w:p>
    <w:p>
      <w:pPr>
        <w:pStyle w:val="4"/>
        <w:keepLines w:val="0"/>
        <w:widowControl/>
        <w:spacing w:before="120" w:after="120" w:line="500" w:lineRule="exact"/>
        <w:rPr>
          <w:rFonts w:ascii="宋体" w:hAnsi="宋体" w:eastAsia="宋体"/>
          <w:b/>
          <w:bCs w:val="0"/>
          <w:color w:val="auto"/>
          <w:kern w:val="28"/>
          <w:sz w:val="28"/>
          <w:szCs w:val="28"/>
        </w:rPr>
      </w:pPr>
      <w:bookmarkStart w:id="349" w:name="_Toc150262792"/>
      <w:bookmarkStart w:id="350" w:name="_Toc194551723"/>
      <w:bookmarkStart w:id="351" w:name="_Toc193792543"/>
      <w:bookmarkStart w:id="352" w:name="_Toc233881455"/>
      <w:bookmarkStart w:id="353" w:name="_Toc194481431"/>
      <w:bookmarkStart w:id="354" w:name="_Toc193792652"/>
      <w:r>
        <w:rPr>
          <w:rFonts w:hint="eastAsia" w:ascii="宋体" w:hAnsi="宋体" w:eastAsia="宋体"/>
          <w:b/>
          <w:bCs w:val="0"/>
          <w:color w:val="auto"/>
          <w:kern w:val="28"/>
          <w:sz w:val="28"/>
          <w:szCs w:val="28"/>
        </w:rPr>
        <w:t>5.3危险有害因素可控性及受控程度</w:t>
      </w:r>
      <w:bookmarkEnd w:id="349"/>
      <w:bookmarkEnd w:id="350"/>
      <w:bookmarkEnd w:id="351"/>
      <w:bookmarkEnd w:id="352"/>
      <w:bookmarkEnd w:id="353"/>
      <w:bookmarkEnd w:id="354"/>
    </w:p>
    <w:p>
      <w:pPr>
        <w:widowControl/>
        <w:spacing w:line="500" w:lineRule="exact"/>
        <w:ind w:firstLine="480" w:firstLineChars="200"/>
        <w:rPr>
          <w:rFonts w:ascii="宋体" w:hAnsi="宋体"/>
          <w:color w:val="auto"/>
          <w:sz w:val="24"/>
        </w:rPr>
      </w:pPr>
      <w:r>
        <w:rPr>
          <w:rFonts w:hint="eastAsia" w:ascii="宋体" w:hAnsi="宋体"/>
          <w:color w:val="auto"/>
          <w:sz w:val="24"/>
        </w:rPr>
        <w:t>通过落实安全对策措施保证安全投入，严格按安全设施设计和操作规程要求进行开采，加强管理，其危险、有害因素可得到有效控制，该项目安全风险可以控制到可接受的程度。</w:t>
      </w:r>
    </w:p>
    <w:p>
      <w:pPr>
        <w:pStyle w:val="4"/>
        <w:keepLines w:val="0"/>
        <w:widowControl/>
        <w:spacing w:before="120" w:after="120" w:line="500" w:lineRule="exact"/>
        <w:rPr>
          <w:rFonts w:ascii="宋体" w:hAnsi="宋体" w:eastAsia="宋体"/>
          <w:b/>
          <w:bCs w:val="0"/>
          <w:color w:val="auto"/>
          <w:kern w:val="28"/>
          <w:sz w:val="28"/>
          <w:szCs w:val="28"/>
        </w:rPr>
      </w:pPr>
      <w:bookmarkStart w:id="355" w:name="_Toc193792653"/>
      <w:bookmarkStart w:id="356" w:name="_Toc194481432"/>
      <w:bookmarkStart w:id="357" w:name="_Toc194551724"/>
      <w:bookmarkStart w:id="358" w:name="_Toc193792544"/>
      <w:bookmarkStart w:id="359" w:name="_Toc233881456"/>
      <w:bookmarkStart w:id="360" w:name="_Toc150262793"/>
      <w:r>
        <w:rPr>
          <w:rFonts w:hint="eastAsia" w:ascii="宋体" w:hAnsi="宋体" w:eastAsia="宋体"/>
          <w:b/>
          <w:bCs w:val="0"/>
          <w:color w:val="auto"/>
          <w:kern w:val="28"/>
          <w:sz w:val="28"/>
          <w:szCs w:val="28"/>
        </w:rPr>
        <w:t>5.</w:t>
      </w:r>
      <w:bookmarkEnd w:id="355"/>
      <w:bookmarkEnd w:id="356"/>
      <w:bookmarkEnd w:id="357"/>
      <w:bookmarkEnd w:id="358"/>
      <w:bookmarkEnd w:id="359"/>
      <w:r>
        <w:rPr>
          <w:rFonts w:hint="eastAsia" w:ascii="宋体" w:hAnsi="宋体" w:eastAsia="宋体"/>
          <w:b/>
          <w:bCs w:val="0"/>
          <w:color w:val="auto"/>
          <w:kern w:val="28"/>
          <w:sz w:val="28"/>
          <w:szCs w:val="28"/>
        </w:rPr>
        <w:t>4从安全生产角度是否符合国家有关法律、法规、标准和规范的要求</w:t>
      </w:r>
      <w:bookmarkEnd w:id="360"/>
    </w:p>
    <w:bookmarkEnd w:id="251"/>
    <w:p>
      <w:pPr>
        <w:widowControl/>
        <w:spacing w:line="500" w:lineRule="exact"/>
        <w:ind w:firstLine="482" w:firstLineChars="200"/>
        <w:rPr>
          <w:rFonts w:hint="eastAsia" w:ascii="宋体" w:hAnsi="宋体"/>
          <w:b/>
          <w:color w:val="auto"/>
          <w:sz w:val="24"/>
        </w:rPr>
      </w:pPr>
      <w:r>
        <w:rPr>
          <w:rFonts w:hint="eastAsia" w:ascii="宋体" w:hAnsi="宋体"/>
          <w:b/>
          <w:color w:val="auto"/>
          <w:sz w:val="24"/>
        </w:rPr>
        <w:t>针对该项目在今后生产中存在的危险、危害因素，在下一步进行的《安全设施设计》中应充分采纳《可行性研究报告》及《安全预评价报告》中提出的安全对策措施，严格遵守《金属非金属矿山安全规程》的要求，则兴宁市守元矿业有限公司军营高岭土矿分公司扩建年产5万吨高岭土露天开采项目可以满足安全生产法律、法规和技术规程、标准和规范的要求，风险处在可控范围。</w:t>
      </w:r>
    </w:p>
    <w:p>
      <w:pPr>
        <w:pStyle w:val="3"/>
        <w:widowControl/>
        <w:spacing w:before="120" w:after="120" w:line="500" w:lineRule="exact"/>
        <w:rPr>
          <w:rFonts w:ascii="宋体" w:hAnsi="宋体" w:eastAsia="宋体"/>
          <w:b/>
          <w:color w:val="auto"/>
          <w:kern w:val="30"/>
          <w:sz w:val="30"/>
          <w:szCs w:val="30"/>
        </w:rPr>
      </w:pPr>
      <w:r>
        <w:rPr>
          <w:rFonts w:ascii="宋体" w:hAnsi="宋体"/>
          <w:b/>
          <w:color w:val="auto"/>
          <w:sz w:val="24"/>
        </w:rPr>
        <w:br w:type="page"/>
      </w:r>
      <w:bookmarkStart w:id="361" w:name="_Toc150262794"/>
      <w:r>
        <w:rPr>
          <w:rFonts w:hint="eastAsia" w:ascii="宋体" w:hAnsi="宋体" w:eastAsia="宋体"/>
          <w:b/>
          <w:color w:val="auto"/>
          <w:kern w:val="30"/>
          <w:sz w:val="30"/>
          <w:szCs w:val="30"/>
        </w:rPr>
        <w:t>附件</w:t>
      </w:r>
      <w:bookmarkEnd w:id="361"/>
    </w:p>
    <w:p>
      <w:pPr>
        <w:widowControl/>
        <w:numPr>
          <w:ilvl w:val="0"/>
          <w:numId w:val="12"/>
        </w:numPr>
        <w:spacing w:line="500" w:lineRule="exact"/>
        <w:ind w:left="0" w:firstLine="480" w:firstLineChars="200"/>
        <w:rPr>
          <w:rFonts w:ascii="宋体" w:hAnsi="宋体"/>
          <w:color w:val="auto"/>
          <w:sz w:val="24"/>
        </w:rPr>
      </w:pPr>
      <w:r>
        <w:rPr>
          <w:rFonts w:hint="eastAsia" w:ascii="宋体" w:hAnsi="宋体"/>
          <w:color w:val="auto"/>
          <w:sz w:val="24"/>
        </w:rPr>
        <w:t>现场照片</w:t>
      </w:r>
    </w:p>
    <w:p>
      <w:pPr>
        <w:widowControl/>
        <w:numPr>
          <w:ilvl w:val="0"/>
          <w:numId w:val="12"/>
        </w:numPr>
        <w:spacing w:line="500" w:lineRule="exact"/>
        <w:ind w:left="0" w:firstLine="480" w:firstLineChars="200"/>
        <w:rPr>
          <w:rFonts w:ascii="宋体" w:hAnsi="宋体"/>
          <w:color w:val="auto"/>
          <w:sz w:val="24"/>
        </w:rPr>
      </w:pPr>
      <w:r>
        <w:rPr>
          <w:rFonts w:hint="eastAsia" w:ascii="宋体" w:hAnsi="宋体"/>
          <w:color w:val="auto"/>
          <w:sz w:val="24"/>
        </w:rPr>
        <w:t>安全预评价委托书</w:t>
      </w:r>
    </w:p>
    <w:p>
      <w:pPr>
        <w:widowControl/>
        <w:numPr>
          <w:ilvl w:val="0"/>
          <w:numId w:val="12"/>
        </w:numPr>
        <w:spacing w:line="500" w:lineRule="exact"/>
        <w:ind w:left="0"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广东省企业投资项目备案证》</w:t>
      </w:r>
    </w:p>
    <w:p>
      <w:pPr>
        <w:widowControl/>
        <w:numPr>
          <w:ilvl w:val="0"/>
          <w:numId w:val="12"/>
        </w:numPr>
        <w:spacing w:line="500" w:lineRule="exact"/>
        <w:ind w:left="0" w:firstLine="480" w:firstLineChars="200"/>
        <w:rPr>
          <w:rFonts w:ascii="宋体" w:hAnsi="宋体"/>
          <w:color w:val="auto"/>
          <w:sz w:val="24"/>
        </w:rPr>
      </w:pPr>
      <w:r>
        <w:rPr>
          <w:rFonts w:hint="eastAsia" w:ascii="宋体" w:hAnsi="宋体"/>
          <w:color w:val="auto"/>
          <w:sz w:val="24"/>
        </w:rPr>
        <w:t>《营业执照》</w:t>
      </w:r>
    </w:p>
    <w:p>
      <w:pPr>
        <w:widowControl/>
        <w:numPr>
          <w:ilvl w:val="0"/>
          <w:numId w:val="12"/>
        </w:numPr>
        <w:spacing w:line="500" w:lineRule="exact"/>
        <w:ind w:left="0" w:firstLine="480" w:firstLineChars="200"/>
        <w:rPr>
          <w:rFonts w:ascii="宋体" w:hAnsi="宋体"/>
          <w:color w:val="auto"/>
          <w:sz w:val="24"/>
        </w:rPr>
      </w:pPr>
      <w:r>
        <w:rPr>
          <w:rFonts w:hint="eastAsia" w:ascii="宋体" w:hAnsi="宋体"/>
          <w:color w:val="auto"/>
          <w:sz w:val="24"/>
        </w:rPr>
        <w:t>《采矿许可证》</w:t>
      </w:r>
    </w:p>
    <w:p>
      <w:pPr>
        <w:widowControl/>
        <w:numPr>
          <w:ilvl w:val="0"/>
          <w:numId w:val="12"/>
        </w:numPr>
        <w:spacing w:line="500" w:lineRule="exact"/>
        <w:ind w:left="0" w:firstLine="480" w:firstLineChars="200"/>
        <w:rPr>
          <w:rFonts w:ascii="宋体" w:hAnsi="宋体"/>
          <w:color w:val="auto"/>
          <w:sz w:val="24"/>
        </w:rPr>
      </w:pPr>
      <w:r>
        <w:rPr>
          <w:rFonts w:hint="eastAsia" w:ascii="宋体" w:hAnsi="宋体"/>
          <w:color w:val="auto"/>
          <w:sz w:val="24"/>
        </w:rPr>
        <w:t>附图</w:t>
      </w:r>
    </w:p>
    <w:p>
      <w:pPr>
        <w:widowControl/>
        <w:spacing w:line="500" w:lineRule="exact"/>
        <w:ind w:firstLine="480" w:firstLineChars="200"/>
        <w:rPr>
          <w:rFonts w:ascii="宋体" w:hAnsi="宋体"/>
          <w:color w:val="auto"/>
          <w:sz w:val="24"/>
        </w:rPr>
      </w:pPr>
    </w:p>
    <w:sectPr>
      <w:pgSz w:w="11906" w:h="16838"/>
      <w:pgMar w:top="1134" w:right="1134" w:bottom="1418" w:left="158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体">
    <w:altName w:val="宋体"/>
    <w:panose1 w:val="020B0604020202020204"/>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idowControl w:val="0"/>
      <w:pBdr>
        <w:top w:val="single" w:color="auto" w:sz="4" w:space="1"/>
        <w:left w:val="none" w:color="auto" w:sz="0" w:space="4"/>
        <w:bottom w:val="none" w:color="auto" w:sz="0" w:space="1"/>
        <w:right w:val="none" w:color="auto" w:sz="0" w:space="4"/>
        <w:between w:val="none" w:color="auto" w:sz="0" w:space="0"/>
      </w:pBdr>
      <w:tabs>
        <w:tab w:val="left" w:pos="5115"/>
        <w:tab w:val="clear" w:pos="4153"/>
        <w:tab w:val="clear" w:pos="8306"/>
      </w:tabs>
      <w:snapToGrid w:val="0"/>
      <w:ind w:right="32" w:rightChars="0"/>
      <w:jc w:val="both"/>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江西赣安安全生产科学技术咨询服务中心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idowControl w:val="0"/>
      <w:pBdr>
        <w:top w:val="single" w:color="auto" w:sz="4" w:space="1"/>
        <w:left w:val="none" w:color="auto" w:sz="0" w:space="4"/>
        <w:bottom w:val="none" w:color="auto" w:sz="0" w:space="1"/>
        <w:right w:val="none" w:color="auto" w:sz="0" w:space="4"/>
        <w:between w:val="none" w:color="auto" w:sz="0" w:space="0"/>
      </w:pBdr>
      <w:tabs>
        <w:tab w:val="left" w:pos="5115"/>
        <w:tab w:val="clear" w:pos="4153"/>
        <w:tab w:val="clear" w:pos="8306"/>
      </w:tabs>
      <w:snapToGrid w:val="0"/>
      <w:ind w:right="32" w:rightChars="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江西赣安安全生产科学技术咨询服务中心                                                   APJ-（赣）-002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idowControl w:val="0"/>
      <w:pBdr>
        <w:top w:val="none" w:color="auto" w:sz="0" w:space="1"/>
        <w:left w:val="none" w:color="auto" w:sz="0" w:space="4"/>
        <w:bottom w:val="single" w:color="auto" w:sz="4" w:space="1"/>
        <w:right w:val="none" w:color="auto" w:sz="0" w:space="4"/>
        <w:between w:val="none" w:color="auto" w:sz="0" w:space="0"/>
      </w:pBdr>
      <w:snapToGrid w:val="0"/>
      <w:spacing w:line="100" w:lineRule="atLeast"/>
      <w:jc w:val="left"/>
      <w:rPr>
        <w:rFonts w:hint="default" w:eastAsia="宋体"/>
        <w:lang w:val="en-US" w:eastAsia="zh-CN"/>
      </w:rPr>
    </w:pPr>
    <w:r>
      <w:rPr>
        <w:rFonts w:hint="eastAsia" w:ascii="宋体" w:hAnsi="宋体"/>
        <w:b w:val="0"/>
        <w:bCs/>
        <w:spacing w:val="-6"/>
        <w:sz w:val="18"/>
        <w:szCs w:val="18"/>
      </w:rPr>
      <w:t>兴宁市守元矿业有限公司军营高岭土矿分公司扩建年产5万吨高岭土露天开采项目</w:t>
    </w:r>
    <w:r>
      <w:rPr>
        <w:rFonts w:hint="eastAsia" w:ascii="宋体" w:hAnsi="宋体"/>
        <w:b w:val="0"/>
        <w:bCs/>
        <w:spacing w:val="-6"/>
        <w:kern w:val="10"/>
        <w:sz w:val="18"/>
        <w:szCs w:val="18"/>
      </w:rPr>
      <w:t>安全预评价报告</w:t>
    </w:r>
    <w:r>
      <w:rPr>
        <w:rFonts w:hint="eastAsia" w:ascii="宋体" w:hAnsi="宋体"/>
        <w:b w:val="0"/>
        <w:bCs/>
        <w:spacing w:val="-6"/>
        <w:kern w:val="10"/>
        <w:sz w:val="18"/>
        <w:szCs w:val="18"/>
        <w:lang w:val="en-US" w:eastAsia="zh-CN"/>
      </w:rPr>
      <w:t xml:space="preserve">     GAAP[2023]0588号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E189E"/>
    <w:multiLevelType w:val="multilevel"/>
    <w:tmpl w:val="24DE189E"/>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
    <w:nsid w:val="2E610B84"/>
    <w:multiLevelType w:val="multilevel"/>
    <w:tmpl w:val="2E610B84"/>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
    <w:nsid w:val="38D0478D"/>
    <w:multiLevelType w:val="multilevel"/>
    <w:tmpl w:val="38D0478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96C242A"/>
    <w:multiLevelType w:val="multilevel"/>
    <w:tmpl w:val="396C242A"/>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4">
    <w:nsid w:val="3A2C64E4"/>
    <w:multiLevelType w:val="multilevel"/>
    <w:tmpl w:val="3A2C64E4"/>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5">
    <w:nsid w:val="44CE9AAF"/>
    <w:multiLevelType w:val="multilevel"/>
    <w:tmpl w:val="44CE9AAF"/>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6">
    <w:nsid w:val="451F6E9F"/>
    <w:multiLevelType w:val="multilevel"/>
    <w:tmpl w:val="451F6E9F"/>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7">
    <w:nsid w:val="4B536EE5"/>
    <w:multiLevelType w:val="multilevel"/>
    <w:tmpl w:val="4B536EE5"/>
    <w:lvl w:ilvl="0" w:tentative="0">
      <w:start w:val="1"/>
      <w:numFmt w:val="decimal"/>
      <w:suff w:val="nothing"/>
      <w:lvlText w:val="%1）"/>
      <w:lvlJc w:val="left"/>
      <w:pPr>
        <w:ind w:left="0" w:firstLine="454"/>
      </w:pPr>
      <w:rPr>
        <w:rFonts w:hint="default"/>
        <w:b w:val="0"/>
        <w:bCs w:val="0"/>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8">
    <w:nsid w:val="61E73145"/>
    <w:multiLevelType w:val="multilevel"/>
    <w:tmpl w:val="61E73145"/>
    <w:lvl w:ilvl="0" w:tentative="0">
      <w:start w:val="1"/>
      <w:numFmt w:val="decimal"/>
      <w:suff w:val="nothing"/>
      <w:lvlText w:val="%1）"/>
      <w:lvlJc w:val="left"/>
      <w:pPr>
        <w:ind w:left="397"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9">
    <w:nsid w:val="64573046"/>
    <w:multiLevelType w:val="multilevel"/>
    <w:tmpl w:val="64573046"/>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0">
    <w:nsid w:val="76916F4A"/>
    <w:multiLevelType w:val="multilevel"/>
    <w:tmpl w:val="76916F4A"/>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1">
    <w:nsid w:val="7A347B79"/>
    <w:multiLevelType w:val="multilevel"/>
    <w:tmpl w:val="7A347B79"/>
    <w:lvl w:ilvl="0" w:tentative="0">
      <w:start w:val="1"/>
      <w:numFmt w:val="decimal"/>
      <w:suff w:val="nothing"/>
      <w:lvlText w:val="%1）"/>
      <w:lvlJc w:val="left"/>
      <w:pPr>
        <w:ind w:left="0" w:firstLine="454"/>
      </w:pPr>
      <w:rPr>
        <w:rFonts w:hint="default"/>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num w:numId="1">
    <w:abstractNumId w:val="5"/>
  </w:num>
  <w:num w:numId="2">
    <w:abstractNumId w:val="3"/>
  </w:num>
  <w:num w:numId="3">
    <w:abstractNumId w:val="8"/>
  </w:num>
  <w:num w:numId="4">
    <w:abstractNumId w:val="7"/>
  </w:num>
  <w:num w:numId="5">
    <w:abstractNumId w:val="1"/>
  </w:num>
  <w:num w:numId="6">
    <w:abstractNumId w:val="6"/>
  </w:num>
  <w:num w:numId="7">
    <w:abstractNumId w:val="0"/>
  </w:num>
  <w:num w:numId="8">
    <w:abstractNumId w:val="9"/>
  </w:num>
  <w:num w:numId="9">
    <w:abstractNumId w:val="4"/>
  </w:num>
  <w:num w:numId="10">
    <w:abstractNumId w:val="1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2"/>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lZTdkOTgzYmNkNDNlNmFlMDI3MTI0YjA5NWI5OTkifQ=="/>
  </w:docVars>
  <w:rsids>
    <w:rsidRoot w:val="00D660CD"/>
    <w:rsid w:val="00000412"/>
    <w:rsid w:val="000006D7"/>
    <w:rsid w:val="0000088F"/>
    <w:rsid w:val="000009C6"/>
    <w:rsid w:val="000013D5"/>
    <w:rsid w:val="000016D1"/>
    <w:rsid w:val="00001766"/>
    <w:rsid w:val="00002266"/>
    <w:rsid w:val="000026D5"/>
    <w:rsid w:val="0000276E"/>
    <w:rsid w:val="00002D63"/>
    <w:rsid w:val="000036D3"/>
    <w:rsid w:val="00003733"/>
    <w:rsid w:val="00003761"/>
    <w:rsid w:val="000039BB"/>
    <w:rsid w:val="00003CAE"/>
    <w:rsid w:val="000041EE"/>
    <w:rsid w:val="00004295"/>
    <w:rsid w:val="00004D8B"/>
    <w:rsid w:val="000052CE"/>
    <w:rsid w:val="00005749"/>
    <w:rsid w:val="00005E1B"/>
    <w:rsid w:val="0000628F"/>
    <w:rsid w:val="00006364"/>
    <w:rsid w:val="0000681A"/>
    <w:rsid w:val="00006923"/>
    <w:rsid w:val="00006EB7"/>
    <w:rsid w:val="00007D65"/>
    <w:rsid w:val="000103C5"/>
    <w:rsid w:val="000103CD"/>
    <w:rsid w:val="00010494"/>
    <w:rsid w:val="00010742"/>
    <w:rsid w:val="000107DA"/>
    <w:rsid w:val="000108E0"/>
    <w:rsid w:val="00010D88"/>
    <w:rsid w:val="00010E5D"/>
    <w:rsid w:val="00011117"/>
    <w:rsid w:val="0001119D"/>
    <w:rsid w:val="000115B8"/>
    <w:rsid w:val="00011751"/>
    <w:rsid w:val="000118B8"/>
    <w:rsid w:val="00012430"/>
    <w:rsid w:val="00012508"/>
    <w:rsid w:val="00012EB1"/>
    <w:rsid w:val="000130CA"/>
    <w:rsid w:val="00013709"/>
    <w:rsid w:val="00013A11"/>
    <w:rsid w:val="00013B6D"/>
    <w:rsid w:val="00014E3A"/>
    <w:rsid w:val="00014ECE"/>
    <w:rsid w:val="00014EFE"/>
    <w:rsid w:val="000150E5"/>
    <w:rsid w:val="00015680"/>
    <w:rsid w:val="0001598E"/>
    <w:rsid w:val="00015B74"/>
    <w:rsid w:val="00015CEB"/>
    <w:rsid w:val="00015F17"/>
    <w:rsid w:val="00015F95"/>
    <w:rsid w:val="000162A7"/>
    <w:rsid w:val="000165E0"/>
    <w:rsid w:val="00016671"/>
    <w:rsid w:val="000166C3"/>
    <w:rsid w:val="000166DF"/>
    <w:rsid w:val="000167E3"/>
    <w:rsid w:val="00016C20"/>
    <w:rsid w:val="00016C52"/>
    <w:rsid w:val="0001733D"/>
    <w:rsid w:val="00017809"/>
    <w:rsid w:val="00017CD8"/>
    <w:rsid w:val="00017CDD"/>
    <w:rsid w:val="00017F47"/>
    <w:rsid w:val="00020CF6"/>
    <w:rsid w:val="0002102B"/>
    <w:rsid w:val="0002127C"/>
    <w:rsid w:val="0002152F"/>
    <w:rsid w:val="000215D5"/>
    <w:rsid w:val="00021830"/>
    <w:rsid w:val="00021995"/>
    <w:rsid w:val="00021B92"/>
    <w:rsid w:val="00021C4A"/>
    <w:rsid w:val="00021E21"/>
    <w:rsid w:val="00022101"/>
    <w:rsid w:val="000227CC"/>
    <w:rsid w:val="00022A52"/>
    <w:rsid w:val="00022DF6"/>
    <w:rsid w:val="000230E7"/>
    <w:rsid w:val="000232E3"/>
    <w:rsid w:val="00023699"/>
    <w:rsid w:val="00023993"/>
    <w:rsid w:val="00023C72"/>
    <w:rsid w:val="00023D70"/>
    <w:rsid w:val="00023E68"/>
    <w:rsid w:val="00023FF2"/>
    <w:rsid w:val="00024258"/>
    <w:rsid w:val="00024D79"/>
    <w:rsid w:val="00024D92"/>
    <w:rsid w:val="00025095"/>
    <w:rsid w:val="0002539F"/>
    <w:rsid w:val="000254E7"/>
    <w:rsid w:val="0002552B"/>
    <w:rsid w:val="00025603"/>
    <w:rsid w:val="00025637"/>
    <w:rsid w:val="0002588F"/>
    <w:rsid w:val="00025CF6"/>
    <w:rsid w:val="00025E23"/>
    <w:rsid w:val="00025FAF"/>
    <w:rsid w:val="00026469"/>
    <w:rsid w:val="00026925"/>
    <w:rsid w:val="00026A75"/>
    <w:rsid w:val="00026CEC"/>
    <w:rsid w:val="000274F8"/>
    <w:rsid w:val="000275EA"/>
    <w:rsid w:val="00027612"/>
    <w:rsid w:val="0002767B"/>
    <w:rsid w:val="0002767C"/>
    <w:rsid w:val="00027898"/>
    <w:rsid w:val="000278E1"/>
    <w:rsid w:val="00027976"/>
    <w:rsid w:val="00027D7F"/>
    <w:rsid w:val="00027EEA"/>
    <w:rsid w:val="000303F9"/>
    <w:rsid w:val="000304FC"/>
    <w:rsid w:val="000305DD"/>
    <w:rsid w:val="000309B3"/>
    <w:rsid w:val="00030B04"/>
    <w:rsid w:val="00030B0B"/>
    <w:rsid w:val="00030D43"/>
    <w:rsid w:val="00030F6F"/>
    <w:rsid w:val="000314B7"/>
    <w:rsid w:val="00031999"/>
    <w:rsid w:val="00031ADE"/>
    <w:rsid w:val="000321F7"/>
    <w:rsid w:val="000322D4"/>
    <w:rsid w:val="0003254B"/>
    <w:rsid w:val="000325E2"/>
    <w:rsid w:val="00032714"/>
    <w:rsid w:val="00032A0A"/>
    <w:rsid w:val="00032A6E"/>
    <w:rsid w:val="00032B07"/>
    <w:rsid w:val="00032B90"/>
    <w:rsid w:val="0003306F"/>
    <w:rsid w:val="000330BB"/>
    <w:rsid w:val="000334DF"/>
    <w:rsid w:val="00033737"/>
    <w:rsid w:val="00033780"/>
    <w:rsid w:val="000338E4"/>
    <w:rsid w:val="00034186"/>
    <w:rsid w:val="0003423E"/>
    <w:rsid w:val="000349D0"/>
    <w:rsid w:val="0003538E"/>
    <w:rsid w:val="00035850"/>
    <w:rsid w:val="0003587D"/>
    <w:rsid w:val="000359D5"/>
    <w:rsid w:val="00035C2D"/>
    <w:rsid w:val="000362D1"/>
    <w:rsid w:val="00036383"/>
    <w:rsid w:val="0003696A"/>
    <w:rsid w:val="000369DB"/>
    <w:rsid w:val="00036CD5"/>
    <w:rsid w:val="000371B8"/>
    <w:rsid w:val="000372D2"/>
    <w:rsid w:val="000373F9"/>
    <w:rsid w:val="0004035E"/>
    <w:rsid w:val="00040463"/>
    <w:rsid w:val="0004065B"/>
    <w:rsid w:val="00040E1F"/>
    <w:rsid w:val="00040F5C"/>
    <w:rsid w:val="0004168D"/>
    <w:rsid w:val="000420FE"/>
    <w:rsid w:val="000423BB"/>
    <w:rsid w:val="0004246B"/>
    <w:rsid w:val="000424E8"/>
    <w:rsid w:val="00042602"/>
    <w:rsid w:val="00042BDE"/>
    <w:rsid w:val="00042C68"/>
    <w:rsid w:val="00042D71"/>
    <w:rsid w:val="00042EF9"/>
    <w:rsid w:val="0004357F"/>
    <w:rsid w:val="000439AC"/>
    <w:rsid w:val="00043A12"/>
    <w:rsid w:val="00044395"/>
    <w:rsid w:val="000445E6"/>
    <w:rsid w:val="00044642"/>
    <w:rsid w:val="0004488E"/>
    <w:rsid w:val="000452A1"/>
    <w:rsid w:val="000453BB"/>
    <w:rsid w:val="00045884"/>
    <w:rsid w:val="00045962"/>
    <w:rsid w:val="00045ECF"/>
    <w:rsid w:val="0004634C"/>
    <w:rsid w:val="000465E3"/>
    <w:rsid w:val="0004672D"/>
    <w:rsid w:val="00046A17"/>
    <w:rsid w:val="00046CCF"/>
    <w:rsid w:val="00046CDB"/>
    <w:rsid w:val="00046E10"/>
    <w:rsid w:val="00047219"/>
    <w:rsid w:val="0004758F"/>
    <w:rsid w:val="00047B77"/>
    <w:rsid w:val="00047C57"/>
    <w:rsid w:val="00047FF4"/>
    <w:rsid w:val="00050540"/>
    <w:rsid w:val="0005066E"/>
    <w:rsid w:val="00050745"/>
    <w:rsid w:val="00050BDC"/>
    <w:rsid w:val="000515CB"/>
    <w:rsid w:val="00051B61"/>
    <w:rsid w:val="00051D12"/>
    <w:rsid w:val="00051E4E"/>
    <w:rsid w:val="000520CE"/>
    <w:rsid w:val="00052C1C"/>
    <w:rsid w:val="0005322F"/>
    <w:rsid w:val="000533ED"/>
    <w:rsid w:val="000536C1"/>
    <w:rsid w:val="0005375E"/>
    <w:rsid w:val="00053B57"/>
    <w:rsid w:val="00053C12"/>
    <w:rsid w:val="00054080"/>
    <w:rsid w:val="000543B1"/>
    <w:rsid w:val="00054524"/>
    <w:rsid w:val="0005498A"/>
    <w:rsid w:val="00054C9F"/>
    <w:rsid w:val="000551CD"/>
    <w:rsid w:val="00055905"/>
    <w:rsid w:val="0005637E"/>
    <w:rsid w:val="00056BA1"/>
    <w:rsid w:val="00056E5E"/>
    <w:rsid w:val="00057020"/>
    <w:rsid w:val="000572B8"/>
    <w:rsid w:val="000574C0"/>
    <w:rsid w:val="0005750C"/>
    <w:rsid w:val="00057589"/>
    <w:rsid w:val="00057AFD"/>
    <w:rsid w:val="00057CA8"/>
    <w:rsid w:val="00057D2C"/>
    <w:rsid w:val="00057D7C"/>
    <w:rsid w:val="000600B6"/>
    <w:rsid w:val="000603B7"/>
    <w:rsid w:val="000604AC"/>
    <w:rsid w:val="0006055B"/>
    <w:rsid w:val="0006079D"/>
    <w:rsid w:val="00060B2F"/>
    <w:rsid w:val="00061477"/>
    <w:rsid w:val="00061508"/>
    <w:rsid w:val="00061A73"/>
    <w:rsid w:val="00061E30"/>
    <w:rsid w:val="00061EE8"/>
    <w:rsid w:val="0006200C"/>
    <w:rsid w:val="000620DC"/>
    <w:rsid w:val="00062245"/>
    <w:rsid w:val="00062610"/>
    <w:rsid w:val="000626AC"/>
    <w:rsid w:val="000627A1"/>
    <w:rsid w:val="000628B2"/>
    <w:rsid w:val="00062D62"/>
    <w:rsid w:val="00062FF1"/>
    <w:rsid w:val="00063138"/>
    <w:rsid w:val="000634E8"/>
    <w:rsid w:val="00063DDE"/>
    <w:rsid w:val="00063E26"/>
    <w:rsid w:val="00063F9A"/>
    <w:rsid w:val="0006458C"/>
    <w:rsid w:val="00064A8B"/>
    <w:rsid w:val="00064C5B"/>
    <w:rsid w:val="000650C8"/>
    <w:rsid w:val="000653B8"/>
    <w:rsid w:val="00065491"/>
    <w:rsid w:val="000654AF"/>
    <w:rsid w:val="00065522"/>
    <w:rsid w:val="00065700"/>
    <w:rsid w:val="00065F1D"/>
    <w:rsid w:val="00066811"/>
    <w:rsid w:val="00066D81"/>
    <w:rsid w:val="00067247"/>
    <w:rsid w:val="00067332"/>
    <w:rsid w:val="00067356"/>
    <w:rsid w:val="000673A4"/>
    <w:rsid w:val="000674F0"/>
    <w:rsid w:val="000675DC"/>
    <w:rsid w:val="000676FA"/>
    <w:rsid w:val="000678FA"/>
    <w:rsid w:val="00067A09"/>
    <w:rsid w:val="00067ABF"/>
    <w:rsid w:val="00067BEF"/>
    <w:rsid w:val="000702E5"/>
    <w:rsid w:val="0007048B"/>
    <w:rsid w:val="00070AA2"/>
    <w:rsid w:val="00070FA8"/>
    <w:rsid w:val="000710DF"/>
    <w:rsid w:val="00071BC6"/>
    <w:rsid w:val="00071CFF"/>
    <w:rsid w:val="000723B0"/>
    <w:rsid w:val="0007268A"/>
    <w:rsid w:val="0007272B"/>
    <w:rsid w:val="0007279B"/>
    <w:rsid w:val="00072B91"/>
    <w:rsid w:val="00072DE5"/>
    <w:rsid w:val="00072E73"/>
    <w:rsid w:val="000739A2"/>
    <w:rsid w:val="000739E5"/>
    <w:rsid w:val="00073D40"/>
    <w:rsid w:val="00073D72"/>
    <w:rsid w:val="00073D81"/>
    <w:rsid w:val="00073F29"/>
    <w:rsid w:val="00073FFF"/>
    <w:rsid w:val="000743F8"/>
    <w:rsid w:val="000746CF"/>
    <w:rsid w:val="000750EA"/>
    <w:rsid w:val="000753A1"/>
    <w:rsid w:val="0007596D"/>
    <w:rsid w:val="00075AF9"/>
    <w:rsid w:val="00075B48"/>
    <w:rsid w:val="0007637A"/>
    <w:rsid w:val="00076606"/>
    <w:rsid w:val="00076751"/>
    <w:rsid w:val="00076A25"/>
    <w:rsid w:val="00076CB6"/>
    <w:rsid w:val="0007713E"/>
    <w:rsid w:val="00077275"/>
    <w:rsid w:val="000772BC"/>
    <w:rsid w:val="00080004"/>
    <w:rsid w:val="000800D4"/>
    <w:rsid w:val="0008010E"/>
    <w:rsid w:val="000801C2"/>
    <w:rsid w:val="00080361"/>
    <w:rsid w:val="00080421"/>
    <w:rsid w:val="0008078A"/>
    <w:rsid w:val="00080962"/>
    <w:rsid w:val="00080C29"/>
    <w:rsid w:val="00080D0B"/>
    <w:rsid w:val="00080D6E"/>
    <w:rsid w:val="000813C1"/>
    <w:rsid w:val="000819F0"/>
    <w:rsid w:val="00081DD6"/>
    <w:rsid w:val="00081FAE"/>
    <w:rsid w:val="00082451"/>
    <w:rsid w:val="000824B5"/>
    <w:rsid w:val="00082C25"/>
    <w:rsid w:val="00082EDE"/>
    <w:rsid w:val="00082F71"/>
    <w:rsid w:val="00082FED"/>
    <w:rsid w:val="00083145"/>
    <w:rsid w:val="0008317D"/>
    <w:rsid w:val="00083992"/>
    <w:rsid w:val="00083B77"/>
    <w:rsid w:val="00083E03"/>
    <w:rsid w:val="00083F65"/>
    <w:rsid w:val="00084860"/>
    <w:rsid w:val="0008491A"/>
    <w:rsid w:val="00084A32"/>
    <w:rsid w:val="00084D7C"/>
    <w:rsid w:val="00085100"/>
    <w:rsid w:val="00085141"/>
    <w:rsid w:val="0008540F"/>
    <w:rsid w:val="0008550E"/>
    <w:rsid w:val="00085A58"/>
    <w:rsid w:val="00085E9D"/>
    <w:rsid w:val="00085F93"/>
    <w:rsid w:val="0008621B"/>
    <w:rsid w:val="00086B2A"/>
    <w:rsid w:val="000870B6"/>
    <w:rsid w:val="0008735D"/>
    <w:rsid w:val="00087474"/>
    <w:rsid w:val="000876E2"/>
    <w:rsid w:val="0008773D"/>
    <w:rsid w:val="00087BD3"/>
    <w:rsid w:val="00087BD7"/>
    <w:rsid w:val="00087F0B"/>
    <w:rsid w:val="000902AD"/>
    <w:rsid w:val="0009038E"/>
    <w:rsid w:val="000904C7"/>
    <w:rsid w:val="00090932"/>
    <w:rsid w:val="0009098C"/>
    <w:rsid w:val="000910DA"/>
    <w:rsid w:val="00091106"/>
    <w:rsid w:val="000918FF"/>
    <w:rsid w:val="00091BA6"/>
    <w:rsid w:val="000926B9"/>
    <w:rsid w:val="00092700"/>
    <w:rsid w:val="00092858"/>
    <w:rsid w:val="00092EC0"/>
    <w:rsid w:val="000930F0"/>
    <w:rsid w:val="00093559"/>
    <w:rsid w:val="00093A88"/>
    <w:rsid w:val="00093C87"/>
    <w:rsid w:val="0009417F"/>
    <w:rsid w:val="000942CA"/>
    <w:rsid w:val="00094395"/>
    <w:rsid w:val="00094467"/>
    <w:rsid w:val="00094A20"/>
    <w:rsid w:val="00095079"/>
    <w:rsid w:val="00095538"/>
    <w:rsid w:val="00095900"/>
    <w:rsid w:val="0009593E"/>
    <w:rsid w:val="00095966"/>
    <w:rsid w:val="00095CB5"/>
    <w:rsid w:val="00095F76"/>
    <w:rsid w:val="000967C3"/>
    <w:rsid w:val="00096873"/>
    <w:rsid w:val="000968E0"/>
    <w:rsid w:val="00096A7A"/>
    <w:rsid w:val="00096ABD"/>
    <w:rsid w:val="00096BF9"/>
    <w:rsid w:val="00096D05"/>
    <w:rsid w:val="000970FE"/>
    <w:rsid w:val="0009773F"/>
    <w:rsid w:val="00097888"/>
    <w:rsid w:val="00097925"/>
    <w:rsid w:val="000A1067"/>
    <w:rsid w:val="000A11A9"/>
    <w:rsid w:val="000A1394"/>
    <w:rsid w:val="000A165A"/>
    <w:rsid w:val="000A1AA5"/>
    <w:rsid w:val="000A1E5C"/>
    <w:rsid w:val="000A2478"/>
    <w:rsid w:val="000A263A"/>
    <w:rsid w:val="000A2B1C"/>
    <w:rsid w:val="000A2EE5"/>
    <w:rsid w:val="000A2F13"/>
    <w:rsid w:val="000A3347"/>
    <w:rsid w:val="000A3373"/>
    <w:rsid w:val="000A3630"/>
    <w:rsid w:val="000A3728"/>
    <w:rsid w:val="000A37CF"/>
    <w:rsid w:val="000A427A"/>
    <w:rsid w:val="000A457A"/>
    <w:rsid w:val="000A46B0"/>
    <w:rsid w:val="000A474B"/>
    <w:rsid w:val="000A5747"/>
    <w:rsid w:val="000A58AC"/>
    <w:rsid w:val="000A58B3"/>
    <w:rsid w:val="000A58D7"/>
    <w:rsid w:val="000A5E60"/>
    <w:rsid w:val="000A5F88"/>
    <w:rsid w:val="000A61D1"/>
    <w:rsid w:val="000A6309"/>
    <w:rsid w:val="000A66C3"/>
    <w:rsid w:val="000A67B1"/>
    <w:rsid w:val="000A68AF"/>
    <w:rsid w:val="000A7059"/>
    <w:rsid w:val="000A74F0"/>
    <w:rsid w:val="000A7D10"/>
    <w:rsid w:val="000A7D39"/>
    <w:rsid w:val="000A7ED3"/>
    <w:rsid w:val="000B080B"/>
    <w:rsid w:val="000B08C5"/>
    <w:rsid w:val="000B0B0F"/>
    <w:rsid w:val="000B0D35"/>
    <w:rsid w:val="000B10E9"/>
    <w:rsid w:val="000B1137"/>
    <w:rsid w:val="000B11F5"/>
    <w:rsid w:val="000B17C8"/>
    <w:rsid w:val="000B1A89"/>
    <w:rsid w:val="000B1AA6"/>
    <w:rsid w:val="000B217F"/>
    <w:rsid w:val="000B248E"/>
    <w:rsid w:val="000B251B"/>
    <w:rsid w:val="000B27C7"/>
    <w:rsid w:val="000B2836"/>
    <w:rsid w:val="000B2886"/>
    <w:rsid w:val="000B28DC"/>
    <w:rsid w:val="000B2C32"/>
    <w:rsid w:val="000B2E9D"/>
    <w:rsid w:val="000B31EA"/>
    <w:rsid w:val="000B339C"/>
    <w:rsid w:val="000B357A"/>
    <w:rsid w:val="000B3692"/>
    <w:rsid w:val="000B38E3"/>
    <w:rsid w:val="000B3B4A"/>
    <w:rsid w:val="000B3F6F"/>
    <w:rsid w:val="000B402E"/>
    <w:rsid w:val="000B41D7"/>
    <w:rsid w:val="000B4325"/>
    <w:rsid w:val="000B50FD"/>
    <w:rsid w:val="000B5161"/>
    <w:rsid w:val="000B5381"/>
    <w:rsid w:val="000B53A1"/>
    <w:rsid w:val="000B5479"/>
    <w:rsid w:val="000B55E3"/>
    <w:rsid w:val="000B5A45"/>
    <w:rsid w:val="000B5A68"/>
    <w:rsid w:val="000B5DB9"/>
    <w:rsid w:val="000B5EC5"/>
    <w:rsid w:val="000B6248"/>
    <w:rsid w:val="000B6A88"/>
    <w:rsid w:val="000B6A89"/>
    <w:rsid w:val="000B6A9C"/>
    <w:rsid w:val="000B6AC2"/>
    <w:rsid w:val="000B6CBF"/>
    <w:rsid w:val="000B6F47"/>
    <w:rsid w:val="000B6F5B"/>
    <w:rsid w:val="000B7840"/>
    <w:rsid w:val="000B7FD0"/>
    <w:rsid w:val="000C0270"/>
    <w:rsid w:val="000C02C0"/>
    <w:rsid w:val="000C0E62"/>
    <w:rsid w:val="000C0EEE"/>
    <w:rsid w:val="000C0FF6"/>
    <w:rsid w:val="000C179B"/>
    <w:rsid w:val="000C17DB"/>
    <w:rsid w:val="000C180F"/>
    <w:rsid w:val="000C183C"/>
    <w:rsid w:val="000C19EA"/>
    <w:rsid w:val="000C1AEB"/>
    <w:rsid w:val="000C1E90"/>
    <w:rsid w:val="000C2105"/>
    <w:rsid w:val="000C2D0B"/>
    <w:rsid w:val="000C2EE6"/>
    <w:rsid w:val="000C33DE"/>
    <w:rsid w:val="000C3538"/>
    <w:rsid w:val="000C3887"/>
    <w:rsid w:val="000C3E2C"/>
    <w:rsid w:val="000C4694"/>
    <w:rsid w:val="000C4B51"/>
    <w:rsid w:val="000C4C83"/>
    <w:rsid w:val="000C4FAF"/>
    <w:rsid w:val="000C54F9"/>
    <w:rsid w:val="000C5506"/>
    <w:rsid w:val="000C5DEE"/>
    <w:rsid w:val="000C5EA5"/>
    <w:rsid w:val="000C64CF"/>
    <w:rsid w:val="000C6608"/>
    <w:rsid w:val="000C66C5"/>
    <w:rsid w:val="000C6870"/>
    <w:rsid w:val="000C7045"/>
    <w:rsid w:val="000C76DA"/>
    <w:rsid w:val="000C7940"/>
    <w:rsid w:val="000C7BC3"/>
    <w:rsid w:val="000C7CC8"/>
    <w:rsid w:val="000C7F78"/>
    <w:rsid w:val="000D00BB"/>
    <w:rsid w:val="000D054F"/>
    <w:rsid w:val="000D0553"/>
    <w:rsid w:val="000D092A"/>
    <w:rsid w:val="000D0F44"/>
    <w:rsid w:val="000D134E"/>
    <w:rsid w:val="000D135E"/>
    <w:rsid w:val="000D1884"/>
    <w:rsid w:val="000D1D72"/>
    <w:rsid w:val="000D1D82"/>
    <w:rsid w:val="000D26A4"/>
    <w:rsid w:val="000D2760"/>
    <w:rsid w:val="000D28DD"/>
    <w:rsid w:val="000D2A11"/>
    <w:rsid w:val="000D2A70"/>
    <w:rsid w:val="000D2AE5"/>
    <w:rsid w:val="000D3528"/>
    <w:rsid w:val="000D3B6A"/>
    <w:rsid w:val="000D3D14"/>
    <w:rsid w:val="000D3E65"/>
    <w:rsid w:val="000D4090"/>
    <w:rsid w:val="000D4156"/>
    <w:rsid w:val="000D4594"/>
    <w:rsid w:val="000D47AB"/>
    <w:rsid w:val="000D4B19"/>
    <w:rsid w:val="000D4B6A"/>
    <w:rsid w:val="000D4E9F"/>
    <w:rsid w:val="000D503A"/>
    <w:rsid w:val="000D5614"/>
    <w:rsid w:val="000D56D4"/>
    <w:rsid w:val="000D5E96"/>
    <w:rsid w:val="000D6114"/>
    <w:rsid w:val="000D6490"/>
    <w:rsid w:val="000D66E1"/>
    <w:rsid w:val="000D66F0"/>
    <w:rsid w:val="000D6CB8"/>
    <w:rsid w:val="000D7044"/>
    <w:rsid w:val="000D76B7"/>
    <w:rsid w:val="000D76F9"/>
    <w:rsid w:val="000D777E"/>
    <w:rsid w:val="000D7913"/>
    <w:rsid w:val="000D7950"/>
    <w:rsid w:val="000D7960"/>
    <w:rsid w:val="000D79F3"/>
    <w:rsid w:val="000D7B93"/>
    <w:rsid w:val="000E02FF"/>
    <w:rsid w:val="000E04AE"/>
    <w:rsid w:val="000E0F82"/>
    <w:rsid w:val="000E1092"/>
    <w:rsid w:val="000E13FF"/>
    <w:rsid w:val="000E148C"/>
    <w:rsid w:val="000E1A8E"/>
    <w:rsid w:val="000E1BA7"/>
    <w:rsid w:val="000E1CE2"/>
    <w:rsid w:val="000E291B"/>
    <w:rsid w:val="000E2E82"/>
    <w:rsid w:val="000E3138"/>
    <w:rsid w:val="000E3227"/>
    <w:rsid w:val="000E347B"/>
    <w:rsid w:val="000E384F"/>
    <w:rsid w:val="000E38AC"/>
    <w:rsid w:val="000E39FB"/>
    <w:rsid w:val="000E40F5"/>
    <w:rsid w:val="000E44D4"/>
    <w:rsid w:val="000E4579"/>
    <w:rsid w:val="000E4677"/>
    <w:rsid w:val="000E48B6"/>
    <w:rsid w:val="000E51CC"/>
    <w:rsid w:val="000E53C8"/>
    <w:rsid w:val="000E5664"/>
    <w:rsid w:val="000E57A0"/>
    <w:rsid w:val="000E58CD"/>
    <w:rsid w:val="000E591B"/>
    <w:rsid w:val="000E5B7F"/>
    <w:rsid w:val="000E5BA8"/>
    <w:rsid w:val="000E625F"/>
    <w:rsid w:val="000E6513"/>
    <w:rsid w:val="000E65F9"/>
    <w:rsid w:val="000E6705"/>
    <w:rsid w:val="000E6B14"/>
    <w:rsid w:val="000E75EF"/>
    <w:rsid w:val="000E7A9C"/>
    <w:rsid w:val="000E7D3E"/>
    <w:rsid w:val="000E7F3C"/>
    <w:rsid w:val="000F01C7"/>
    <w:rsid w:val="000F0668"/>
    <w:rsid w:val="000F08A7"/>
    <w:rsid w:val="000F0AAF"/>
    <w:rsid w:val="000F0C10"/>
    <w:rsid w:val="000F0D42"/>
    <w:rsid w:val="000F0E7A"/>
    <w:rsid w:val="000F1979"/>
    <w:rsid w:val="000F1EFD"/>
    <w:rsid w:val="000F234D"/>
    <w:rsid w:val="000F2512"/>
    <w:rsid w:val="000F2800"/>
    <w:rsid w:val="000F2809"/>
    <w:rsid w:val="000F3247"/>
    <w:rsid w:val="000F3522"/>
    <w:rsid w:val="000F3752"/>
    <w:rsid w:val="000F3A6F"/>
    <w:rsid w:val="000F4169"/>
    <w:rsid w:val="000F468E"/>
    <w:rsid w:val="000F4838"/>
    <w:rsid w:val="000F48F0"/>
    <w:rsid w:val="000F495A"/>
    <w:rsid w:val="000F4AD0"/>
    <w:rsid w:val="000F4D85"/>
    <w:rsid w:val="000F5187"/>
    <w:rsid w:val="000F572F"/>
    <w:rsid w:val="000F58E0"/>
    <w:rsid w:val="000F5A94"/>
    <w:rsid w:val="000F5E8D"/>
    <w:rsid w:val="000F6173"/>
    <w:rsid w:val="000F66A2"/>
    <w:rsid w:val="000F6A70"/>
    <w:rsid w:val="000F6DDB"/>
    <w:rsid w:val="000F7468"/>
    <w:rsid w:val="000F7644"/>
    <w:rsid w:val="000F7705"/>
    <w:rsid w:val="000F7708"/>
    <w:rsid w:val="000F77F9"/>
    <w:rsid w:val="000F79C4"/>
    <w:rsid w:val="000F7F34"/>
    <w:rsid w:val="000F7F71"/>
    <w:rsid w:val="001001D9"/>
    <w:rsid w:val="0010029E"/>
    <w:rsid w:val="00100D65"/>
    <w:rsid w:val="00101699"/>
    <w:rsid w:val="00101785"/>
    <w:rsid w:val="0010185C"/>
    <w:rsid w:val="00101D2B"/>
    <w:rsid w:val="00101EBA"/>
    <w:rsid w:val="00101FFB"/>
    <w:rsid w:val="001020DC"/>
    <w:rsid w:val="00102539"/>
    <w:rsid w:val="00102993"/>
    <w:rsid w:val="00103034"/>
    <w:rsid w:val="001033D5"/>
    <w:rsid w:val="00103461"/>
    <w:rsid w:val="00103772"/>
    <w:rsid w:val="0010379F"/>
    <w:rsid w:val="00103979"/>
    <w:rsid w:val="00103993"/>
    <w:rsid w:val="001040D7"/>
    <w:rsid w:val="00105170"/>
    <w:rsid w:val="0010556A"/>
    <w:rsid w:val="001055C6"/>
    <w:rsid w:val="00105816"/>
    <w:rsid w:val="00105838"/>
    <w:rsid w:val="0010586B"/>
    <w:rsid w:val="00105EA0"/>
    <w:rsid w:val="00106A22"/>
    <w:rsid w:val="00106ADE"/>
    <w:rsid w:val="00106D30"/>
    <w:rsid w:val="00107295"/>
    <w:rsid w:val="001072BF"/>
    <w:rsid w:val="00107734"/>
    <w:rsid w:val="001078E6"/>
    <w:rsid w:val="00107918"/>
    <w:rsid w:val="00107A4A"/>
    <w:rsid w:val="00110158"/>
    <w:rsid w:val="0011020B"/>
    <w:rsid w:val="00110708"/>
    <w:rsid w:val="0011091C"/>
    <w:rsid w:val="00110984"/>
    <w:rsid w:val="001109D2"/>
    <w:rsid w:val="00110FD1"/>
    <w:rsid w:val="0011117A"/>
    <w:rsid w:val="001114B1"/>
    <w:rsid w:val="0011152D"/>
    <w:rsid w:val="001118F5"/>
    <w:rsid w:val="00112212"/>
    <w:rsid w:val="00112713"/>
    <w:rsid w:val="00112759"/>
    <w:rsid w:val="00112A3F"/>
    <w:rsid w:val="00112CC7"/>
    <w:rsid w:val="00113249"/>
    <w:rsid w:val="0011381B"/>
    <w:rsid w:val="0011393A"/>
    <w:rsid w:val="00113C5A"/>
    <w:rsid w:val="0011426E"/>
    <w:rsid w:val="00114625"/>
    <w:rsid w:val="00114663"/>
    <w:rsid w:val="00114688"/>
    <w:rsid w:val="0011608E"/>
    <w:rsid w:val="0011630E"/>
    <w:rsid w:val="00116494"/>
    <w:rsid w:val="00116C6A"/>
    <w:rsid w:val="00116CE1"/>
    <w:rsid w:val="00116D19"/>
    <w:rsid w:val="00117241"/>
    <w:rsid w:val="001175D8"/>
    <w:rsid w:val="001179F3"/>
    <w:rsid w:val="00117B65"/>
    <w:rsid w:val="00117F65"/>
    <w:rsid w:val="00117FA1"/>
    <w:rsid w:val="00120091"/>
    <w:rsid w:val="00120253"/>
    <w:rsid w:val="00120701"/>
    <w:rsid w:val="00120D07"/>
    <w:rsid w:val="0012112A"/>
    <w:rsid w:val="00121211"/>
    <w:rsid w:val="0012148E"/>
    <w:rsid w:val="001214C9"/>
    <w:rsid w:val="001217EE"/>
    <w:rsid w:val="00121A93"/>
    <w:rsid w:val="00121F15"/>
    <w:rsid w:val="00122DB6"/>
    <w:rsid w:val="00123260"/>
    <w:rsid w:val="0012344C"/>
    <w:rsid w:val="001234A8"/>
    <w:rsid w:val="00123763"/>
    <w:rsid w:val="00123F0A"/>
    <w:rsid w:val="00123F1E"/>
    <w:rsid w:val="00124232"/>
    <w:rsid w:val="0012429E"/>
    <w:rsid w:val="001244A3"/>
    <w:rsid w:val="0012492D"/>
    <w:rsid w:val="00124AEA"/>
    <w:rsid w:val="00125223"/>
    <w:rsid w:val="00125846"/>
    <w:rsid w:val="00125FB6"/>
    <w:rsid w:val="00126040"/>
    <w:rsid w:val="001261CA"/>
    <w:rsid w:val="001267A2"/>
    <w:rsid w:val="00126924"/>
    <w:rsid w:val="00126B99"/>
    <w:rsid w:val="00126BAF"/>
    <w:rsid w:val="00127BCA"/>
    <w:rsid w:val="00127E66"/>
    <w:rsid w:val="0013007F"/>
    <w:rsid w:val="001303B2"/>
    <w:rsid w:val="00130756"/>
    <w:rsid w:val="00130B25"/>
    <w:rsid w:val="00130CC9"/>
    <w:rsid w:val="00130F4B"/>
    <w:rsid w:val="00131028"/>
    <w:rsid w:val="0013154C"/>
    <w:rsid w:val="00131639"/>
    <w:rsid w:val="0013219D"/>
    <w:rsid w:val="0013258A"/>
    <w:rsid w:val="0013300E"/>
    <w:rsid w:val="00133ABE"/>
    <w:rsid w:val="001343A4"/>
    <w:rsid w:val="001348D4"/>
    <w:rsid w:val="00134A84"/>
    <w:rsid w:val="00135197"/>
    <w:rsid w:val="00135211"/>
    <w:rsid w:val="001352BF"/>
    <w:rsid w:val="001353BD"/>
    <w:rsid w:val="001354A4"/>
    <w:rsid w:val="001357AE"/>
    <w:rsid w:val="001359DB"/>
    <w:rsid w:val="00135E13"/>
    <w:rsid w:val="0013643A"/>
    <w:rsid w:val="00136FC4"/>
    <w:rsid w:val="00137235"/>
    <w:rsid w:val="001372EB"/>
    <w:rsid w:val="0013772D"/>
    <w:rsid w:val="001378A2"/>
    <w:rsid w:val="00137ED0"/>
    <w:rsid w:val="001404DD"/>
    <w:rsid w:val="001404F2"/>
    <w:rsid w:val="00140867"/>
    <w:rsid w:val="00140F43"/>
    <w:rsid w:val="00141296"/>
    <w:rsid w:val="001414FC"/>
    <w:rsid w:val="00141551"/>
    <w:rsid w:val="00141784"/>
    <w:rsid w:val="00141BB9"/>
    <w:rsid w:val="001420C3"/>
    <w:rsid w:val="00142256"/>
    <w:rsid w:val="00142607"/>
    <w:rsid w:val="001434CC"/>
    <w:rsid w:val="00143689"/>
    <w:rsid w:val="001436E3"/>
    <w:rsid w:val="00143850"/>
    <w:rsid w:val="0014397A"/>
    <w:rsid w:val="00143DFA"/>
    <w:rsid w:val="00144465"/>
    <w:rsid w:val="0014518F"/>
    <w:rsid w:val="001453D7"/>
    <w:rsid w:val="00145886"/>
    <w:rsid w:val="001458FB"/>
    <w:rsid w:val="00145D71"/>
    <w:rsid w:val="00145F8F"/>
    <w:rsid w:val="001462EA"/>
    <w:rsid w:val="00146659"/>
    <w:rsid w:val="00146829"/>
    <w:rsid w:val="00146D9E"/>
    <w:rsid w:val="00146E64"/>
    <w:rsid w:val="001472CA"/>
    <w:rsid w:val="00150991"/>
    <w:rsid w:val="00150EBE"/>
    <w:rsid w:val="00150FA9"/>
    <w:rsid w:val="00151705"/>
    <w:rsid w:val="0015191F"/>
    <w:rsid w:val="00151965"/>
    <w:rsid w:val="00151984"/>
    <w:rsid w:val="00151A52"/>
    <w:rsid w:val="00151BA4"/>
    <w:rsid w:val="00152156"/>
    <w:rsid w:val="001521FF"/>
    <w:rsid w:val="001522F2"/>
    <w:rsid w:val="00152361"/>
    <w:rsid w:val="00152743"/>
    <w:rsid w:val="001527B4"/>
    <w:rsid w:val="00152A29"/>
    <w:rsid w:val="00152BBB"/>
    <w:rsid w:val="00152C99"/>
    <w:rsid w:val="00152D6C"/>
    <w:rsid w:val="00152F98"/>
    <w:rsid w:val="00152FE5"/>
    <w:rsid w:val="001531F9"/>
    <w:rsid w:val="001537E5"/>
    <w:rsid w:val="00153867"/>
    <w:rsid w:val="001538F8"/>
    <w:rsid w:val="001541FC"/>
    <w:rsid w:val="001544F0"/>
    <w:rsid w:val="001544F2"/>
    <w:rsid w:val="0015453F"/>
    <w:rsid w:val="00154B11"/>
    <w:rsid w:val="00154C6A"/>
    <w:rsid w:val="00154D3E"/>
    <w:rsid w:val="00154E4B"/>
    <w:rsid w:val="00155011"/>
    <w:rsid w:val="001552DD"/>
    <w:rsid w:val="00155914"/>
    <w:rsid w:val="001559DB"/>
    <w:rsid w:val="00155BF2"/>
    <w:rsid w:val="00155CE4"/>
    <w:rsid w:val="00155F6D"/>
    <w:rsid w:val="00156673"/>
    <w:rsid w:val="00156D6F"/>
    <w:rsid w:val="0015778A"/>
    <w:rsid w:val="00157840"/>
    <w:rsid w:val="00157D67"/>
    <w:rsid w:val="00157F34"/>
    <w:rsid w:val="001606C6"/>
    <w:rsid w:val="001609DD"/>
    <w:rsid w:val="00160A7A"/>
    <w:rsid w:val="00160E02"/>
    <w:rsid w:val="00160E2F"/>
    <w:rsid w:val="00160E7F"/>
    <w:rsid w:val="00160F38"/>
    <w:rsid w:val="0016184A"/>
    <w:rsid w:val="0016197E"/>
    <w:rsid w:val="00161C7D"/>
    <w:rsid w:val="001622A0"/>
    <w:rsid w:val="001637A8"/>
    <w:rsid w:val="00163CEF"/>
    <w:rsid w:val="0016446F"/>
    <w:rsid w:val="00164525"/>
    <w:rsid w:val="001645CD"/>
    <w:rsid w:val="00165062"/>
    <w:rsid w:val="00165E08"/>
    <w:rsid w:val="00166067"/>
    <w:rsid w:val="0016626E"/>
    <w:rsid w:val="00166807"/>
    <w:rsid w:val="001669FD"/>
    <w:rsid w:val="00166D6D"/>
    <w:rsid w:val="00166E4C"/>
    <w:rsid w:val="0016766D"/>
    <w:rsid w:val="00167860"/>
    <w:rsid w:val="00167BEC"/>
    <w:rsid w:val="00167E04"/>
    <w:rsid w:val="00167EA8"/>
    <w:rsid w:val="00167F97"/>
    <w:rsid w:val="001701A5"/>
    <w:rsid w:val="00170212"/>
    <w:rsid w:val="001708A8"/>
    <w:rsid w:val="001709B7"/>
    <w:rsid w:val="00170CD6"/>
    <w:rsid w:val="00170D19"/>
    <w:rsid w:val="001712E2"/>
    <w:rsid w:val="0017189F"/>
    <w:rsid w:val="00171DEF"/>
    <w:rsid w:val="00171F8F"/>
    <w:rsid w:val="001721FE"/>
    <w:rsid w:val="001724F1"/>
    <w:rsid w:val="0017254C"/>
    <w:rsid w:val="0017266A"/>
    <w:rsid w:val="0017271C"/>
    <w:rsid w:val="001728F3"/>
    <w:rsid w:val="00172DC8"/>
    <w:rsid w:val="001733C1"/>
    <w:rsid w:val="0017344B"/>
    <w:rsid w:val="0017364F"/>
    <w:rsid w:val="0017393E"/>
    <w:rsid w:val="0017394B"/>
    <w:rsid w:val="00173987"/>
    <w:rsid w:val="00173CC6"/>
    <w:rsid w:val="00173E43"/>
    <w:rsid w:val="0017403D"/>
    <w:rsid w:val="001741F0"/>
    <w:rsid w:val="00174424"/>
    <w:rsid w:val="00174987"/>
    <w:rsid w:val="00174AB9"/>
    <w:rsid w:val="00175060"/>
    <w:rsid w:val="00175285"/>
    <w:rsid w:val="00175445"/>
    <w:rsid w:val="00175952"/>
    <w:rsid w:val="001762E4"/>
    <w:rsid w:val="00176FB3"/>
    <w:rsid w:val="001771EA"/>
    <w:rsid w:val="001776C4"/>
    <w:rsid w:val="00177B46"/>
    <w:rsid w:val="00177B4E"/>
    <w:rsid w:val="00177F95"/>
    <w:rsid w:val="001800DB"/>
    <w:rsid w:val="0018060A"/>
    <w:rsid w:val="00180928"/>
    <w:rsid w:val="00180DCB"/>
    <w:rsid w:val="00181608"/>
    <w:rsid w:val="001817E7"/>
    <w:rsid w:val="00181895"/>
    <w:rsid w:val="0018222A"/>
    <w:rsid w:val="001826E9"/>
    <w:rsid w:val="001827D7"/>
    <w:rsid w:val="0018280A"/>
    <w:rsid w:val="00182FAF"/>
    <w:rsid w:val="0018355C"/>
    <w:rsid w:val="001838EA"/>
    <w:rsid w:val="001839D1"/>
    <w:rsid w:val="00183BA9"/>
    <w:rsid w:val="00183DAE"/>
    <w:rsid w:val="0018453E"/>
    <w:rsid w:val="0018460B"/>
    <w:rsid w:val="00184C4C"/>
    <w:rsid w:val="00184E5E"/>
    <w:rsid w:val="00185100"/>
    <w:rsid w:val="00185845"/>
    <w:rsid w:val="00185EF9"/>
    <w:rsid w:val="00186136"/>
    <w:rsid w:val="00186428"/>
    <w:rsid w:val="00186DC4"/>
    <w:rsid w:val="001870A5"/>
    <w:rsid w:val="001871AB"/>
    <w:rsid w:val="0018754D"/>
    <w:rsid w:val="00187935"/>
    <w:rsid w:val="0018795D"/>
    <w:rsid w:val="00187E33"/>
    <w:rsid w:val="00190071"/>
    <w:rsid w:val="0019022E"/>
    <w:rsid w:val="001905BE"/>
    <w:rsid w:val="001907F6"/>
    <w:rsid w:val="00191406"/>
    <w:rsid w:val="00191A24"/>
    <w:rsid w:val="00191C85"/>
    <w:rsid w:val="00191EC4"/>
    <w:rsid w:val="0019221A"/>
    <w:rsid w:val="00192ED3"/>
    <w:rsid w:val="00193138"/>
    <w:rsid w:val="0019322D"/>
    <w:rsid w:val="00193284"/>
    <w:rsid w:val="00193C98"/>
    <w:rsid w:val="00193EED"/>
    <w:rsid w:val="001942DE"/>
    <w:rsid w:val="001945AE"/>
    <w:rsid w:val="00194638"/>
    <w:rsid w:val="00194C6A"/>
    <w:rsid w:val="00194DDD"/>
    <w:rsid w:val="00194EE9"/>
    <w:rsid w:val="001950EC"/>
    <w:rsid w:val="00195574"/>
    <w:rsid w:val="00195AF6"/>
    <w:rsid w:val="00195B9E"/>
    <w:rsid w:val="00195F7E"/>
    <w:rsid w:val="001961B6"/>
    <w:rsid w:val="001961FD"/>
    <w:rsid w:val="00196483"/>
    <w:rsid w:val="00196BC5"/>
    <w:rsid w:val="0019729E"/>
    <w:rsid w:val="001972E8"/>
    <w:rsid w:val="00197760"/>
    <w:rsid w:val="00197894"/>
    <w:rsid w:val="0019798D"/>
    <w:rsid w:val="00197B0B"/>
    <w:rsid w:val="00197B53"/>
    <w:rsid w:val="00197B8D"/>
    <w:rsid w:val="001A00F8"/>
    <w:rsid w:val="001A038B"/>
    <w:rsid w:val="001A07B6"/>
    <w:rsid w:val="001A0C8C"/>
    <w:rsid w:val="001A16A2"/>
    <w:rsid w:val="001A1C55"/>
    <w:rsid w:val="001A1D3F"/>
    <w:rsid w:val="001A1D9A"/>
    <w:rsid w:val="001A2165"/>
    <w:rsid w:val="001A21BE"/>
    <w:rsid w:val="001A2285"/>
    <w:rsid w:val="001A2683"/>
    <w:rsid w:val="001A289C"/>
    <w:rsid w:val="001A307C"/>
    <w:rsid w:val="001A30B4"/>
    <w:rsid w:val="001A367D"/>
    <w:rsid w:val="001A3690"/>
    <w:rsid w:val="001A3A01"/>
    <w:rsid w:val="001A3C22"/>
    <w:rsid w:val="001A3D3E"/>
    <w:rsid w:val="001A3FCD"/>
    <w:rsid w:val="001A442F"/>
    <w:rsid w:val="001A479E"/>
    <w:rsid w:val="001A52BC"/>
    <w:rsid w:val="001A55B3"/>
    <w:rsid w:val="001A5640"/>
    <w:rsid w:val="001A58A4"/>
    <w:rsid w:val="001A5AF2"/>
    <w:rsid w:val="001A5BBB"/>
    <w:rsid w:val="001A5D91"/>
    <w:rsid w:val="001A5FA4"/>
    <w:rsid w:val="001A615C"/>
    <w:rsid w:val="001A6943"/>
    <w:rsid w:val="001A6EA4"/>
    <w:rsid w:val="001A71B2"/>
    <w:rsid w:val="001A7233"/>
    <w:rsid w:val="001A72DD"/>
    <w:rsid w:val="001A7AA4"/>
    <w:rsid w:val="001A7E15"/>
    <w:rsid w:val="001A7E24"/>
    <w:rsid w:val="001B097C"/>
    <w:rsid w:val="001B1028"/>
    <w:rsid w:val="001B10E5"/>
    <w:rsid w:val="001B1297"/>
    <w:rsid w:val="001B14EF"/>
    <w:rsid w:val="001B1571"/>
    <w:rsid w:val="001B1656"/>
    <w:rsid w:val="001B17F8"/>
    <w:rsid w:val="001B18F0"/>
    <w:rsid w:val="001B1BFB"/>
    <w:rsid w:val="001B1F53"/>
    <w:rsid w:val="001B22CE"/>
    <w:rsid w:val="001B237F"/>
    <w:rsid w:val="001B23F9"/>
    <w:rsid w:val="001B243A"/>
    <w:rsid w:val="001B296C"/>
    <w:rsid w:val="001B29C6"/>
    <w:rsid w:val="001B2D7A"/>
    <w:rsid w:val="001B2FDB"/>
    <w:rsid w:val="001B3302"/>
    <w:rsid w:val="001B35E3"/>
    <w:rsid w:val="001B37AE"/>
    <w:rsid w:val="001B39A1"/>
    <w:rsid w:val="001B3EAD"/>
    <w:rsid w:val="001B47BB"/>
    <w:rsid w:val="001B4B9E"/>
    <w:rsid w:val="001B4B9F"/>
    <w:rsid w:val="001B4CFD"/>
    <w:rsid w:val="001B4EA9"/>
    <w:rsid w:val="001B4FEB"/>
    <w:rsid w:val="001B5071"/>
    <w:rsid w:val="001B51D7"/>
    <w:rsid w:val="001B5C39"/>
    <w:rsid w:val="001B61FF"/>
    <w:rsid w:val="001B62F2"/>
    <w:rsid w:val="001B6353"/>
    <w:rsid w:val="001B64AA"/>
    <w:rsid w:val="001B6761"/>
    <w:rsid w:val="001B67BB"/>
    <w:rsid w:val="001B6931"/>
    <w:rsid w:val="001B697C"/>
    <w:rsid w:val="001B6982"/>
    <w:rsid w:val="001B71BF"/>
    <w:rsid w:val="001B741B"/>
    <w:rsid w:val="001B750C"/>
    <w:rsid w:val="001B76BB"/>
    <w:rsid w:val="001B7A1C"/>
    <w:rsid w:val="001B7BFA"/>
    <w:rsid w:val="001C014A"/>
    <w:rsid w:val="001C019B"/>
    <w:rsid w:val="001C03CD"/>
    <w:rsid w:val="001C04A1"/>
    <w:rsid w:val="001C04AE"/>
    <w:rsid w:val="001C0B5B"/>
    <w:rsid w:val="001C0CF3"/>
    <w:rsid w:val="001C0EFC"/>
    <w:rsid w:val="001C12B5"/>
    <w:rsid w:val="001C17C3"/>
    <w:rsid w:val="001C1879"/>
    <w:rsid w:val="001C1E47"/>
    <w:rsid w:val="001C1EAB"/>
    <w:rsid w:val="001C23C5"/>
    <w:rsid w:val="001C2FA8"/>
    <w:rsid w:val="001C301B"/>
    <w:rsid w:val="001C322A"/>
    <w:rsid w:val="001C3366"/>
    <w:rsid w:val="001C356C"/>
    <w:rsid w:val="001C38A1"/>
    <w:rsid w:val="001C3CCE"/>
    <w:rsid w:val="001C4188"/>
    <w:rsid w:val="001C4BF4"/>
    <w:rsid w:val="001C5695"/>
    <w:rsid w:val="001C57FC"/>
    <w:rsid w:val="001C5933"/>
    <w:rsid w:val="001C596D"/>
    <w:rsid w:val="001C5B31"/>
    <w:rsid w:val="001C5FA8"/>
    <w:rsid w:val="001C601E"/>
    <w:rsid w:val="001C6419"/>
    <w:rsid w:val="001C660E"/>
    <w:rsid w:val="001C678F"/>
    <w:rsid w:val="001C6792"/>
    <w:rsid w:val="001C6996"/>
    <w:rsid w:val="001C6F64"/>
    <w:rsid w:val="001C76AA"/>
    <w:rsid w:val="001C76DB"/>
    <w:rsid w:val="001C7CA8"/>
    <w:rsid w:val="001C7D0A"/>
    <w:rsid w:val="001C7D2F"/>
    <w:rsid w:val="001D06B4"/>
    <w:rsid w:val="001D0B9B"/>
    <w:rsid w:val="001D0BD6"/>
    <w:rsid w:val="001D0D87"/>
    <w:rsid w:val="001D0FFB"/>
    <w:rsid w:val="001D10AE"/>
    <w:rsid w:val="001D12B6"/>
    <w:rsid w:val="001D13F3"/>
    <w:rsid w:val="001D1447"/>
    <w:rsid w:val="001D15A2"/>
    <w:rsid w:val="001D1A3B"/>
    <w:rsid w:val="001D1B00"/>
    <w:rsid w:val="001D21F8"/>
    <w:rsid w:val="001D23D5"/>
    <w:rsid w:val="001D2B01"/>
    <w:rsid w:val="001D2C94"/>
    <w:rsid w:val="001D2F32"/>
    <w:rsid w:val="001D3609"/>
    <w:rsid w:val="001D3632"/>
    <w:rsid w:val="001D4604"/>
    <w:rsid w:val="001D49B9"/>
    <w:rsid w:val="001D49DF"/>
    <w:rsid w:val="001D527A"/>
    <w:rsid w:val="001D5300"/>
    <w:rsid w:val="001D5DE6"/>
    <w:rsid w:val="001D60EC"/>
    <w:rsid w:val="001D6106"/>
    <w:rsid w:val="001D624B"/>
    <w:rsid w:val="001D633F"/>
    <w:rsid w:val="001D671D"/>
    <w:rsid w:val="001D67B1"/>
    <w:rsid w:val="001D68D0"/>
    <w:rsid w:val="001D6F45"/>
    <w:rsid w:val="001D77CB"/>
    <w:rsid w:val="001D7814"/>
    <w:rsid w:val="001D79DF"/>
    <w:rsid w:val="001D7AB7"/>
    <w:rsid w:val="001D7BD5"/>
    <w:rsid w:val="001D7DA4"/>
    <w:rsid w:val="001E01DA"/>
    <w:rsid w:val="001E02D9"/>
    <w:rsid w:val="001E06F2"/>
    <w:rsid w:val="001E1177"/>
    <w:rsid w:val="001E158E"/>
    <w:rsid w:val="001E15F2"/>
    <w:rsid w:val="001E1625"/>
    <w:rsid w:val="001E17ED"/>
    <w:rsid w:val="001E1BF7"/>
    <w:rsid w:val="001E21C7"/>
    <w:rsid w:val="001E24D5"/>
    <w:rsid w:val="001E28A0"/>
    <w:rsid w:val="001E28A5"/>
    <w:rsid w:val="001E2C57"/>
    <w:rsid w:val="001E2CA7"/>
    <w:rsid w:val="001E31EF"/>
    <w:rsid w:val="001E328F"/>
    <w:rsid w:val="001E3593"/>
    <w:rsid w:val="001E360B"/>
    <w:rsid w:val="001E39E3"/>
    <w:rsid w:val="001E3EB6"/>
    <w:rsid w:val="001E40AB"/>
    <w:rsid w:val="001E4975"/>
    <w:rsid w:val="001E4C23"/>
    <w:rsid w:val="001E4CE9"/>
    <w:rsid w:val="001E5B3E"/>
    <w:rsid w:val="001E5D6F"/>
    <w:rsid w:val="001E5E81"/>
    <w:rsid w:val="001E687C"/>
    <w:rsid w:val="001E6A4B"/>
    <w:rsid w:val="001E6D83"/>
    <w:rsid w:val="001E6F46"/>
    <w:rsid w:val="001E7169"/>
    <w:rsid w:val="001E768C"/>
    <w:rsid w:val="001E770E"/>
    <w:rsid w:val="001E7890"/>
    <w:rsid w:val="001E7E6D"/>
    <w:rsid w:val="001F03EC"/>
    <w:rsid w:val="001F05DA"/>
    <w:rsid w:val="001F0BDE"/>
    <w:rsid w:val="001F0E3A"/>
    <w:rsid w:val="001F144E"/>
    <w:rsid w:val="001F14CD"/>
    <w:rsid w:val="001F19AC"/>
    <w:rsid w:val="001F1EE4"/>
    <w:rsid w:val="001F211D"/>
    <w:rsid w:val="001F21C9"/>
    <w:rsid w:val="001F22D3"/>
    <w:rsid w:val="001F2414"/>
    <w:rsid w:val="001F2789"/>
    <w:rsid w:val="001F2DCC"/>
    <w:rsid w:val="001F2E78"/>
    <w:rsid w:val="001F3494"/>
    <w:rsid w:val="001F3886"/>
    <w:rsid w:val="001F38B5"/>
    <w:rsid w:val="001F3D18"/>
    <w:rsid w:val="001F4018"/>
    <w:rsid w:val="001F41B1"/>
    <w:rsid w:val="001F42F0"/>
    <w:rsid w:val="001F4425"/>
    <w:rsid w:val="001F44B3"/>
    <w:rsid w:val="001F4B8F"/>
    <w:rsid w:val="001F50EC"/>
    <w:rsid w:val="001F5B4F"/>
    <w:rsid w:val="001F6190"/>
    <w:rsid w:val="001F649F"/>
    <w:rsid w:val="001F6BB5"/>
    <w:rsid w:val="001F6F1A"/>
    <w:rsid w:val="001F71AC"/>
    <w:rsid w:val="001F75F3"/>
    <w:rsid w:val="002000CB"/>
    <w:rsid w:val="00200194"/>
    <w:rsid w:val="002002B4"/>
    <w:rsid w:val="00200AF4"/>
    <w:rsid w:val="0020121B"/>
    <w:rsid w:val="0020128E"/>
    <w:rsid w:val="0020156C"/>
    <w:rsid w:val="0020161B"/>
    <w:rsid w:val="00201B2C"/>
    <w:rsid w:val="0020321E"/>
    <w:rsid w:val="0020393A"/>
    <w:rsid w:val="002043BC"/>
    <w:rsid w:val="002049D0"/>
    <w:rsid w:val="00204BB1"/>
    <w:rsid w:val="00204D5C"/>
    <w:rsid w:val="00204EAC"/>
    <w:rsid w:val="00205132"/>
    <w:rsid w:val="0020572F"/>
    <w:rsid w:val="00205795"/>
    <w:rsid w:val="00205867"/>
    <w:rsid w:val="00205C2C"/>
    <w:rsid w:val="0020601D"/>
    <w:rsid w:val="0020625C"/>
    <w:rsid w:val="00206266"/>
    <w:rsid w:val="0020650D"/>
    <w:rsid w:val="0020651A"/>
    <w:rsid w:val="00207199"/>
    <w:rsid w:val="0020733A"/>
    <w:rsid w:val="002074B6"/>
    <w:rsid w:val="00207538"/>
    <w:rsid w:val="00207FC9"/>
    <w:rsid w:val="002100F7"/>
    <w:rsid w:val="00210850"/>
    <w:rsid w:val="002109EF"/>
    <w:rsid w:val="00210FFF"/>
    <w:rsid w:val="002110EB"/>
    <w:rsid w:val="00211158"/>
    <w:rsid w:val="00211A95"/>
    <w:rsid w:val="00211AE7"/>
    <w:rsid w:val="0021256C"/>
    <w:rsid w:val="00212654"/>
    <w:rsid w:val="002126C9"/>
    <w:rsid w:val="00212C94"/>
    <w:rsid w:val="0021380F"/>
    <w:rsid w:val="00213935"/>
    <w:rsid w:val="0021442D"/>
    <w:rsid w:val="002147C6"/>
    <w:rsid w:val="00214B14"/>
    <w:rsid w:val="00214C83"/>
    <w:rsid w:val="00215234"/>
    <w:rsid w:val="002156B7"/>
    <w:rsid w:val="00215D20"/>
    <w:rsid w:val="00216093"/>
    <w:rsid w:val="00216170"/>
    <w:rsid w:val="00216786"/>
    <w:rsid w:val="0021687C"/>
    <w:rsid w:val="00216AC1"/>
    <w:rsid w:val="00217179"/>
    <w:rsid w:val="002172BE"/>
    <w:rsid w:val="00217419"/>
    <w:rsid w:val="00220135"/>
    <w:rsid w:val="00220576"/>
    <w:rsid w:val="0022096C"/>
    <w:rsid w:val="002213A2"/>
    <w:rsid w:val="00221821"/>
    <w:rsid w:val="00221E51"/>
    <w:rsid w:val="00221EC8"/>
    <w:rsid w:val="00221F26"/>
    <w:rsid w:val="00222161"/>
    <w:rsid w:val="002227E8"/>
    <w:rsid w:val="002227EA"/>
    <w:rsid w:val="0022281B"/>
    <w:rsid w:val="00222A33"/>
    <w:rsid w:val="00222E21"/>
    <w:rsid w:val="00223089"/>
    <w:rsid w:val="002230F4"/>
    <w:rsid w:val="002235EA"/>
    <w:rsid w:val="00223878"/>
    <w:rsid w:val="002239D9"/>
    <w:rsid w:val="002246A7"/>
    <w:rsid w:val="00224899"/>
    <w:rsid w:val="00224977"/>
    <w:rsid w:val="00224AD5"/>
    <w:rsid w:val="00224DCC"/>
    <w:rsid w:val="00225171"/>
    <w:rsid w:val="00225672"/>
    <w:rsid w:val="0022568E"/>
    <w:rsid w:val="00225DFD"/>
    <w:rsid w:val="00225F05"/>
    <w:rsid w:val="00225F9E"/>
    <w:rsid w:val="00226052"/>
    <w:rsid w:val="0022688E"/>
    <w:rsid w:val="00226ACF"/>
    <w:rsid w:val="00226B0F"/>
    <w:rsid w:val="00227117"/>
    <w:rsid w:val="002272FC"/>
    <w:rsid w:val="002276E4"/>
    <w:rsid w:val="002279CA"/>
    <w:rsid w:val="00227F45"/>
    <w:rsid w:val="00227F7E"/>
    <w:rsid w:val="00230029"/>
    <w:rsid w:val="0023037B"/>
    <w:rsid w:val="002306A0"/>
    <w:rsid w:val="0023176E"/>
    <w:rsid w:val="00231939"/>
    <w:rsid w:val="00231AE5"/>
    <w:rsid w:val="0023209C"/>
    <w:rsid w:val="00232725"/>
    <w:rsid w:val="002327FA"/>
    <w:rsid w:val="00232822"/>
    <w:rsid w:val="00232856"/>
    <w:rsid w:val="00232A37"/>
    <w:rsid w:val="002330E1"/>
    <w:rsid w:val="0023315F"/>
    <w:rsid w:val="0023399D"/>
    <w:rsid w:val="00234093"/>
    <w:rsid w:val="002345D5"/>
    <w:rsid w:val="00234CC9"/>
    <w:rsid w:val="00234E8F"/>
    <w:rsid w:val="00234F72"/>
    <w:rsid w:val="002353D5"/>
    <w:rsid w:val="002355B1"/>
    <w:rsid w:val="00235832"/>
    <w:rsid w:val="00235D70"/>
    <w:rsid w:val="00236344"/>
    <w:rsid w:val="00236548"/>
    <w:rsid w:val="002365E2"/>
    <w:rsid w:val="002368B1"/>
    <w:rsid w:val="002369A2"/>
    <w:rsid w:val="00236A86"/>
    <w:rsid w:val="00236C16"/>
    <w:rsid w:val="00236F52"/>
    <w:rsid w:val="002373CC"/>
    <w:rsid w:val="002373DD"/>
    <w:rsid w:val="0023763E"/>
    <w:rsid w:val="002377C1"/>
    <w:rsid w:val="002377C5"/>
    <w:rsid w:val="00237F40"/>
    <w:rsid w:val="00240328"/>
    <w:rsid w:val="002408CB"/>
    <w:rsid w:val="002408D5"/>
    <w:rsid w:val="00240B50"/>
    <w:rsid w:val="00240BA8"/>
    <w:rsid w:val="00240EE2"/>
    <w:rsid w:val="00241815"/>
    <w:rsid w:val="002418E7"/>
    <w:rsid w:val="00241C89"/>
    <w:rsid w:val="00241E12"/>
    <w:rsid w:val="0024213B"/>
    <w:rsid w:val="0024225B"/>
    <w:rsid w:val="00242292"/>
    <w:rsid w:val="002422DC"/>
    <w:rsid w:val="00242665"/>
    <w:rsid w:val="00242AF3"/>
    <w:rsid w:val="002430C7"/>
    <w:rsid w:val="00243240"/>
    <w:rsid w:val="0024335C"/>
    <w:rsid w:val="002435F6"/>
    <w:rsid w:val="002437DE"/>
    <w:rsid w:val="002438D6"/>
    <w:rsid w:val="00244007"/>
    <w:rsid w:val="0024413A"/>
    <w:rsid w:val="00244854"/>
    <w:rsid w:val="00244AD8"/>
    <w:rsid w:val="00244EAD"/>
    <w:rsid w:val="00245360"/>
    <w:rsid w:val="002454F1"/>
    <w:rsid w:val="00245677"/>
    <w:rsid w:val="00245A02"/>
    <w:rsid w:val="00246174"/>
    <w:rsid w:val="002462E2"/>
    <w:rsid w:val="00246886"/>
    <w:rsid w:val="00246AF8"/>
    <w:rsid w:val="00246B47"/>
    <w:rsid w:val="00246DCB"/>
    <w:rsid w:val="00247272"/>
    <w:rsid w:val="0024796E"/>
    <w:rsid w:val="00250368"/>
    <w:rsid w:val="00250593"/>
    <w:rsid w:val="00251014"/>
    <w:rsid w:val="0025141A"/>
    <w:rsid w:val="00251709"/>
    <w:rsid w:val="00251756"/>
    <w:rsid w:val="00251B42"/>
    <w:rsid w:val="00252004"/>
    <w:rsid w:val="00252145"/>
    <w:rsid w:val="00252350"/>
    <w:rsid w:val="0025235A"/>
    <w:rsid w:val="002523E3"/>
    <w:rsid w:val="002523F9"/>
    <w:rsid w:val="002525B1"/>
    <w:rsid w:val="0025381B"/>
    <w:rsid w:val="00253DAB"/>
    <w:rsid w:val="00253DD2"/>
    <w:rsid w:val="002540C1"/>
    <w:rsid w:val="0025499E"/>
    <w:rsid w:val="00254C13"/>
    <w:rsid w:val="002554BA"/>
    <w:rsid w:val="0025590B"/>
    <w:rsid w:val="00255991"/>
    <w:rsid w:val="002559A1"/>
    <w:rsid w:val="00255C5E"/>
    <w:rsid w:val="00255DD5"/>
    <w:rsid w:val="00256021"/>
    <w:rsid w:val="00256226"/>
    <w:rsid w:val="002563CD"/>
    <w:rsid w:val="0025640D"/>
    <w:rsid w:val="002565DD"/>
    <w:rsid w:val="002567CB"/>
    <w:rsid w:val="00256952"/>
    <w:rsid w:val="00257142"/>
    <w:rsid w:val="002571BC"/>
    <w:rsid w:val="002574F1"/>
    <w:rsid w:val="0025783F"/>
    <w:rsid w:val="00257BD7"/>
    <w:rsid w:val="00257E64"/>
    <w:rsid w:val="0026044D"/>
    <w:rsid w:val="00260940"/>
    <w:rsid w:val="00260DEE"/>
    <w:rsid w:val="00260EFB"/>
    <w:rsid w:val="00261427"/>
    <w:rsid w:val="00261550"/>
    <w:rsid w:val="00261802"/>
    <w:rsid w:val="00261AA3"/>
    <w:rsid w:val="00261D83"/>
    <w:rsid w:val="0026203F"/>
    <w:rsid w:val="002620C8"/>
    <w:rsid w:val="002620D2"/>
    <w:rsid w:val="0026280B"/>
    <w:rsid w:val="00262BAD"/>
    <w:rsid w:val="00262D82"/>
    <w:rsid w:val="00262DCD"/>
    <w:rsid w:val="00263061"/>
    <w:rsid w:val="00263169"/>
    <w:rsid w:val="00263623"/>
    <w:rsid w:val="0026367B"/>
    <w:rsid w:val="00263868"/>
    <w:rsid w:val="00264083"/>
    <w:rsid w:val="00264161"/>
    <w:rsid w:val="00264732"/>
    <w:rsid w:val="00264AC1"/>
    <w:rsid w:val="00264AF0"/>
    <w:rsid w:val="00264BE1"/>
    <w:rsid w:val="00265258"/>
    <w:rsid w:val="0026532A"/>
    <w:rsid w:val="002655AF"/>
    <w:rsid w:val="0026572F"/>
    <w:rsid w:val="002658BD"/>
    <w:rsid w:val="002658E6"/>
    <w:rsid w:val="00265B79"/>
    <w:rsid w:val="002661F7"/>
    <w:rsid w:val="00266D7E"/>
    <w:rsid w:val="00266DC2"/>
    <w:rsid w:val="00267433"/>
    <w:rsid w:val="00267683"/>
    <w:rsid w:val="002677C4"/>
    <w:rsid w:val="00267D03"/>
    <w:rsid w:val="00270444"/>
    <w:rsid w:val="0027068C"/>
    <w:rsid w:val="002709CF"/>
    <w:rsid w:val="00270BC5"/>
    <w:rsid w:val="002712F5"/>
    <w:rsid w:val="00271979"/>
    <w:rsid w:val="00271CC9"/>
    <w:rsid w:val="00271DDE"/>
    <w:rsid w:val="00271F96"/>
    <w:rsid w:val="00272CF6"/>
    <w:rsid w:val="00273023"/>
    <w:rsid w:val="00273760"/>
    <w:rsid w:val="00273B72"/>
    <w:rsid w:val="00273BB3"/>
    <w:rsid w:val="00273EED"/>
    <w:rsid w:val="00274266"/>
    <w:rsid w:val="00274D74"/>
    <w:rsid w:val="00274E8C"/>
    <w:rsid w:val="00275053"/>
    <w:rsid w:val="00275238"/>
    <w:rsid w:val="0027538C"/>
    <w:rsid w:val="00275876"/>
    <w:rsid w:val="00275892"/>
    <w:rsid w:val="002758D6"/>
    <w:rsid w:val="0027599A"/>
    <w:rsid w:val="002759C3"/>
    <w:rsid w:val="00275F24"/>
    <w:rsid w:val="00276636"/>
    <w:rsid w:val="00276734"/>
    <w:rsid w:val="00276789"/>
    <w:rsid w:val="00276BB5"/>
    <w:rsid w:val="00276D95"/>
    <w:rsid w:val="00276DA1"/>
    <w:rsid w:val="00277596"/>
    <w:rsid w:val="00277867"/>
    <w:rsid w:val="00277DF6"/>
    <w:rsid w:val="00277EA3"/>
    <w:rsid w:val="00277EC4"/>
    <w:rsid w:val="002801D0"/>
    <w:rsid w:val="002805A3"/>
    <w:rsid w:val="002807AB"/>
    <w:rsid w:val="00280C52"/>
    <w:rsid w:val="00280C6F"/>
    <w:rsid w:val="002812CF"/>
    <w:rsid w:val="00281886"/>
    <w:rsid w:val="00281A06"/>
    <w:rsid w:val="00281D40"/>
    <w:rsid w:val="00281DF2"/>
    <w:rsid w:val="00281E75"/>
    <w:rsid w:val="00281F3F"/>
    <w:rsid w:val="00281FE2"/>
    <w:rsid w:val="0028233A"/>
    <w:rsid w:val="002823CA"/>
    <w:rsid w:val="002827A3"/>
    <w:rsid w:val="00282E1D"/>
    <w:rsid w:val="002831D3"/>
    <w:rsid w:val="00283950"/>
    <w:rsid w:val="00283986"/>
    <w:rsid w:val="00283A60"/>
    <w:rsid w:val="00283E01"/>
    <w:rsid w:val="00284203"/>
    <w:rsid w:val="00284297"/>
    <w:rsid w:val="002843F7"/>
    <w:rsid w:val="002844B1"/>
    <w:rsid w:val="002848F6"/>
    <w:rsid w:val="00284981"/>
    <w:rsid w:val="00284A8F"/>
    <w:rsid w:val="00284B25"/>
    <w:rsid w:val="00284D6D"/>
    <w:rsid w:val="00284DD3"/>
    <w:rsid w:val="00284FB8"/>
    <w:rsid w:val="00285250"/>
    <w:rsid w:val="00285867"/>
    <w:rsid w:val="002858FA"/>
    <w:rsid w:val="00285B04"/>
    <w:rsid w:val="00285B76"/>
    <w:rsid w:val="0028618F"/>
    <w:rsid w:val="00286B71"/>
    <w:rsid w:val="00286C4D"/>
    <w:rsid w:val="00286D21"/>
    <w:rsid w:val="002873E0"/>
    <w:rsid w:val="00287776"/>
    <w:rsid w:val="00287C8C"/>
    <w:rsid w:val="00287CB6"/>
    <w:rsid w:val="0029009E"/>
    <w:rsid w:val="00290667"/>
    <w:rsid w:val="00290986"/>
    <w:rsid w:val="002909D7"/>
    <w:rsid w:val="00290AA7"/>
    <w:rsid w:val="00290B97"/>
    <w:rsid w:val="00291525"/>
    <w:rsid w:val="002915A6"/>
    <w:rsid w:val="0029162A"/>
    <w:rsid w:val="00291764"/>
    <w:rsid w:val="0029182E"/>
    <w:rsid w:val="00291AD2"/>
    <w:rsid w:val="00291F2F"/>
    <w:rsid w:val="00292126"/>
    <w:rsid w:val="002921D9"/>
    <w:rsid w:val="0029228C"/>
    <w:rsid w:val="00292840"/>
    <w:rsid w:val="00292D59"/>
    <w:rsid w:val="00292E2E"/>
    <w:rsid w:val="00292F9C"/>
    <w:rsid w:val="002934EA"/>
    <w:rsid w:val="002935C3"/>
    <w:rsid w:val="00293693"/>
    <w:rsid w:val="00293A3D"/>
    <w:rsid w:val="00293D7D"/>
    <w:rsid w:val="002946E7"/>
    <w:rsid w:val="00294EFC"/>
    <w:rsid w:val="00294EFD"/>
    <w:rsid w:val="00294F5A"/>
    <w:rsid w:val="00295240"/>
    <w:rsid w:val="002952EF"/>
    <w:rsid w:val="0029531B"/>
    <w:rsid w:val="00295370"/>
    <w:rsid w:val="002955F5"/>
    <w:rsid w:val="002958D4"/>
    <w:rsid w:val="00295966"/>
    <w:rsid w:val="00295A2C"/>
    <w:rsid w:val="00295F5A"/>
    <w:rsid w:val="00296299"/>
    <w:rsid w:val="00296C57"/>
    <w:rsid w:val="002973F0"/>
    <w:rsid w:val="002979B1"/>
    <w:rsid w:val="00297B42"/>
    <w:rsid w:val="002A0844"/>
    <w:rsid w:val="002A09F4"/>
    <w:rsid w:val="002A135D"/>
    <w:rsid w:val="002A1478"/>
    <w:rsid w:val="002A14C0"/>
    <w:rsid w:val="002A15E0"/>
    <w:rsid w:val="002A1BAA"/>
    <w:rsid w:val="002A1C0D"/>
    <w:rsid w:val="002A2713"/>
    <w:rsid w:val="002A2843"/>
    <w:rsid w:val="002A2B81"/>
    <w:rsid w:val="002A2C44"/>
    <w:rsid w:val="002A2D3E"/>
    <w:rsid w:val="002A3128"/>
    <w:rsid w:val="002A3487"/>
    <w:rsid w:val="002A3567"/>
    <w:rsid w:val="002A3A25"/>
    <w:rsid w:val="002A3DC5"/>
    <w:rsid w:val="002A410C"/>
    <w:rsid w:val="002A46E3"/>
    <w:rsid w:val="002A47CE"/>
    <w:rsid w:val="002A4986"/>
    <w:rsid w:val="002A4A1E"/>
    <w:rsid w:val="002A4B8E"/>
    <w:rsid w:val="002A5218"/>
    <w:rsid w:val="002A5243"/>
    <w:rsid w:val="002A5448"/>
    <w:rsid w:val="002A5617"/>
    <w:rsid w:val="002A5694"/>
    <w:rsid w:val="002A5738"/>
    <w:rsid w:val="002A5D99"/>
    <w:rsid w:val="002A61E7"/>
    <w:rsid w:val="002A62CA"/>
    <w:rsid w:val="002A69FF"/>
    <w:rsid w:val="002A6D4F"/>
    <w:rsid w:val="002A71E8"/>
    <w:rsid w:val="002A724E"/>
    <w:rsid w:val="002A7260"/>
    <w:rsid w:val="002A7609"/>
    <w:rsid w:val="002A7B88"/>
    <w:rsid w:val="002B0C7C"/>
    <w:rsid w:val="002B0F95"/>
    <w:rsid w:val="002B107B"/>
    <w:rsid w:val="002B128C"/>
    <w:rsid w:val="002B133B"/>
    <w:rsid w:val="002B13B0"/>
    <w:rsid w:val="002B1538"/>
    <w:rsid w:val="002B15D1"/>
    <w:rsid w:val="002B172A"/>
    <w:rsid w:val="002B1CDF"/>
    <w:rsid w:val="002B1D4A"/>
    <w:rsid w:val="002B2500"/>
    <w:rsid w:val="002B2585"/>
    <w:rsid w:val="002B262B"/>
    <w:rsid w:val="002B27D5"/>
    <w:rsid w:val="002B2819"/>
    <w:rsid w:val="002B2B2B"/>
    <w:rsid w:val="002B2EF0"/>
    <w:rsid w:val="002B3126"/>
    <w:rsid w:val="002B362E"/>
    <w:rsid w:val="002B419C"/>
    <w:rsid w:val="002B45A6"/>
    <w:rsid w:val="002B4CC2"/>
    <w:rsid w:val="002B4D38"/>
    <w:rsid w:val="002B4F2A"/>
    <w:rsid w:val="002B55D5"/>
    <w:rsid w:val="002B58F9"/>
    <w:rsid w:val="002B5975"/>
    <w:rsid w:val="002B5D03"/>
    <w:rsid w:val="002B5EBB"/>
    <w:rsid w:val="002B5F96"/>
    <w:rsid w:val="002B5F97"/>
    <w:rsid w:val="002B6611"/>
    <w:rsid w:val="002B6812"/>
    <w:rsid w:val="002B6B00"/>
    <w:rsid w:val="002B6B4E"/>
    <w:rsid w:val="002B6C5C"/>
    <w:rsid w:val="002B6F2B"/>
    <w:rsid w:val="002B7221"/>
    <w:rsid w:val="002B73CE"/>
    <w:rsid w:val="002B7488"/>
    <w:rsid w:val="002B7CA3"/>
    <w:rsid w:val="002B7D2A"/>
    <w:rsid w:val="002B7E10"/>
    <w:rsid w:val="002C0079"/>
    <w:rsid w:val="002C0729"/>
    <w:rsid w:val="002C0992"/>
    <w:rsid w:val="002C0D6B"/>
    <w:rsid w:val="002C0E7B"/>
    <w:rsid w:val="002C10A5"/>
    <w:rsid w:val="002C1484"/>
    <w:rsid w:val="002C1A9B"/>
    <w:rsid w:val="002C2495"/>
    <w:rsid w:val="002C24CF"/>
    <w:rsid w:val="002C2527"/>
    <w:rsid w:val="002C2CC9"/>
    <w:rsid w:val="002C2ED4"/>
    <w:rsid w:val="002C3027"/>
    <w:rsid w:val="002C32EC"/>
    <w:rsid w:val="002C332F"/>
    <w:rsid w:val="002C3507"/>
    <w:rsid w:val="002C3693"/>
    <w:rsid w:val="002C371F"/>
    <w:rsid w:val="002C3720"/>
    <w:rsid w:val="002C384D"/>
    <w:rsid w:val="002C47CB"/>
    <w:rsid w:val="002C4A12"/>
    <w:rsid w:val="002C4D80"/>
    <w:rsid w:val="002C4DDD"/>
    <w:rsid w:val="002C50B9"/>
    <w:rsid w:val="002C5368"/>
    <w:rsid w:val="002C5471"/>
    <w:rsid w:val="002C5816"/>
    <w:rsid w:val="002C58B8"/>
    <w:rsid w:val="002C67CF"/>
    <w:rsid w:val="002C6D7B"/>
    <w:rsid w:val="002C6D8B"/>
    <w:rsid w:val="002C7248"/>
    <w:rsid w:val="002C7F19"/>
    <w:rsid w:val="002D0142"/>
    <w:rsid w:val="002D0400"/>
    <w:rsid w:val="002D0489"/>
    <w:rsid w:val="002D065B"/>
    <w:rsid w:val="002D0B04"/>
    <w:rsid w:val="002D0BAE"/>
    <w:rsid w:val="002D0CDB"/>
    <w:rsid w:val="002D11B6"/>
    <w:rsid w:val="002D121C"/>
    <w:rsid w:val="002D13F8"/>
    <w:rsid w:val="002D1663"/>
    <w:rsid w:val="002D17C0"/>
    <w:rsid w:val="002D19B0"/>
    <w:rsid w:val="002D1BEB"/>
    <w:rsid w:val="002D2098"/>
    <w:rsid w:val="002D232B"/>
    <w:rsid w:val="002D244F"/>
    <w:rsid w:val="002D2881"/>
    <w:rsid w:val="002D2B27"/>
    <w:rsid w:val="002D2C1A"/>
    <w:rsid w:val="002D30D2"/>
    <w:rsid w:val="002D32DA"/>
    <w:rsid w:val="002D3463"/>
    <w:rsid w:val="002D3602"/>
    <w:rsid w:val="002D3993"/>
    <w:rsid w:val="002D3FBF"/>
    <w:rsid w:val="002D421A"/>
    <w:rsid w:val="002D42E8"/>
    <w:rsid w:val="002D4A60"/>
    <w:rsid w:val="002D4B11"/>
    <w:rsid w:val="002D511F"/>
    <w:rsid w:val="002D5587"/>
    <w:rsid w:val="002D595E"/>
    <w:rsid w:val="002D5BF7"/>
    <w:rsid w:val="002D5EA7"/>
    <w:rsid w:val="002D620E"/>
    <w:rsid w:val="002D6373"/>
    <w:rsid w:val="002D63DE"/>
    <w:rsid w:val="002D6798"/>
    <w:rsid w:val="002D6985"/>
    <w:rsid w:val="002D7007"/>
    <w:rsid w:val="002D725E"/>
    <w:rsid w:val="002D7362"/>
    <w:rsid w:val="002D73C7"/>
    <w:rsid w:val="002D783B"/>
    <w:rsid w:val="002D7B4E"/>
    <w:rsid w:val="002E03C1"/>
    <w:rsid w:val="002E0891"/>
    <w:rsid w:val="002E09A9"/>
    <w:rsid w:val="002E102B"/>
    <w:rsid w:val="002E1254"/>
    <w:rsid w:val="002E1516"/>
    <w:rsid w:val="002E1785"/>
    <w:rsid w:val="002E1E13"/>
    <w:rsid w:val="002E1F71"/>
    <w:rsid w:val="002E2033"/>
    <w:rsid w:val="002E24C6"/>
    <w:rsid w:val="002E24F6"/>
    <w:rsid w:val="002E2573"/>
    <w:rsid w:val="002E25CF"/>
    <w:rsid w:val="002E281C"/>
    <w:rsid w:val="002E2AF3"/>
    <w:rsid w:val="002E2B34"/>
    <w:rsid w:val="002E2F5D"/>
    <w:rsid w:val="002E3283"/>
    <w:rsid w:val="002E32E0"/>
    <w:rsid w:val="002E39A7"/>
    <w:rsid w:val="002E3DA5"/>
    <w:rsid w:val="002E4522"/>
    <w:rsid w:val="002E4822"/>
    <w:rsid w:val="002E4C48"/>
    <w:rsid w:val="002E4DBF"/>
    <w:rsid w:val="002E5013"/>
    <w:rsid w:val="002E510A"/>
    <w:rsid w:val="002E5627"/>
    <w:rsid w:val="002E5B78"/>
    <w:rsid w:val="002E5D79"/>
    <w:rsid w:val="002E626F"/>
    <w:rsid w:val="002E665E"/>
    <w:rsid w:val="002E7843"/>
    <w:rsid w:val="002E78FF"/>
    <w:rsid w:val="002E7BC8"/>
    <w:rsid w:val="002F01D8"/>
    <w:rsid w:val="002F02B7"/>
    <w:rsid w:val="002F034C"/>
    <w:rsid w:val="002F043E"/>
    <w:rsid w:val="002F06D5"/>
    <w:rsid w:val="002F0BDF"/>
    <w:rsid w:val="002F0FA7"/>
    <w:rsid w:val="002F0FBB"/>
    <w:rsid w:val="002F12A1"/>
    <w:rsid w:val="002F1313"/>
    <w:rsid w:val="002F17CE"/>
    <w:rsid w:val="002F24EA"/>
    <w:rsid w:val="002F28CF"/>
    <w:rsid w:val="002F2B19"/>
    <w:rsid w:val="002F2CA1"/>
    <w:rsid w:val="002F2ED8"/>
    <w:rsid w:val="002F337C"/>
    <w:rsid w:val="002F356B"/>
    <w:rsid w:val="002F36A4"/>
    <w:rsid w:val="002F3B1D"/>
    <w:rsid w:val="002F3BE4"/>
    <w:rsid w:val="002F4108"/>
    <w:rsid w:val="002F41C3"/>
    <w:rsid w:val="002F4289"/>
    <w:rsid w:val="002F492D"/>
    <w:rsid w:val="002F4E91"/>
    <w:rsid w:val="002F5035"/>
    <w:rsid w:val="002F567C"/>
    <w:rsid w:val="002F5A06"/>
    <w:rsid w:val="002F6160"/>
    <w:rsid w:val="002F64BE"/>
    <w:rsid w:val="002F65B5"/>
    <w:rsid w:val="002F67F1"/>
    <w:rsid w:val="002F688F"/>
    <w:rsid w:val="002F68D6"/>
    <w:rsid w:val="002F6B0C"/>
    <w:rsid w:val="002F6C15"/>
    <w:rsid w:val="002F6D89"/>
    <w:rsid w:val="002F7022"/>
    <w:rsid w:val="002F70DF"/>
    <w:rsid w:val="002F71CF"/>
    <w:rsid w:val="002F72AC"/>
    <w:rsid w:val="002F75CD"/>
    <w:rsid w:val="002F75E3"/>
    <w:rsid w:val="002F797E"/>
    <w:rsid w:val="002F7E50"/>
    <w:rsid w:val="002F7E7E"/>
    <w:rsid w:val="002F7FF6"/>
    <w:rsid w:val="003001CD"/>
    <w:rsid w:val="00300A46"/>
    <w:rsid w:val="00300A6A"/>
    <w:rsid w:val="00300AFC"/>
    <w:rsid w:val="00300CC6"/>
    <w:rsid w:val="00301365"/>
    <w:rsid w:val="00301386"/>
    <w:rsid w:val="00301717"/>
    <w:rsid w:val="003018CA"/>
    <w:rsid w:val="00301A52"/>
    <w:rsid w:val="00301E5A"/>
    <w:rsid w:val="0030218A"/>
    <w:rsid w:val="00302968"/>
    <w:rsid w:val="00302DC5"/>
    <w:rsid w:val="00303A77"/>
    <w:rsid w:val="00303D38"/>
    <w:rsid w:val="00304145"/>
    <w:rsid w:val="0030465B"/>
    <w:rsid w:val="00304DDD"/>
    <w:rsid w:val="00305365"/>
    <w:rsid w:val="003056A1"/>
    <w:rsid w:val="00305853"/>
    <w:rsid w:val="00305BF4"/>
    <w:rsid w:val="00305C26"/>
    <w:rsid w:val="00305D64"/>
    <w:rsid w:val="00306298"/>
    <w:rsid w:val="003064A4"/>
    <w:rsid w:val="00306881"/>
    <w:rsid w:val="00306AEA"/>
    <w:rsid w:val="00306B11"/>
    <w:rsid w:val="00306B26"/>
    <w:rsid w:val="00306BE8"/>
    <w:rsid w:val="00306E9D"/>
    <w:rsid w:val="003072D2"/>
    <w:rsid w:val="003072F4"/>
    <w:rsid w:val="0030747B"/>
    <w:rsid w:val="003077F9"/>
    <w:rsid w:val="00307913"/>
    <w:rsid w:val="003100D5"/>
    <w:rsid w:val="0031023E"/>
    <w:rsid w:val="00310439"/>
    <w:rsid w:val="003105E4"/>
    <w:rsid w:val="003105F5"/>
    <w:rsid w:val="00310B3D"/>
    <w:rsid w:val="003111EF"/>
    <w:rsid w:val="003114AB"/>
    <w:rsid w:val="0031191B"/>
    <w:rsid w:val="00311DC5"/>
    <w:rsid w:val="00311E33"/>
    <w:rsid w:val="00311FAA"/>
    <w:rsid w:val="0031205F"/>
    <w:rsid w:val="0031223B"/>
    <w:rsid w:val="00312530"/>
    <w:rsid w:val="00312C0D"/>
    <w:rsid w:val="0031336C"/>
    <w:rsid w:val="0031378F"/>
    <w:rsid w:val="00313AC9"/>
    <w:rsid w:val="0031485B"/>
    <w:rsid w:val="0031505A"/>
    <w:rsid w:val="00315CC3"/>
    <w:rsid w:val="00316006"/>
    <w:rsid w:val="003160A4"/>
    <w:rsid w:val="00316721"/>
    <w:rsid w:val="00316BA4"/>
    <w:rsid w:val="00316CBD"/>
    <w:rsid w:val="003177BC"/>
    <w:rsid w:val="00317919"/>
    <w:rsid w:val="00317A82"/>
    <w:rsid w:val="00317B9D"/>
    <w:rsid w:val="00317D5B"/>
    <w:rsid w:val="0032023C"/>
    <w:rsid w:val="0032081F"/>
    <w:rsid w:val="00320B1D"/>
    <w:rsid w:val="00320C0C"/>
    <w:rsid w:val="00320EBF"/>
    <w:rsid w:val="003210F1"/>
    <w:rsid w:val="003211A0"/>
    <w:rsid w:val="0032122C"/>
    <w:rsid w:val="0032169C"/>
    <w:rsid w:val="00321C86"/>
    <w:rsid w:val="00321E2A"/>
    <w:rsid w:val="00321ED5"/>
    <w:rsid w:val="00321F44"/>
    <w:rsid w:val="003222B6"/>
    <w:rsid w:val="00322490"/>
    <w:rsid w:val="003224C1"/>
    <w:rsid w:val="0032288F"/>
    <w:rsid w:val="00322A70"/>
    <w:rsid w:val="00322D0A"/>
    <w:rsid w:val="00322D20"/>
    <w:rsid w:val="00322E59"/>
    <w:rsid w:val="003231F3"/>
    <w:rsid w:val="00323230"/>
    <w:rsid w:val="0032362B"/>
    <w:rsid w:val="003238FC"/>
    <w:rsid w:val="003242A3"/>
    <w:rsid w:val="00324592"/>
    <w:rsid w:val="003246C7"/>
    <w:rsid w:val="003246F4"/>
    <w:rsid w:val="003247BA"/>
    <w:rsid w:val="00324A2C"/>
    <w:rsid w:val="003250DF"/>
    <w:rsid w:val="00325747"/>
    <w:rsid w:val="00325A5F"/>
    <w:rsid w:val="00325AFB"/>
    <w:rsid w:val="003260A1"/>
    <w:rsid w:val="0032618C"/>
    <w:rsid w:val="00326193"/>
    <w:rsid w:val="0032630F"/>
    <w:rsid w:val="0032685E"/>
    <w:rsid w:val="00327905"/>
    <w:rsid w:val="00327DDD"/>
    <w:rsid w:val="00330096"/>
    <w:rsid w:val="003301A3"/>
    <w:rsid w:val="003302AA"/>
    <w:rsid w:val="003305EA"/>
    <w:rsid w:val="00330C65"/>
    <w:rsid w:val="00330CFB"/>
    <w:rsid w:val="0033105F"/>
    <w:rsid w:val="003310C3"/>
    <w:rsid w:val="00331B5F"/>
    <w:rsid w:val="003320C8"/>
    <w:rsid w:val="00332652"/>
    <w:rsid w:val="003326DF"/>
    <w:rsid w:val="003329FF"/>
    <w:rsid w:val="003333EE"/>
    <w:rsid w:val="00333A81"/>
    <w:rsid w:val="00333F12"/>
    <w:rsid w:val="00334449"/>
    <w:rsid w:val="00334A82"/>
    <w:rsid w:val="00334BA5"/>
    <w:rsid w:val="00334C7C"/>
    <w:rsid w:val="0033528C"/>
    <w:rsid w:val="003356BF"/>
    <w:rsid w:val="0033582A"/>
    <w:rsid w:val="00335BD9"/>
    <w:rsid w:val="00335E14"/>
    <w:rsid w:val="00336237"/>
    <w:rsid w:val="00336320"/>
    <w:rsid w:val="003365D4"/>
    <w:rsid w:val="003367AB"/>
    <w:rsid w:val="00336B7A"/>
    <w:rsid w:val="00337469"/>
    <w:rsid w:val="00337698"/>
    <w:rsid w:val="00337DC4"/>
    <w:rsid w:val="003400E1"/>
    <w:rsid w:val="00340519"/>
    <w:rsid w:val="00340564"/>
    <w:rsid w:val="003405C1"/>
    <w:rsid w:val="003405D3"/>
    <w:rsid w:val="00341B7B"/>
    <w:rsid w:val="00341B7E"/>
    <w:rsid w:val="00342145"/>
    <w:rsid w:val="00342292"/>
    <w:rsid w:val="00342582"/>
    <w:rsid w:val="00342AB2"/>
    <w:rsid w:val="00342C0C"/>
    <w:rsid w:val="00342E79"/>
    <w:rsid w:val="00343152"/>
    <w:rsid w:val="00343426"/>
    <w:rsid w:val="0034373A"/>
    <w:rsid w:val="003439D7"/>
    <w:rsid w:val="00343C08"/>
    <w:rsid w:val="003443AC"/>
    <w:rsid w:val="003453D2"/>
    <w:rsid w:val="00345503"/>
    <w:rsid w:val="00345E78"/>
    <w:rsid w:val="00346024"/>
    <w:rsid w:val="0034612B"/>
    <w:rsid w:val="003463AC"/>
    <w:rsid w:val="0034658D"/>
    <w:rsid w:val="0034701E"/>
    <w:rsid w:val="003478BF"/>
    <w:rsid w:val="00347D2F"/>
    <w:rsid w:val="0035096C"/>
    <w:rsid w:val="00350AC5"/>
    <w:rsid w:val="003510F9"/>
    <w:rsid w:val="00351173"/>
    <w:rsid w:val="003512D8"/>
    <w:rsid w:val="003517A8"/>
    <w:rsid w:val="00351845"/>
    <w:rsid w:val="00351913"/>
    <w:rsid w:val="00351EA1"/>
    <w:rsid w:val="00352220"/>
    <w:rsid w:val="00352537"/>
    <w:rsid w:val="00352553"/>
    <w:rsid w:val="00352671"/>
    <w:rsid w:val="0035295A"/>
    <w:rsid w:val="00352C1B"/>
    <w:rsid w:val="00352D5F"/>
    <w:rsid w:val="0035309D"/>
    <w:rsid w:val="0035356A"/>
    <w:rsid w:val="00353D00"/>
    <w:rsid w:val="00353DF2"/>
    <w:rsid w:val="00353F38"/>
    <w:rsid w:val="00354251"/>
    <w:rsid w:val="003542C0"/>
    <w:rsid w:val="003542D2"/>
    <w:rsid w:val="00354D28"/>
    <w:rsid w:val="0035500B"/>
    <w:rsid w:val="00355B74"/>
    <w:rsid w:val="00355DA3"/>
    <w:rsid w:val="00355E9A"/>
    <w:rsid w:val="00356110"/>
    <w:rsid w:val="00356B11"/>
    <w:rsid w:val="00356E97"/>
    <w:rsid w:val="00356F08"/>
    <w:rsid w:val="00357064"/>
    <w:rsid w:val="0035713E"/>
    <w:rsid w:val="003575C4"/>
    <w:rsid w:val="00357812"/>
    <w:rsid w:val="00357CC7"/>
    <w:rsid w:val="00357E51"/>
    <w:rsid w:val="003604C1"/>
    <w:rsid w:val="00360827"/>
    <w:rsid w:val="0036104E"/>
    <w:rsid w:val="00361476"/>
    <w:rsid w:val="00361590"/>
    <w:rsid w:val="00361830"/>
    <w:rsid w:val="0036184D"/>
    <w:rsid w:val="0036188D"/>
    <w:rsid w:val="003621EB"/>
    <w:rsid w:val="003625C8"/>
    <w:rsid w:val="003625F8"/>
    <w:rsid w:val="00362DE2"/>
    <w:rsid w:val="003630B4"/>
    <w:rsid w:val="003632A6"/>
    <w:rsid w:val="00363396"/>
    <w:rsid w:val="00363516"/>
    <w:rsid w:val="003635ED"/>
    <w:rsid w:val="00363778"/>
    <w:rsid w:val="00363853"/>
    <w:rsid w:val="00363CA5"/>
    <w:rsid w:val="00363FAB"/>
    <w:rsid w:val="0036421E"/>
    <w:rsid w:val="003652CA"/>
    <w:rsid w:val="00365698"/>
    <w:rsid w:val="00365845"/>
    <w:rsid w:val="00365959"/>
    <w:rsid w:val="00365DD4"/>
    <w:rsid w:val="00365F45"/>
    <w:rsid w:val="00366068"/>
    <w:rsid w:val="00366801"/>
    <w:rsid w:val="00366ADC"/>
    <w:rsid w:val="00366B37"/>
    <w:rsid w:val="00366DED"/>
    <w:rsid w:val="003671C1"/>
    <w:rsid w:val="00367B8A"/>
    <w:rsid w:val="003700FE"/>
    <w:rsid w:val="00370183"/>
    <w:rsid w:val="003705B7"/>
    <w:rsid w:val="00370D11"/>
    <w:rsid w:val="00370D32"/>
    <w:rsid w:val="00370D9A"/>
    <w:rsid w:val="00370E39"/>
    <w:rsid w:val="00371517"/>
    <w:rsid w:val="003718C6"/>
    <w:rsid w:val="003719ED"/>
    <w:rsid w:val="00372383"/>
    <w:rsid w:val="003725B3"/>
    <w:rsid w:val="0037291F"/>
    <w:rsid w:val="00373148"/>
    <w:rsid w:val="00373544"/>
    <w:rsid w:val="0037381B"/>
    <w:rsid w:val="00373960"/>
    <w:rsid w:val="0037399B"/>
    <w:rsid w:val="00374581"/>
    <w:rsid w:val="0037479C"/>
    <w:rsid w:val="003747DD"/>
    <w:rsid w:val="00374843"/>
    <w:rsid w:val="0037488B"/>
    <w:rsid w:val="003748FF"/>
    <w:rsid w:val="00374C9B"/>
    <w:rsid w:val="00374FF6"/>
    <w:rsid w:val="00375530"/>
    <w:rsid w:val="00375B05"/>
    <w:rsid w:val="00376304"/>
    <w:rsid w:val="003765F2"/>
    <w:rsid w:val="003772D8"/>
    <w:rsid w:val="003772DA"/>
    <w:rsid w:val="003773AF"/>
    <w:rsid w:val="0037773F"/>
    <w:rsid w:val="00377789"/>
    <w:rsid w:val="003778DA"/>
    <w:rsid w:val="00377CFE"/>
    <w:rsid w:val="00377DDC"/>
    <w:rsid w:val="00380385"/>
    <w:rsid w:val="00380636"/>
    <w:rsid w:val="00380665"/>
    <w:rsid w:val="003808A6"/>
    <w:rsid w:val="00380D61"/>
    <w:rsid w:val="00380E80"/>
    <w:rsid w:val="00380EFB"/>
    <w:rsid w:val="00381334"/>
    <w:rsid w:val="00381AA8"/>
    <w:rsid w:val="00381BBC"/>
    <w:rsid w:val="00381D5D"/>
    <w:rsid w:val="00381D94"/>
    <w:rsid w:val="00382176"/>
    <w:rsid w:val="00382819"/>
    <w:rsid w:val="0038281C"/>
    <w:rsid w:val="00382A52"/>
    <w:rsid w:val="00382BB6"/>
    <w:rsid w:val="00382C90"/>
    <w:rsid w:val="003837DF"/>
    <w:rsid w:val="00383C06"/>
    <w:rsid w:val="00384381"/>
    <w:rsid w:val="0038438A"/>
    <w:rsid w:val="0038498F"/>
    <w:rsid w:val="00386037"/>
    <w:rsid w:val="0038603B"/>
    <w:rsid w:val="0038660D"/>
    <w:rsid w:val="0038670A"/>
    <w:rsid w:val="00386B62"/>
    <w:rsid w:val="003873BF"/>
    <w:rsid w:val="0038740C"/>
    <w:rsid w:val="00387975"/>
    <w:rsid w:val="00387D16"/>
    <w:rsid w:val="00387F3F"/>
    <w:rsid w:val="003907C5"/>
    <w:rsid w:val="00390823"/>
    <w:rsid w:val="0039105E"/>
    <w:rsid w:val="00391406"/>
    <w:rsid w:val="0039157F"/>
    <w:rsid w:val="003916E6"/>
    <w:rsid w:val="00391967"/>
    <w:rsid w:val="00391AA6"/>
    <w:rsid w:val="00391F66"/>
    <w:rsid w:val="0039261C"/>
    <w:rsid w:val="0039270C"/>
    <w:rsid w:val="00392EA1"/>
    <w:rsid w:val="00392FBB"/>
    <w:rsid w:val="00393176"/>
    <w:rsid w:val="003932EE"/>
    <w:rsid w:val="003933B7"/>
    <w:rsid w:val="003933EA"/>
    <w:rsid w:val="0039352C"/>
    <w:rsid w:val="0039353C"/>
    <w:rsid w:val="003935A2"/>
    <w:rsid w:val="0039364A"/>
    <w:rsid w:val="00393BF5"/>
    <w:rsid w:val="00394369"/>
    <w:rsid w:val="00394815"/>
    <w:rsid w:val="00394AC6"/>
    <w:rsid w:val="00394DA6"/>
    <w:rsid w:val="00394E30"/>
    <w:rsid w:val="00394F28"/>
    <w:rsid w:val="003956FE"/>
    <w:rsid w:val="00395B67"/>
    <w:rsid w:val="00396642"/>
    <w:rsid w:val="00396D33"/>
    <w:rsid w:val="00396F8E"/>
    <w:rsid w:val="003970C1"/>
    <w:rsid w:val="0039723F"/>
    <w:rsid w:val="003972AD"/>
    <w:rsid w:val="00397889"/>
    <w:rsid w:val="00397955"/>
    <w:rsid w:val="003A02E9"/>
    <w:rsid w:val="003A0723"/>
    <w:rsid w:val="003A0863"/>
    <w:rsid w:val="003A0E94"/>
    <w:rsid w:val="003A0F5B"/>
    <w:rsid w:val="003A0F8E"/>
    <w:rsid w:val="003A120A"/>
    <w:rsid w:val="003A1585"/>
    <w:rsid w:val="003A17DF"/>
    <w:rsid w:val="003A1A76"/>
    <w:rsid w:val="003A201F"/>
    <w:rsid w:val="003A2663"/>
    <w:rsid w:val="003A299A"/>
    <w:rsid w:val="003A2BBC"/>
    <w:rsid w:val="003A2DC5"/>
    <w:rsid w:val="003A31E7"/>
    <w:rsid w:val="003A3283"/>
    <w:rsid w:val="003A33D5"/>
    <w:rsid w:val="003A3464"/>
    <w:rsid w:val="003A352E"/>
    <w:rsid w:val="003A39D9"/>
    <w:rsid w:val="003A3A1E"/>
    <w:rsid w:val="003A3AE2"/>
    <w:rsid w:val="003A3AF7"/>
    <w:rsid w:val="003A3F7D"/>
    <w:rsid w:val="003A3FB8"/>
    <w:rsid w:val="003A45F8"/>
    <w:rsid w:val="003A4868"/>
    <w:rsid w:val="003A499D"/>
    <w:rsid w:val="003A4A6B"/>
    <w:rsid w:val="003A4B3D"/>
    <w:rsid w:val="003A4F70"/>
    <w:rsid w:val="003A552C"/>
    <w:rsid w:val="003A591B"/>
    <w:rsid w:val="003A5F1E"/>
    <w:rsid w:val="003A624B"/>
    <w:rsid w:val="003A629A"/>
    <w:rsid w:val="003A6458"/>
    <w:rsid w:val="003A65FD"/>
    <w:rsid w:val="003A669D"/>
    <w:rsid w:val="003A679F"/>
    <w:rsid w:val="003A6A9F"/>
    <w:rsid w:val="003A6AE4"/>
    <w:rsid w:val="003A6DA8"/>
    <w:rsid w:val="003A71EA"/>
    <w:rsid w:val="003A724B"/>
    <w:rsid w:val="003A7402"/>
    <w:rsid w:val="003A796B"/>
    <w:rsid w:val="003A7C4F"/>
    <w:rsid w:val="003A7E5B"/>
    <w:rsid w:val="003A7ECF"/>
    <w:rsid w:val="003A7F67"/>
    <w:rsid w:val="003B01EC"/>
    <w:rsid w:val="003B04A1"/>
    <w:rsid w:val="003B0818"/>
    <w:rsid w:val="003B0AE6"/>
    <w:rsid w:val="003B0EB9"/>
    <w:rsid w:val="003B118D"/>
    <w:rsid w:val="003B1321"/>
    <w:rsid w:val="003B1365"/>
    <w:rsid w:val="003B1545"/>
    <w:rsid w:val="003B18B7"/>
    <w:rsid w:val="003B18CF"/>
    <w:rsid w:val="003B196C"/>
    <w:rsid w:val="003B1B11"/>
    <w:rsid w:val="003B25B8"/>
    <w:rsid w:val="003B298B"/>
    <w:rsid w:val="003B2E0D"/>
    <w:rsid w:val="003B2E1D"/>
    <w:rsid w:val="003B2EC1"/>
    <w:rsid w:val="003B2F34"/>
    <w:rsid w:val="003B3307"/>
    <w:rsid w:val="003B3326"/>
    <w:rsid w:val="003B33EB"/>
    <w:rsid w:val="003B37CA"/>
    <w:rsid w:val="003B3D3C"/>
    <w:rsid w:val="003B3EC4"/>
    <w:rsid w:val="003B41DD"/>
    <w:rsid w:val="003B4283"/>
    <w:rsid w:val="003B4A47"/>
    <w:rsid w:val="003B4B83"/>
    <w:rsid w:val="003B5A86"/>
    <w:rsid w:val="003B5B2C"/>
    <w:rsid w:val="003B5F79"/>
    <w:rsid w:val="003B626B"/>
    <w:rsid w:val="003B6347"/>
    <w:rsid w:val="003B6551"/>
    <w:rsid w:val="003B6615"/>
    <w:rsid w:val="003B6990"/>
    <w:rsid w:val="003B6CC8"/>
    <w:rsid w:val="003B7037"/>
    <w:rsid w:val="003B7868"/>
    <w:rsid w:val="003B7AFD"/>
    <w:rsid w:val="003C02F3"/>
    <w:rsid w:val="003C06A8"/>
    <w:rsid w:val="003C0FE9"/>
    <w:rsid w:val="003C1097"/>
    <w:rsid w:val="003C1447"/>
    <w:rsid w:val="003C1463"/>
    <w:rsid w:val="003C158D"/>
    <w:rsid w:val="003C16DE"/>
    <w:rsid w:val="003C1963"/>
    <w:rsid w:val="003C20CE"/>
    <w:rsid w:val="003C2774"/>
    <w:rsid w:val="003C287D"/>
    <w:rsid w:val="003C2E91"/>
    <w:rsid w:val="003C2EF4"/>
    <w:rsid w:val="003C3225"/>
    <w:rsid w:val="003C3468"/>
    <w:rsid w:val="003C374A"/>
    <w:rsid w:val="003C3E21"/>
    <w:rsid w:val="003C3E81"/>
    <w:rsid w:val="003C4089"/>
    <w:rsid w:val="003C442A"/>
    <w:rsid w:val="003C4617"/>
    <w:rsid w:val="003C480F"/>
    <w:rsid w:val="003C4AF8"/>
    <w:rsid w:val="003C4BEF"/>
    <w:rsid w:val="003C5153"/>
    <w:rsid w:val="003C5294"/>
    <w:rsid w:val="003C565B"/>
    <w:rsid w:val="003C584E"/>
    <w:rsid w:val="003C5BA6"/>
    <w:rsid w:val="003C5C04"/>
    <w:rsid w:val="003C5C1D"/>
    <w:rsid w:val="003C5C8E"/>
    <w:rsid w:val="003C5DEE"/>
    <w:rsid w:val="003C5F93"/>
    <w:rsid w:val="003C61C6"/>
    <w:rsid w:val="003C647D"/>
    <w:rsid w:val="003C6CE0"/>
    <w:rsid w:val="003C6D72"/>
    <w:rsid w:val="003C701C"/>
    <w:rsid w:val="003C767B"/>
    <w:rsid w:val="003C7773"/>
    <w:rsid w:val="003C78A4"/>
    <w:rsid w:val="003D014B"/>
    <w:rsid w:val="003D0215"/>
    <w:rsid w:val="003D0CA2"/>
    <w:rsid w:val="003D0CC3"/>
    <w:rsid w:val="003D0E64"/>
    <w:rsid w:val="003D0EB0"/>
    <w:rsid w:val="003D0F75"/>
    <w:rsid w:val="003D1095"/>
    <w:rsid w:val="003D14C7"/>
    <w:rsid w:val="003D17A8"/>
    <w:rsid w:val="003D198D"/>
    <w:rsid w:val="003D1B39"/>
    <w:rsid w:val="003D1C57"/>
    <w:rsid w:val="003D20D1"/>
    <w:rsid w:val="003D220B"/>
    <w:rsid w:val="003D23C7"/>
    <w:rsid w:val="003D2605"/>
    <w:rsid w:val="003D2678"/>
    <w:rsid w:val="003D2802"/>
    <w:rsid w:val="003D2B33"/>
    <w:rsid w:val="003D2E47"/>
    <w:rsid w:val="003D3679"/>
    <w:rsid w:val="003D39C2"/>
    <w:rsid w:val="003D3C6D"/>
    <w:rsid w:val="003D3E1A"/>
    <w:rsid w:val="003D3E67"/>
    <w:rsid w:val="003D4213"/>
    <w:rsid w:val="003D4743"/>
    <w:rsid w:val="003D4F4C"/>
    <w:rsid w:val="003D5159"/>
    <w:rsid w:val="003D528A"/>
    <w:rsid w:val="003D55BE"/>
    <w:rsid w:val="003D5A9B"/>
    <w:rsid w:val="003D5B15"/>
    <w:rsid w:val="003D5B61"/>
    <w:rsid w:val="003D5CA6"/>
    <w:rsid w:val="003D6112"/>
    <w:rsid w:val="003D636F"/>
    <w:rsid w:val="003D6491"/>
    <w:rsid w:val="003D6861"/>
    <w:rsid w:val="003D7148"/>
    <w:rsid w:val="003D734D"/>
    <w:rsid w:val="003D74CD"/>
    <w:rsid w:val="003D75D5"/>
    <w:rsid w:val="003D79DA"/>
    <w:rsid w:val="003D7BC0"/>
    <w:rsid w:val="003D7D80"/>
    <w:rsid w:val="003E09C1"/>
    <w:rsid w:val="003E0B00"/>
    <w:rsid w:val="003E0D1B"/>
    <w:rsid w:val="003E0DE6"/>
    <w:rsid w:val="003E1131"/>
    <w:rsid w:val="003E1229"/>
    <w:rsid w:val="003E13BC"/>
    <w:rsid w:val="003E142B"/>
    <w:rsid w:val="003E1626"/>
    <w:rsid w:val="003E1A43"/>
    <w:rsid w:val="003E25DB"/>
    <w:rsid w:val="003E25F1"/>
    <w:rsid w:val="003E26F9"/>
    <w:rsid w:val="003E2885"/>
    <w:rsid w:val="003E28F3"/>
    <w:rsid w:val="003E2D1D"/>
    <w:rsid w:val="003E31A1"/>
    <w:rsid w:val="003E32BA"/>
    <w:rsid w:val="003E362C"/>
    <w:rsid w:val="003E36CE"/>
    <w:rsid w:val="003E3728"/>
    <w:rsid w:val="003E3B12"/>
    <w:rsid w:val="003E3F81"/>
    <w:rsid w:val="003E424A"/>
    <w:rsid w:val="003E46DC"/>
    <w:rsid w:val="003E48A2"/>
    <w:rsid w:val="003E49EF"/>
    <w:rsid w:val="003E4A1D"/>
    <w:rsid w:val="003E4A46"/>
    <w:rsid w:val="003E4D9E"/>
    <w:rsid w:val="003E4ECD"/>
    <w:rsid w:val="003E4F7E"/>
    <w:rsid w:val="003E56F7"/>
    <w:rsid w:val="003E58F3"/>
    <w:rsid w:val="003E62EB"/>
    <w:rsid w:val="003E63F5"/>
    <w:rsid w:val="003E6599"/>
    <w:rsid w:val="003E66E5"/>
    <w:rsid w:val="003E673E"/>
    <w:rsid w:val="003E6D64"/>
    <w:rsid w:val="003E6FB9"/>
    <w:rsid w:val="003E78FE"/>
    <w:rsid w:val="003F01E6"/>
    <w:rsid w:val="003F0254"/>
    <w:rsid w:val="003F0260"/>
    <w:rsid w:val="003F02FC"/>
    <w:rsid w:val="003F0607"/>
    <w:rsid w:val="003F06B7"/>
    <w:rsid w:val="003F06F0"/>
    <w:rsid w:val="003F0D74"/>
    <w:rsid w:val="003F0DD2"/>
    <w:rsid w:val="003F0ED4"/>
    <w:rsid w:val="003F0FA9"/>
    <w:rsid w:val="003F1059"/>
    <w:rsid w:val="003F1341"/>
    <w:rsid w:val="003F155D"/>
    <w:rsid w:val="003F16F6"/>
    <w:rsid w:val="003F191F"/>
    <w:rsid w:val="003F1C27"/>
    <w:rsid w:val="003F21C4"/>
    <w:rsid w:val="003F2EF6"/>
    <w:rsid w:val="003F317D"/>
    <w:rsid w:val="003F3206"/>
    <w:rsid w:val="003F3683"/>
    <w:rsid w:val="003F3948"/>
    <w:rsid w:val="003F3950"/>
    <w:rsid w:val="003F3B45"/>
    <w:rsid w:val="003F3D8F"/>
    <w:rsid w:val="003F3E66"/>
    <w:rsid w:val="003F3FA7"/>
    <w:rsid w:val="003F46C4"/>
    <w:rsid w:val="003F4D22"/>
    <w:rsid w:val="003F53A2"/>
    <w:rsid w:val="003F54EA"/>
    <w:rsid w:val="003F5506"/>
    <w:rsid w:val="003F5683"/>
    <w:rsid w:val="003F5CF0"/>
    <w:rsid w:val="003F5F62"/>
    <w:rsid w:val="003F62B0"/>
    <w:rsid w:val="003F6615"/>
    <w:rsid w:val="003F6756"/>
    <w:rsid w:val="003F6857"/>
    <w:rsid w:val="003F68CC"/>
    <w:rsid w:val="003F6CE8"/>
    <w:rsid w:val="003F7296"/>
    <w:rsid w:val="003F75DD"/>
    <w:rsid w:val="003F76DE"/>
    <w:rsid w:val="003F7850"/>
    <w:rsid w:val="003F7899"/>
    <w:rsid w:val="003F79D1"/>
    <w:rsid w:val="0040047E"/>
    <w:rsid w:val="004005C0"/>
    <w:rsid w:val="00400609"/>
    <w:rsid w:val="004008C6"/>
    <w:rsid w:val="00400A20"/>
    <w:rsid w:val="00400E99"/>
    <w:rsid w:val="004010D9"/>
    <w:rsid w:val="0040132E"/>
    <w:rsid w:val="0040160C"/>
    <w:rsid w:val="00402485"/>
    <w:rsid w:val="004025F9"/>
    <w:rsid w:val="0040269A"/>
    <w:rsid w:val="004028A0"/>
    <w:rsid w:val="004029E6"/>
    <w:rsid w:val="00402A63"/>
    <w:rsid w:val="00402B85"/>
    <w:rsid w:val="00402C3F"/>
    <w:rsid w:val="004030EA"/>
    <w:rsid w:val="00403332"/>
    <w:rsid w:val="00403351"/>
    <w:rsid w:val="004036FF"/>
    <w:rsid w:val="00403CD8"/>
    <w:rsid w:val="00403CEB"/>
    <w:rsid w:val="00403D8C"/>
    <w:rsid w:val="00404069"/>
    <w:rsid w:val="0040419A"/>
    <w:rsid w:val="004042FF"/>
    <w:rsid w:val="004048A0"/>
    <w:rsid w:val="00404963"/>
    <w:rsid w:val="00404CA2"/>
    <w:rsid w:val="00404DA0"/>
    <w:rsid w:val="00404EA5"/>
    <w:rsid w:val="004050F5"/>
    <w:rsid w:val="00405158"/>
    <w:rsid w:val="004058CC"/>
    <w:rsid w:val="00405A40"/>
    <w:rsid w:val="00405A43"/>
    <w:rsid w:val="004063DA"/>
    <w:rsid w:val="00406652"/>
    <w:rsid w:val="00406B34"/>
    <w:rsid w:val="00407A18"/>
    <w:rsid w:val="00407CBD"/>
    <w:rsid w:val="00407FC2"/>
    <w:rsid w:val="00410844"/>
    <w:rsid w:val="00410A1D"/>
    <w:rsid w:val="004112B0"/>
    <w:rsid w:val="004112D6"/>
    <w:rsid w:val="00411330"/>
    <w:rsid w:val="004115E9"/>
    <w:rsid w:val="0041178C"/>
    <w:rsid w:val="004117B4"/>
    <w:rsid w:val="00411C37"/>
    <w:rsid w:val="00411CD4"/>
    <w:rsid w:val="00412231"/>
    <w:rsid w:val="004123A2"/>
    <w:rsid w:val="00412660"/>
    <w:rsid w:val="00412EE2"/>
    <w:rsid w:val="00413010"/>
    <w:rsid w:val="00413266"/>
    <w:rsid w:val="0041327B"/>
    <w:rsid w:val="0041347D"/>
    <w:rsid w:val="004134AE"/>
    <w:rsid w:val="004136F6"/>
    <w:rsid w:val="004137E9"/>
    <w:rsid w:val="00413DEE"/>
    <w:rsid w:val="00413F80"/>
    <w:rsid w:val="0041417D"/>
    <w:rsid w:val="004141CA"/>
    <w:rsid w:val="0041442F"/>
    <w:rsid w:val="004146AC"/>
    <w:rsid w:val="00414D55"/>
    <w:rsid w:val="0041510A"/>
    <w:rsid w:val="004152DE"/>
    <w:rsid w:val="00415521"/>
    <w:rsid w:val="004156ED"/>
    <w:rsid w:val="00415848"/>
    <w:rsid w:val="00415E43"/>
    <w:rsid w:val="00415F0B"/>
    <w:rsid w:val="00416145"/>
    <w:rsid w:val="00416851"/>
    <w:rsid w:val="00416946"/>
    <w:rsid w:val="00417050"/>
    <w:rsid w:val="0041722D"/>
    <w:rsid w:val="004176DE"/>
    <w:rsid w:val="00417707"/>
    <w:rsid w:val="00417903"/>
    <w:rsid w:val="00417C7C"/>
    <w:rsid w:val="00417DE8"/>
    <w:rsid w:val="00417E66"/>
    <w:rsid w:val="004207E2"/>
    <w:rsid w:val="004211E5"/>
    <w:rsid w:val="00421328"/>
    <w:rsid w:val="0042228B"/>
    <w:rsid w:val="00422443"/>
    <w:rsid w:val="00422685"/>
    <w:rsid w:val="00422A8C"/>
    <w:rsid w:val="00422B8E"/>
    <w:rsid w:val="00422D8A"/>
    <w:rsid w:val="00422E5E"/>
    <w:rsid w:val="00422E7C"/>
    <w:rsid w:val="00423441"/>
    <w:rsid w:val="00423518"/>
    <w:rsid w:val="0042380C"/>
    <w:rsid w:val="00423CE8"/>
    <w:rsid w:val="0042412A"/>
    <w:rsid w:val="0042418E"/>
    <w:rsid w:val="004243DE"/>
    <w:rsid w:val="004244E5"/>
    <w:rsid w:val="004251A4"/>
    <w:rsid w:val="00425420"/>
    <w:rsid w:val="00425688"/>
    <w:rsid w:val="004257D6"/>
    <w:rsid w:val="00425E2B"/>
    <w:rsid w:val="00425F95"/>
    <w:rsid w:val="0042604F"/>
    <w:rsid w:val="00426BC3"/>
    <w:rsid w:val="00426D80"/>
    <w:rsid w:val="004279B7"/>
    <w:rsid w:val="00427A24"/>
    <w:rsid w:val="00430039"/>
    <w:rsid w:val="00430372"/>
    <w:rsid w:val="00430927"/>
    <w:rsid w:val="00430A29"/>
    <w:rsid w:val="00430F11"/>
    <w:rsid w:val="00431267"/>
    <w:rsid w:val="00431413"/>
    <w:rsid w:val="0043146B"/>
    <w:rsid w:val="00431C27"/>
    <w:rsid w:val="0043267C"/>
    <w:rsid w:val="00432A4C"/>
    <w:rsid w:val="00432D7C"/>
    <w:rsid w:val="00432FEE"/>
    <w:rsid w:val="00433A10"/>
    <w:rsid w:val="00433B60"/>
    <w:rsid w:val="004341C9"/>
    <w:rsid w:val="004342C7"/>
    <w:rsid w:val="004344AB"/>
    <w:rsid w:val="004344C5"/>
    <w:rsid w:val="00434641"/>
    <w:rsid w:val="00434739"/>
    <w:rsid w:val="00435141"/>
    <w:rsid w:val="00435413"/>
    <w:rsid w:val="00435D90"/>
    <w:rsid w:val="004360D1"/>
    <w:rsid w:val="00436E51"/>
    <w:rsid w:val="00437025"/>
    <w:rsid w:val="00437242"/>
    <w:rsid w:val="0043798C"/>
    <w:rsid w:val="00437BFC"/>
    <w:rsid w:val="00437CBA"/>
    <w:rsid w:val="00437EEB"/>
    <w:rsid w:val="00437F7A"/>
    <w:rsid w:val="0044000A"/>
    <w:rsid w:val="00440010"/>
    <w:rsid w:val="004403F6"/>
    <w:rsid w:val="004408D5"/>
    <w:rsid w:val="00440AEB"/>
    <w:rsid w:val="00440CEB"/>
    <w:rsid w:val="0044138B"/>
    <w:rsid w:val="00441444"/>
    <w:rsid w:val="00441655"/>
    <w:rsid w:val="004418A1"/>
    <w:rsid w:val="00441A54"/>
    <w:rsid w:val="00441A63"/>
    <w:rsid w:val="00441CB1"/>
    <w:rsid w:val="00442019"/>
    <w:rsid w:val="00442285"/>
    <w:rsid w:val="0044245F"/>
    <w:rsid w:val="0044356B"/>
    <w:rsid w:val="00443665"/>
    <w:rsid w:val="00443720"/>
    <w:rsid w:val="00443AC9"/>
    <w:rsid w:val="00443AFC"/>
    <w:rsid w:val="00443E3F"/>
    <w:rsid w:val="00443E98"/>
    <w:rsid w:val="00444062"/>
    <w:rsid w:val="0044409C"/>
    <w:rsid w:val="004441DB"/>
    <w:rsid w:val="00444815"/>
    <w:rsid w:val="00444990"/>
    <w:rsid w:val="0044507A"/>
    <w:rsid w:val="004452CC"/>
    <w:rsid w:val="0044555E"/>
    <w:rsid w:val="0044578A"/>
    <w:rsid w:val="00445C34"/>
    <w:rsid w:val="00445CE9"/>
    <w:rsid w:val="00446153"/>
    <w:rsid w:val="00446337"/>
    <w:rsid w:val="004468A7"/>
    <w:rsid w:val="00446A62"/>
    <w:rsid w:val="00446BB3"/>
    <w:rsid w:val="00446DBF"/>
    <w:rsid w:val="00446E99"/>
    <w:rsid w:val="004470FF"/>
    <w:rsid w:val="004473EA"/>
    <w:rsid w:val="00447488"/>
    <w:rsid w:val="00447880"/>
    <w:rsid w:val="00447906"/>
    <w:rsid w:val="00447CE8"/>
    <w:rsid w:val="00447F8B"/>
    <w:rsid w:val="004502B8"/>
    <w:rsid w:val="0045053D"/>
    <w:rsid w:val="004506B1"/>
    <w:rsid w:val="004509B9"/>
    <w:rsid w:val="0045115D"/>
    <w:rsid w:val="00451546"/>
    <w:rsid w:val="00451D73"/>
    <w:rsid w:val="004523CB"/>
    <w:rsid w:val="004528E0"/>
    <w:rsid w:val="00452F6E"/>
    <w:rsid w:val="0045322B"/>
    <w:rsid w:val="004532FD"/>
    <w:rsid w:val="00453396"/>
    <w:rsid w:val="00453918"/>
    <w:rsid w:val="004539C9"/>
    <w:rsid w:val="004539FB"/>
    <w:rsid w:val="00453C37"/>
    <w:rsid w:val="00453E84"/>
    <w:rsid w:val="004540DD"/>
    <w:rsid w:val="00454CCB"/>
    <w:rsid w:val="0045530E"/>
    <w:rsid w:val="0045545B"/>
    <w:rsid w:val="00455DFB"/>
    <w:rsid w:val="00455F6B"/>
    <w:rsid w:val="00456821"/>
    <w:rsid w:val="00456C31"/>
    <w:rsid w:val="00456D4F"/>
    <w:rsid w:val="004573C1"/>
    <w:rsid w:val="00457BF6"/>
    <w:rsid w:val="00460876"/>
    <w:rsid w:val="004608D5"/>
    <w:rsid w:val="00460C99"/>
    <w:rsid w:val="00460D4C"/>
    <w:rsid w:val="004612BE"/>
    <w:rsid w:val="0046131E"/>
    <w:rsid w:val="00461505"/>
    <w:rsid w:val="00461732"/>
    <w:rsid w:val="00461831"/>
    <w:rsid w:val="0046186E"/>
    <w:rsid w:val="004618A7"/>
    <w:rsid w:val="004618EB"/>
    <w:rsid w:val="00462004"/>
    <w:rsid w:val="00462433"/>
    <w:rsid w:val="004629F1"/>
    <w:rsid w:val="00462CFB"/>
    <w:rsid w:val="00462D96"/>
    <w:rsid w:val="00462F4C"/>
    <w:rsid w:val="00462F9A"/>
    <w:rsid w:val="00462FF8"/>
    <w:rsid w:val="004630D9"/>
    <w:rsid w:val="00463255"/>
    <w:rsid w:val="004637C4"/>
    <w:rsid w:val="00463A3B"/>
    <w:rsid w:val="00463B56"/>
    <w:rsid w:val="00463CA1"/>
    <w:rsid w:val="00463F27"/>
    <w:rsid w:val="00464095"/>
    <w:rsid w:val="004643C9"/>
    <w:rsid w:val="0046480D"/>
    <w:rsid w:val="00465103"/>
    <w:rsid w:val="00465434"/>
    <w:rsid w:val="00465B56"/>
    <w:rsid w:val="00466189"/>
    <w:rsid w:val="004661FF"/>
    <w:rsid w:val="004666ED"/>
    <w:rsid w:val="004672EA"/>
    <w:rsid w:val="00467740"/>
    <w:rsid w:val="00467A54"/>
    <w:rsid w:val="00467A7A"/>
    <w:rsid w:val="00467A82"/>
    <w:rsid w:val="00467C99"/>
    <w:rsid w:val="004701DA"/>
    <w:rsid w:val="00470271"/>
    <w:rsid w:val="004705DA"/>
    <w:rsid w:val="004706F9"/>
    <w:rsid w:val="00470A01"/>
    <w:rsid w:val="00470A18"/>
    <w:rsid w:val="00471182"/>
    <w:rsid w:val="0047121A"/>
    <w:rsid w:val="00471A08"/>
    <w:rsid w:val="00471BB0"/>
    <w:rsid w:val="00471EE1"/>
    <w:rsid w:val="0047209B"/>
    <w:rsid w:val="004723D1"/>
    <w:rsid w:val="004724F6"/>
    <w:rsid w:val="004724F7"/>
    <w:rsid w:val="004727B2"/>
    <w:rsid w:val="00472C68"/>
    <w:rsid w:val="00472F7E"/>
    <w:rsid w:val="00472F81"/>
    <w:rsid w:val="004736A4"/>
    <w:rsid w:val="00473E4C"/>
    <w:rsid w:val="00473FC2"/>
    <w:rsid w:val="0047405C"/>
    <w:rsid w:val="00474553"/>
    <w:rsid w:val="0047475B"/>
    <w:rsid w:val="00474791"/>
    <w:rsid w:val="004747B2"/>
    <w:rsid w:val="0047525A"/>
    <w:rsid w:val="00475593"/>
    <w:rsid w:val="00475611"/>
    <w:rsid w:val="00475711"/>
    <w:rsid w:val="0047588A"/>
    <w:rsid w:val="00475A24"/>
    <w:rsid w:val="00475AB0"/>
    <w:rsid w:val="0047602F"/>
    <w:rsid w:val="00476222"/>
    <w:rsid w:val="00476555"/>
    <w:rsid w:val="004767DB"/>
    <w:rsid w:val="0047688A"/>
    <w:rsid w:val="00476DB4"/>
    <w:rsid w:val="004770C4"/>
    <w:rsid w:val="00477C8A"/>
    <w:rsid w:val="00477CB1"/>
    <w:rsid w:val="00477DF5"/>
    <w:rsid w:val="00480264"/>
    <w:rsid w:val="00480466"/>
    <w:rsid w:val="00480771"/>
    <w:rsid w:val="00480BD1"/>
    <w:rsid w:val="00480C5B"/>
    <w:rsid w:val="00480FE9"/>
    <w:rsid w:val="004810E3"/>
    <w:rsid w:val="004811A4"/>
    <w:rsid w:val="00481357"/>
    <w:rsid w:val="00481496"/>
    <w:rsid w:val="004819D3"/>
    <w:rsid w:val="00481BEA"/>
    <w:rsid w:val="00481D96"/>
    <w:rsid w:val="00481FBD"/>
    <w:rsid w:val="004821DF"/>
    <w:rsid w:val="004823B6"/>
    <w:rsid w:val="00482444"/>
    <w:rsid w:val="0048266A"/>
    <w:rsid w:val="0048268F"/>
    <w:rsid w:val="00482895"/>
    <w:rsid w:val="004829C5"/>
    <w:rsid w:val="0048389D"/>
    <w:rsid w:val="004838A2"/>
    <w:rsid w:val="00483BC7"/>
    <w:rsid w:val="00483E2A"/>
    <w:rsid w:val="004841CE"/>
    <w:rsid w:val="00484968"/>
    <w:rsid w:val="004849C5"/>
    <w:rsid w:val="004849F8"/>
    <w:rsid w:val="00484A3D"/>
    <w:rsid w:val="00484C5B"/>
    <w:rsid w:val="00484C84"/>
    <w:rsid w:val="00484FC4"/>
    <w:rsid w:val="00485110"/>
    <w:rsid w:val="004851B9"/>
    <w:rsid w:val="004856F5"/>
    <w:rsid w:val="00485A9F"/>
    <w:rsid w:val="00485E16"/>
    <w:rsid w:val="00485E2B"/>
    <w:rsid w:val="0048602B"/>
    <w:rsid w:val="004862A2"/>
    <w:rsid w:val="00486AC8"/>
    <w:rsid w:val="00487008"/>
    <w:rsid w:val="004872E2"/>
    <w:rsid w:val="0048747D"/>
    <w:rsid w:val="004874FA"/>
    <w:rsid w:val="0048769E"/>
    <w:rsid w:val="004877E0"/>
    <w:rsid w:val="00487AA8"/>
    <w:rsid w:val="00487CBC"/>
    <w:rsid w:val="0049004D"/>
    <w:rsid w:val="004901FA"/>
    <w:rsid w:val="0049048B"/>
    <w:rsid w:val="004904DD"/>
    <w:rsid w:val="0049075E"/>
    <w:rsid w:val="0049097E"/>
    <w:rsid w:val="004909FE"/>
    <w:rsid w:val="00490B1A"/>
    <w:rsid w:val="0049115D"/>
    <w:rsid w:val="004911E8"/>
    <w:rsid w:val="00491815"/>
    <w:rsid w:val="00491ADD"/>
    <w:rsid w:val="00491B01"/>
    <w:rsid w:val="0049203E"/>
    <w:rsid w:val="004928AE"/>
    <w:rsid w:val="00492E40"/>
    <w:rsid w:val="004939D0"/>
    <w:rsid w:val="00493C5C"/>
    <w:rsid w:val="00493FF4"/>
    <w:rsid w:val="00494713"/>
    <w:rsid w:val="00494874"/>
    <w:rsid w:val="00494909"/>
    <w:rsid w:val="00494A1D"/>
    <w:rsid w:val="0049523B"/>
    <w:rsid w:val="00495293"/>
    <w:rsid w:val="00495303"/>
    <w:rsid w:val="00495576"/>
    <w:rsid w:val="0049559E"/>
    <w:rsid w:val="004956EA"/>
    <w:rsid w:val="00495B7D"/>
    <w:rsid w:val="00496071"/>
    <w:rsid w:val="00496432"/>
    <w:rsid w:val="00496910"/>
    <w:rsid w:val="00496B8B"/>
    <w:rsid w:val="00496D28"/>
    <w:rsid w:val="004973C3"/>
    <w:rsid w:val="00497D2A"/>
    <w:rsid w:val="004A1EBC"/>
    <w:rsid w:val="004A2589"/>
    <w:rsid w:val="004A2F40"/>
    <w:rsid w:val="004A326A"/>
    <w:rsid w:val="004A328D"/>
    <w:rsid w:val="004A3412"/>
    <w:rsid w:val="004A3FD1"/>
    <w:rsid w:val="004A42C6"/>
    <w:rsid w:val="004A43EF"/>
    <w:rsid w:val="004A442B"/>
    <w:rsid w:val="004A4582"/>
    <w:rsid w:val="004A46C7"/>
    <w:rsid w:val="004A502D"/>
    <w:rsid w:val="004A5092"/>
    <w:rsid w:val="004A575A"/>
    <w:rsid w:val="004A5EB0"/>
    <w:rsid w:val="004A611E"/>
    <w:rsid w:val="004A6208"/>
    <w:rsid w:val="004A659F"/>
    <w:rsid w:val="004A664D"/>
    <w:rsid w:val="004A669E"/>
    <w:rsid w:val="004A68F3"/>
    <w:rsid w:val="004A6943"/>
    <w:rsid w:val="004A69C3"/>
    <w:rsid w:val="004A6ED5"/>
    <w:rsid w:val="004A7077"/>
    <w:rsid w:val="004A755B"/>
    <w:rsid w:val="004A7596"/>
    <w:rsid w:val="004A7A61"/>
    <w:rsid w:val="004B0070"/>
    <w:rsid w:val="004B00CB"/>
    <w:rsid w:val="004B054C"/>
    <w:rsid w:val="004B0E95"/>
    <w:rsid w:val="004B1360"/>
    <w:rsid w:val="004B13CC"/>
    <w:rsid w:val="004B15C6"/>
    <w:rsid w:val="004B21BB"/>
    <w:rsid w:val="004B23FF"/>
    <w:rsid w:val="004B325B"/>
    <w:rsid w:val="004B3743"/>
    <w:rsid w:val="004B3A3C"/>
    <w:rsid w:val="004B3D74"/>
    <w:rsid w:val="004B3E09"/>
    <w:rsid w:val="004B42ED"/>
    <w:rsid w:val="004B440C"/>
    <w:rsid w:val="004B4943"/>
    <w:rsid w:val="004B4AFC"/>
    <w:rsid w:val="004B4C05"/>
    <w:rsid w:val="004B54B9"/>
    <w:rsid w:val="004B5734"/>
    <w:rsid w:val="004B5E34"/>
    <w:rsid w:val="004B5EB3"/>
    <w:rsid w:val="004B7019"/>
    <w:rsid w:val="004B7461"/>
    <w:rsid w:val="004B7A5D"/>
    <w:rsid w:val="004B7AE6"/>
    <w:rsid w:val="004B7BFB"/>
    <w:rsid w:val="004B7E27"/>
    <w:rsid w:val="004C00F0"/>
    <w:rsid w:val="004C03CE"/>
    <w:rsid w:val="004C0AC9"/>
    <w:rsid w:val="004C0ACD"/>
    <w:rsid w:val="004C0BE3"/>
    <w:rsid w:val="004C0D27"/>
    <w:rsid w:val="004C13D7"/>
    <w:rsid w:val="004C17CE"/>
    <w:rsid w:val="004C17E2"/>
    <w:rsid w:val="004C181B"/>
    <w:rsid w:val="004C1A53"/>
    <w:rsid w:val="004C1B8C"/>
    <w:rsid w:val="004C20D3"/>
    <w:rsid w:val="004C3188"/>
    <w:rsid w:val="004C32B4"/>
    <w:rsid w:val="004C3427"/>
    <w:rsid w:val="004C3A6E"/>
    <w:rsid w:val="004C46F7"/>
    <w:rsid w:val="004C47BB"/>
    <w:rsid w:val="004C4C21"/>
    <w:rsid w:val="004C4E0B"/>
    <w:rsid w:val="004C5413"/>
    <w:rsid w:val="004C5573"/>
    <w:rsid w:val="004C5D98"/>
    <w:rsid w:val="004C5DAB"/>
    <w:rsid w:val="004C6290"/>
    <w:rsid w:val="004C6291"/>
    <w:rsid w:val="004C6321"/>
    <w:rsid w:val="004C6378"/>
    <w:rsid w:val="004C6416"/>
    <w:rsid w:val="004C65A2"/>
    <w:rsid w:val="004C66D5"/>
    <w:rsid w:val="004C6700"/>
    <w:rsid w:val="004C68E5"/>
    <w:rsid w:val="004C6C5D"/>
    <w:rsid w:val="004C7029"/>
    <w:rsid w:val="004C7277"/>
    <w:rsid w:val="004C7381"/>
    <w:rsid w:val="004C7489"/>
    <w:rsid w:val="004C7A41"/>
    <w:rsid w:val="004C7E50"/>
    <w:rsid w:val="004C7F6E"/>
    <w:rsid w:val="004D0025"/>
    <w:rsid w:val="004D01CE"/>
    <w:rsid w:val="004D0274"/>
    <w:rsid w:val="004D03C2"/>
    <w:rsid w:val="004D04CE"/>
    <w:rsid w:val="004D057C"/>
    <w:rsid w:val="004D0930"/>
    <w:rsid w:val="004D0974"/>
    <w:rsid w:val="004D0F47"/>
    <w:rsid w:val="004D1560"/>
    <w:rsid w:val="004D1A08"/>
    <w:rsid w:val="004D1CE5"/>
    <w:rsid w:val="004D1E09"/>
    <w:rsid w:val="004D224A"/>
    <w:rsid w:val="004D2629"/>
    <w:rsid w:val="004D2B17"/>
    <w:rsid w:val="004D2D4F"/>
    <w:rsid w:val="004D3199"/>
    <w:rsid w:val="004D32ED"/>
    <w:rsid w:val="004D3575"/>
    <w:rsid w:val="004D36C9"/>
    <w:rsid w:val="004D3830"/>
    <w:rsid w:val="004D3B74"/>
    <w:rsid w:val="004D3E0F"/>
    <w:rsid w:val="004D419A"/>
    <w:rsid w:val="004D41C5"/>
    <w:rsid w:val="004D424B"/>
    <w:rsid w:val="004D459F"/>
    <w:rsid w:val="004D47DA"/>
    <w:rsid w:val="004D529A"/>
    <w:rsid w:val="004D5854"/>
    <w:rsid w:val="004D5AAB"/>
    <w:rsid w:val="004D6072"/>
    <w:rsid w:val="004D60C8"/>
    <w:rsid w:val="004D61A6"/>
    <w:rsid w:val="004D64D8"/>
    <w:rsid w:val="004D665A"/>
    <w:rsid w:val="004D67F2"/>
    <w:rsid w:val="004D6DF2"/>
    <w:rsid w:val="004D6E12"/>
    <w:rsid w:val="004D764F"/>
    <w:rsid w:val="004D7A53"/>
    <w:rsid w:val="004D7C88"/>
    <w:rsid w:val="004D7FDC"/>
    <w:rsid w:val="004E009A"/>
    <w:rsid w:val="004E022C"/>
    <w:rsid w:val="004E039A"/>
    <w:rsid w:val="004E058B"/>
    <w:rsid w:val="004E0E31"/>
    <w:rsid w:val="004E126E"/>
    <w:rsid w:val="004E1354"/>
    <w:rsid w:val="004E143C"/>
    <w:rsid w:val="004E1603"/>
    <w:rsid w:val="004E16DB"/>
    <w:rsid w:val="004E18F6"/>
    <w:rsid w:val="004E20EF"/>
    <w:rsid w:val="004E23E0"/>
    <w:rsid w:val="004E2D17"/>
    <w:rsid w:val="004E3217"/>
    <w:rsid w:val="004E3342"/>
    <w:rsid w:val="004E35D9"/>
    <w:rsid w:val="004E38C8"/>
    <w:rsid w:val="004E3AD6"/>
    <w:rsid w:val="004E4088"/>
    <w:rsid w:val="004E439D"/>
    <w:rsid w:val="004E442D"/>
    <w:rsid w:val="004E4D24"/>
    <w:rsid w:val="004E4DAE"/>
    <w:rsid w:val="004E5333"/>
    <w:rsid w:val="004E555A"/>
    <w:rsid w:val="004E56D6"/>
    <w:rsid w:val="004E5A39"/>
    <w:rsid w:val="004E5AC9"/>
    <w:rsid w:val="004E5C04"/>
    <w:rsid w:val="004E5FEF"/>
    <w:rsid w:val="004E6098"/>
    <w:rsid w:val="004E60BF"/>
    <w:rsid w:val="004E653D"/>
    <w:rsid w:val="004E696A"/>
    <w:rsid w:val="004E6B60"/>
    <w:rsid w:val="004E6E85"/>
    <w:rsid w:val="004E76FF"/>
    <w:rsid w:val="004E77B7"/>
    <w:rsid w:val="004E7E00"/>
    <w:rsid w:val="004F01C0"/>
    <w:rsid w:val="004F051D"/>
    <w:rsid w:val="004F05E2"/>
    <w:rsid w:val="004F0731"/>
    <w:rsid w:val="004F0C39"/>
    <w:rsid w:val="004F0CD2"/>
    <w:rsid w:val="004F10EA"/>
    <w:rsid w:val="004F1118"/>
    <w:rsid w:val="004F1229"/>
    <w:rsid w:val="004F1A37"/>
    <w:rsid w:val="004F1DEC"/>
    <w:rsid w:val="004F2140"/>
    <w:rsid w:val="004F2174"/>
    <w:rsid w:val="004F2CA7"/>
    <w:rsid w:val="004F2D9F"/>
    <w:rsid w:val="004F301C"/>
    <w:rsid w:val="004F33B0"/>
    <w:rsid w:val="004F33DD"/>
    <w:rsid w:val="004F350A"/>
    <w:rsid w:val="004F39A1"/>
    <w:rsid w:val="004F3A38"/>
    <w:rsid w:val="004F3D42"/>
    <w:rsid w:val="004F3EE8"/>
    <w:rsid w:val="004F3FB3"/>
    <w:rsid w:val="004F3FD3"/>
    <w:rsid w:val="004F466B"/>
    <w:rsid w:val="004F49B0"/>
    <w:rsid w:val="004F4F91"/>
    <w:rsid w:val="004F501C"/>
    <w:rsid w:val="004F50E0"/>
    <w:rsid w:val="004F534A"/>
    <w:rsid w:val="004F5437"/>
    <w:rsid w:val="004F54B7"/>
    <w:rsid w:val="004F5C5E"/>
    <w:rsid w:val="004F62D9"/>
    <w:rsid w:val="004F64D4"/>
    <w:rsid w:val="004F68B6"/>
    <w:rsid w:val="004F6980"/>
    <w:rsid w:val="004F6E2B"/>
    <w:rsid w:val="004F6F4A"/>
    <w:rsid w:val="004F708C"/>
    <w:rsid w:val="004F7170"/>
    <w:rsid w:val="004F770D"/>
    <w:rsid w:val="004F7826"/>
    <w:rsid w:val="004F7992"/>
    <w:rsid w:val="004F7BDE"/>
    <w:rsid w:val="004F7F9F"/>
    <w:rsid w:val="004F7FB4"/>
    <w:rsid w:val="00500894"/>
    <w:rsid w:val="0050096F"/>
    <w:rsid w:val="00500CF9"/>
    <w:rsid w:val="00500F88"/>
    <w:rsid w:val="00501124"/>
    <w:rsid w:val="0050112B"/>
    <w:rsid w:val="00501362"/>
    <w:rsid w:val="00501510"/>
    <w:rsid w:val="005019BC"/>
    <w:rsid w:val="00501A30"/>
    <w:rsid w:val="00501D30"/>
    <w:rsid w:val="00501F2E"/>
    <w:rsid w:val="00502236"/>
    <w:rsid w:val="005023C5"/>
    <w:rsid w:val="0050255C"/>
    <w:rsid w:val="00502597"/>
    <w:rsid w:val="0050274A"/>
    <w:rsid w:val="00502AFA"/>
    <w:rsid w:val="00502D23"/>
    <w:rsid w:val="00502F27"/>
    <w:rsid w:val="005030A5"/>
    <w:rsid w:val="005038C5"/>
    <w:rsid w:val="00503A03"/>
    <w:rsid w:val="00503A78"/>
    <w:rsid w:val="00503CF5"/>
    <w:rsid w:val="005048BF"/>
    <w:rsid w:val="00504EDF"/>
    <w:rsid w:val="00505071"/>
    <w:rsid w:val="005052AB"/>
    <w:rsid w:val="005055CB"/>
    <w:rsid w:val="00505709"/>
    <w:rsid w:val="0050652E"/>
    <w:rsid w:val="005066C3"/>
    <w:rsid w:val="00506776"/>
    <w:rsid w:val="005069AA"/>
    <w:rsid w:val="00506C2E"/>
    <w:rsid w:val="00506E2F"/>
    <w:rsid w:val="00507133"/>
    <w:rsid w:val="005072BE"/>
    <w:rsid w:val="00507532"/>
    <w:rsid w:val="00507C98"/>
    <w:rsid w:val="00507D46"/>
    <w:rsid w:val="0051019F"/>
    <w:rsid w:val="00510A60"/>
    <w:rsid w:val="00510B30"/>
    <w:rsid w:val="00510B84"/>
    <w:rsid w:val="00510DA5"/>
    <w:rsid w:val="00510FEB"/>
    <w:rsid w:val="00511239"/>
    <w:rsid w:val="005113DC"/>
    <w:rsid w:val="005114A5"/>
    <w:rsid w:val="0051151B"/>
    <w:rsid w:val="00511565"/>
    <w:rsid w:val="005115C3"/>
    <w:rsid w:val="005118C4"/>
    <w:rsid w:val="00511C27"/>
    <w:rsid w:val="00511C50"/>
    <w:rsid w:val="00511C9D"/>
    <w:rsid w:val="00511D56"/>
    <w:rsid w:val="00512030"/>
    <w:rsid w:val="0051207A"/>
    <w:rsid w:val="00512175"/>
    <w:rsid w:val="00512924"/>
    <w:rsid w:val="00513030"/>
    <w:rsid w:val="0051323B"/>
    <w:rsid w:val="00513286"/>
    <w:rsid w:val="00513524"/>
    <w:rsid w:val="005139AE"/>
    <w:rsid w:val="00513A21"/>
    <w:rsid w:val="00513E74"/>
    <w:rsid w:val="005142AE"/>
    <w:rsid w:val="00514594"/>
    <w:rsid w:val="005147D0"/>
    <w:rsid w:val="0051481D"/>
    <w:rsid w:val="0051488E"/>
    <w:rsid w:val="00514A56"/>
    <w:rsid w:val="00514BC8"/>
    <w:rsid w:val="00514D94"/>
    <w:rsid w:val="0051529B"/>
    <w:rsid w:val="005158DF"/>
    <w:rsid w:val="00515BF5"/>
    <w:rsid w:val="00515C8E"/>
    <w:rsid w:val="005161F0"/>
    <w:rsid w:val="0051625C"/>
    <w:rsid w:val="005163DE"/>
    <w:rsid w:val="005164BF"/>
    <w:rsid w:val="00516B42"/>
    <w:rsid w:val="00516F35"/>
    <w:rsid w:val="00517102"/>
    <w:rsid w:val="0052000A"/>
    <w:rsid w:val="0052006D"/>
    <w:rsid w:val="005203C0"/>
    <w:rsid w:val="005205B0"/>
    <w:rsid w:val="00520AA3"/>
    <w:rsid w:val="00521163"/>
    <w:rsid w:val="0052117C"/>
    <w:rsid w:val="0052124A"/>
    <w:rsid w:val="0052127B"/>
    <w:rsid w:val="00521727"/>
    <w:rsid w:val="00521990"/>
    <w:rsid w:val="00521DBD"/>
    <w:rsid w:val="00522375"/>
    <w:rsid w:val="005223D8"/>
    <w:rsid w:val="005224CF"/>
    <w:rsid w:val="005238A5"/>
    <w:rsid w:val="00524386"/>
    <w:rsid w:val="005247A4"/>
    <w:rsid w:val="00525735"/>
    <w:rsid w:val="00525B3C"/>
    <w:rsid w:val="00525B98"/>
    <w:rsid w:val="00525C75"/>
    <w:rsid w:val="00525F88"/>
    <w:rsid w:val="005263E9"/>
    <w:rsid w:val="005264ED"/>
    <w:rsid w:val="0052666B"/>
    <w:rsid w:val="00526A75"/>
    <w:rsid w:val="005272C5"/>
    <w:rsid w:val="005279DD"/>
    <w:rsid w:val="00527BC4"/>
    <w:rsid w:val="00527DA6"/>
    <w:rsid w:val="00530172"/>
    <w:rsid w:val="005303B6"/>
    <w:rsid w:val="005303CA"/>
    <w:rsid w:val="005304DC"/>
    <w:rsid w:val="00530835"/>
    <w:rsid w:val="00530B7F"/>
    <w:rsid w:val="005316C7"/>
    <w:rsid w:val="00531AD7"/>
    <w:rsid w:val="00531FA6"/>
    <w:rsid w:val="00532158"/>
    <w:rsid w:val="005322D9"/>
    <w:rsid w:val="005324A3"/>
    <w:rsid w:val="00532A78"/>
    <w:rsid w:val="00532E78"/>
    <w:rsid w:val="00533154"/>
    <w:rsid w:val="005336EA"/>
    <w:rsid w:val="00533D59"/>
    <w:rsid w:val="00533E6A"/>
    <w:rsid w:val="0053433E"/>
    <w:rsid w:val="005347D6"/>
    <w:rsid w:val="00534CBE"/>
    <w:rsid w:val="00534D13"/>
    <w:rsid w:val="00534E2C"/>
    <w:rsid w:val="00534FCF"/>
    <w:rsid w:val="00534FDC"/>
    <w:rsid w:val="00535429"/>
    <w:rsid w:val="005358E4"/>
    <w:rsid w:val="00535C46"/>
    <w:rsid w:val="00535ED1"/>
    <w:rsid w:val="00536633"/>
    <w:rsid w:val="00536C68"/>
    <w:rsid w:val="00536E61"/>
    <w:rsid w:val="00536F81"/>
    <w:rsid w:val="00537BA9"/>
    <w:rsid w:val="00537E55"/>
    <w:rsid w:val="0054022A"/>
    <w:rsid w:val="005403C5"/>
    <w:rsid w:val="005403FF"/>
    <w:rsid w:val="0054058E"/>
    <w:rsid w:val="00540FC1"/>
    <w:rsid w:val="0054129B"/>
    <w:rsid w:val="005415B0"/>
    <w:rsid w:val="0054196F"/>
    <w:rsid w:val="00541A32"/>
    <w:rsid w:val="00541ACA"/>
    <w:rsid w:val="00541C86"/>
    <w:rsid w:val="00541F26"/>
    <w:rsid w:val="0054231A"/>
    <w:rsid w:val="00542648"/>
    <w:rsid w:val="005426B0"/>
    <w:rsid w:val="005427E4"/>
    <w:rsid w:val="00542C73"/>
    <w:rsid w:val="00542E7F"/>
    <w:rsid w:val="00542E99"/>
    <w:rsid w:val="005435B8"/>
    <w:rsid w:val="00543A9F"/>
    <w:rsid w:val="00543BB7"/>
    <w:rsid w:val="00543C51"/>
    <w:rsid w:val="00544526"/>
    <w:rsid w:val="005445C3"/>
    <w:rsid w:val="005445DB"/>
    <w:rsid w:val="0054476D"/>
    <w:rsid w:val="0054507A"/>
    <w:rsid w:val="0054514D"/>
    <w:rsid w:val="005453B8"/>
    <w:rsid w:val="00545418"/>
    <w:rsid w:val="00545914"/>
    <w:rsid w:val="00545AF1"/>
    <w:rsid w:val="00545BFC"/>
    <w:rsid w:val="00545FA6"/>
    <w:rsid w:val="0054642C"/>
    <w:rsid w:val="0054662C"/>
    <w:rsid w:val="0054692D"/>
    <w:rsid w:val="00546BC0"/>
    <w:rsid w:val="00546C95"/>
    <w:rsid w:val="00546CDD"/>
    <w:rsid w:val="005470EA"/>
    <w:rsid w:val="00547336"/>
    <w:rsid w:val="00547780"/>
    <w:rsid w:val="005477D0"/>
    <w:rsid w:val="00547A8A"/>
    <w:rsid w:val="00550045"/>
    <w:rsid w:val="00550067"/>
    <w:rsid w:val="0055030D"/>
    <w:rsid w:val="0055032A"/>
    <w:rsid w:val="005505F3"/>
    <w:rsid w:val="00550686"/>
    <w:rsid w:val="005506F4"/>
    <w:rsid w:val="00550884"/>
    <w:rsid w:val="005512B9"/>
    <w:rsid w:val="00551541"/>
    <w:rsid w:val="00551554"/>
    <w:rsid w:val="00551729"/>
    <w:rsid w:val="00551790"/>
    <w:rsid w:val="0055221F"/>
    <w:rsid w:val="0055224A"/>
    <w:rsid w:val="0055239E"/>
    <w:rsid w:val="005524BA"/>
    <w:rsid w:val="0055276C"/>
    <w:rsid w:val="00552BAF"/>
    <w:rsid w:val="00552D25"/>
    <w:rsid w:val="00553A4F"/>
    <w:rsid w:val="00553B0E"/>
    <w:rsid w:val="00553B88"/>
    <w:rsid w:val="00553C70"/>
    <w:rsid w:val="00553F9A"/>
    <w:rsid w:val="005545D1"/>
    <w:rsid w:val="005548BD"/>
    <w:rsid w:val="00554C5B"/>
    <w:rsid w:val="00555879"/>
    <w:rsid w:val="00555AD2"/>
    <w:rsid w:val="00555CF4"/>
    <w:rsid w:val="0055633C"/>
    <w:rsid w:val="005567D4"/>
    <w:rsid w:val="00556A6F"/>
    <w:rsid w:val="00556C83"/>
    <w:rsid w:val="00556C95"/>
    <w:rsid w:val="00556D5A"/>
    <w:rsid w:val="00557002"/>
    <w:rsid w:val="00557026"/>
    <w:rsid w:val="00557112"/>
    <w:rsid w:val="0055714D"/>
    <w:rsid w:val="005573E2"/>
    <w:rsid w:val="0055757C"/>
    <w:rsid w:val="00557C19"/>
    <w:rsid w:val="00557E18"/>
    <w:rsid w:val="0056035E"/>
    <w:rsid w:val="005604AB"/>
    <w:rsid w:val="005605FD"/>
    <w:rsid w:val="00560F03"/>
    <w:rsid w:val="00561AFE"/>
    <w:rsid w:val="00561D93"/>
    <w:rsid w:val="005624B7"/>
    <w:rsid w:val="005625F5"/>
    <w:rsid w:val="005629B1"/>
    <w:rsid w:val="005629F0"/>
    <w:rsid w:val="00562A08"/>
    <w:rsid w:val="00562B4F"/>
    <w:rsid w:val="00562F47"/>
    <w:rsid w:val="00563149"/>
    <w:rsid w:val="0056341E"/>
    <w:rsid w:val="00563717"/>
    <w:rsid w:val="0056374C"/>
    <w:rsid w:val="00563C9F"/>
    <w:rsid w:val="0056408B"/>
    <w:rsid w:val="00564238"/>
    <w:rsid w:val="00564853"/>
    <w:rsid w:val="005651B1"/>
    <w:rsid w:val="005653E5"/>
    <w:rsid w:val="00565516"/>
    <w:rsid w:val="005655E9"/>
    <w:rsid w:val="00565628"/>
    <w:rsid w:val="00565929"/>
    <w:rsid w:val="005659E6"/>
    <w:rsid w:val="005660CE"/>
    <w:rsid w:val="005662CA"/>
    <w:rsid w:val="005664CB"/>
    <w:rsid w:val="005667CA"/>
    <w:rsid w:val="0056683A"/>
    <w:rsid w:val="00566C49"/>
    <w:rsid w:val="00566D4B"/>
    <w:rsid w:val="0056719D"/>
    <w:rsid w:val="0056769B"/>
    <w:rsid w:val="00567CCF"/>
    <w:rsid w:val="00567E18"/>
    <w:rsid w:val="0057022D"/>
    <w:rsid w:val="005702E2"/>
    <w:rsid w:val="00570459"/>
    <w:rsid w:val="00570900"/>
    <w:rsid w:val="00570B70"/>
    <w:rsid w:val="00570B72"/>
    <w:rsid w:val="00570BDA"/>
    <w:rsid w:val="00570FD4"/>
    <w:rsid w:val="0057133F"/>
    <w:rsid w:val="005713F6"/>
    <w:rsid w:val="00571F10"/>
    <w:rsid w:val="00571FB6"/>
    <w:rsid w:val="00572662"/>
    <w:rsid w:val="00572700"/>
    <w:rsid w:val="00572958"/>
    <w:rsid w:val="005732CD"/>
    <w:rsid w:val="0057364A"/>
    <w:rsid w:val="0057385B"/>
    <w:rsid w:val="00573A04"/>
    <w:rsid w:val="00574141"/>
    <w:rsid w:val="0057414D"/>
    <w:rsid w:val="005746DC"/>
    <w:rsid w:val="00574756"/>
    <w:rsid w:val="00574966"/>
    <w:rsid w:val="00574B4E"/>
    <w:rsid w:val="00574DA1"/>
    <w:rsid w:val="00575E54"/>
    <w:rsid w:val="00576165"/>
    <w:rsid w:val="0057638C"/>
    <w:rsid w:val="005766D1"/>
    <w:rsid w:val="0057672B"/>
    <w:rsid w:val="005768D9"/>
    <w:rsid w:val="00576B05"/>
    <w:rsid w:val="00576BC4"/>
    <w:rsid w:val="00576DF8"/>
    <w:rsid w:val="00577367"/>
    <w:rsid w:val="005773FF"/>
    <w:rsid w:val="005774FA"/>
    <w:rsid w:val="005775F4"/>
    <w:rsid w:val="005779A8"/>
    <w:rsid w:val="00577DA4"/>
    <w:rsid w:val="00577EDE"/>
    <w:rsid w:val="0058029B"/>
    <w:rsid w:val="005805E8"/>
    <w:rsid w:val="00580ACE"/>
    <w:rsid w:val="00580B15"/>
    <w:rsid w:val="00580E44"/>
    <w:rsid w:val="00580F96"/>
    <w:rsid w:val="005817F6"/>
    <w:rsid w:val="00581968"/>
    <w:rsid w:val="00581CB4"/>
    <w:rsid w:val="00581EA6"/>
    <w:rsid w:val="005822E2"/>
    <w:rsid w:val="0058238A"/>
    <w:rsid w:val="00582418"/>
    <w:rsid w:val="00582764"/>
    <w:rsid w:val="005828D8"/>
    <w:rsid w:val="00582A2E"/>
    <w:rsid w:val="00582A46"/>
    <w:rsid w:val="00582AD4"/>
    <w:rsid w:val="00582BF7"/>
    <w:rsid w:val="00582CC9"/>
    <w:rsid w:val="005833BF"/>
    <w:rsid w:val="00583C05"/>
    <w:rsid w:val="005843E6"/>
    <w:rsid w:val="00584432"/>
    <w:rsid w:val="005844B1"/>
    <w:rsid w:val="00584A66"/>
    <w:rsid w:val="00584BCF"/>
    <w:rsid w:val="00584E18"/>
    <w:rsid w:val="005852DC"/>
    <w:rsid w:val="0058533A"/>
    <w:rsid w:val="00585535"/>
    <w:rsid w:val="0058566E"/>
    <w:rsid w:val="00585672"/>
    <w:rsid w:val="00585AA4"/>
    <w:rsid w:val="00585BCB"/>
    <w:rsid w:val="00585D1F"/>
    <w:rsid w:val="00585D3F"/>
    <w:rsid w:val="00586197"/>
    <w:rsid w:val="0058653F"/>
    <w:rsid w:val="00586541"/>
    <w:rsid w:val="00586562"/>
    <w:rsid w:val="00586B29"/>
    <w:rsid w:val="00586C37"/>
    <w:rsid w:val="00586FF4"/>
    <w:rsid w:val="0058707F"/>
    <w:rsid w:val="005873EB"/>
    <w:rsid w:val="00587535"/>
    <w:rsid w:val="00587882"/>
    <w:rsid w:val="00587F4C"/>
    <w:rsid w:val="0059015F"/>
    <w:rsid w:val="0059033B"/>
    <w:rsid w:val="0059059C"/>
    <w:rsid w:val="00590A16"/>
    <w:rsid w:val="00590B77"/>
    <w:rsid w:val="00590E16"/>
    <w:rsid w:val="00590ED2"/>
    <w:rsid w:val="0059142D"/>
    <w:rsid w:val="00591683"/>
    <w:rsid w:val="005916C0"/>
    <w:rsid w:val="005916E3"/>
    <w:rsid w:val="005916E8"/>
    <w:rsid w:val="00592529"/>
    <w:rsid w:val="0059277D"/>
    <w:rsid w:val="005934E2"/>
    <w:rsid w:val="005939BA"/>
    <w:rsid w:val="00593C0E"/>
    <w:rsid w:val="00593E89"/>
    <w:rsid w:val="0059413A"/>
    <w:rsid w:val="0059423C"/>
    <w:rsid w:val="005943BF"/>
    <w:rsid w:val="0059440C"/>
    <w:rsid w:val="00594D42"/>
    <w:rsid w:val="00594DAC"/>
    <w:rsid w:val="005955BF"/>
    <w:rsid w:val="00595DE2"/>
    <w:rsid w:val="0059641E"/>
    <w:rsid w:val="00596694"/>
    <w:rsid w:val="00596DD6"/>
    <w:rsid w:val="00596E38"/>
    <w:rsid w:val="005974B7"/>
    <w:rsid w:val="0059794F"/>
    <w:rsid w:val="00597993"/>
    <w:rsid w:val="00597CD2"/>
    <w:rsid w:val="005A10D1"/>
    <w:rsid w:val="005A140D"/>
    <w:rsid w:val="005A1FCE"/>
    <w:rsid w:val="005A2103"/>
    <w:rsid w:val="005A2270"/>
    <w:rsid w:val="005A2A22"/>
    <w:rsid w:val="005A3091"/>
    <w:rsid w:val="005A3212"/>
    <w:rsid w:val="005A355A"/>
    <w:rsid w:val="005A3593"/>
    <w:rsid w:val="005A38F1"/>
    <w:rsid w:val="005A3C6E"/>
    <w:rsid w:val="005A3DCF"/>
    <w:rsid w:val="005A4221"/>
    <w:rsid w:val="005A43DD"/>
    <w:rsid w:val="005A464C"/>
    <w:rsid w:val="005A4A84"/>
    <w:rsid w:val="005A50CF"/>
    <w:rsid w:val="005A53CF"/>
    <w:rsid w:val="005A5448"/>
    <w:rsid w:val="005A5902"/>
    <w:rsid w:val="005A5908"/>
    <w:rsid w:val="005A591C"/>
    <w:rsid w:val="005A5A06"/>
    <w:rsid w:val="005A62D6"/>
    <w:rsid w:val="005A6423"/>
    <w:rsid w:val="005A6C3F"/>
    <w:rsid w:val="005A6CE8"/>
    <w:rsid w:val="005A6FA8"/>
    <w:rsid w:val="005A6FE8"/>
    <w:rsid w:val="005A7164"/>
    <w:rsid w:val="005A75FE"/>
    <w:rsid w:val="005A7679"/>
    <w:rsid w:val="005A7972"/>
    <w:rsid w:val="005A7D5F"/>
    <w:rsid w:val="005B0342"/>
    <w:rsid w:val="005B0374"/>
    <w:rsid w:val="005B06D5"/>
    <w:rsid w:val="005B0769"/>
    <w:rsid w:val="005B0924"/>
    <w:rsid w:val="005B0DE1"/>
    <w:rsid w:val="005B111D"/>
    <w:rsid w:val="005B15D5"/>
    <w:rsid w:val="005B167D"/>
    <w:rsid w:val="005B16AD"/>
    <w:rsid w:val="005B1C10"/>
    <w:rsid w:val="005B2051"/>
    <w:rsid w:val="005B22A6"/>
    <w:rsid w:val="005B2411"/>
    <w:rsid w:val="005B248B"/>
    <w:rsid w:val="005B2AAF"/>
    <w:rsid w:val="005B396B"/>
    <w:rsid w:val="005B3C5B"/>
    <w:rsid w:val="005B3F72"/>
    <w:rsid w:val="005B3F9A"/>
    <w:rsid w:val="005B40D2"/>
    <w:rsid w:val="005B4547"/>
    <w:rsid w:val="005B4899"/>
    <w:rsid w:val="005B4DA6"/>
    <w:rsid w:val="005B5012"/>
    <w:rsid w:val="005B548A"/>
    <w:rsid w:val="005B5C14"/>
    <w:rsid w:val="005B5C3E"/>
    <w:rsid w:val="005B5D47"/>
    <w:rsid w:val="005B65DC"/>
    <w:rsid w:val="005B66D8"/>
    <w:rsid w:val="005B6A5A"/>
    <w:rsid w:val="005B725C"/>
    <w:rsid w:val="005B739B"/>
    <w:rsid w:val="005B7C96"/>
    <w:rsid w:val="005B7DEE"/>
    <w:rsid w:val="005C0213"/>
    <w:rsid w:val="005C07DF"/>
    <w:rsid w:val="005C07F7"/>
    <w:rsid w:val="005C0888"/>
    <w:rsid w:val="005C0DC2"/>
    <w:rsid w:val="005C159C"/>
    <w:rsid w:val="005C1875"/>
    <w:rsid w:val="005C1C09"/>
    <w:rsid w:val="005C24B6"/>
    <w:rsid w:val="005C2900"/>
    <w:rsid w:val="005C2C3C"/>
    <w:rsid w:val="005C2E7E"/>
    <w:rsid w:val="005C3492"/>
    <w:rsid w:val="005C36FD"/>
    <w:rsid w:val="005C3A0D"/>
    <w:rsid w:val="005C3F64"/>
    <w:rsid w:val="005C3F7E"/>
    <w:rsid w:val="005C4251"/>
    <w:rsid w:val="005C43E7"/>
    <w:rsid w:val="005C4B66"/>
    <w:rsid w:val="005C540C"/>
    <w:rsid w:val="005C546F"/>
    <w:rsid w:val="005C5E8D"/>
    <w:rsid w:val="005C60AE"/>
    <w:rsid w:val="005C6201"/>
    <w:rsid w:val="005C68B2"/>
    <w:rsid w:val="005C753A"/>
    <w:rsid w:val="005D09C4"/>
    <w:rsid w:val="005D0A07"/>
    <w:rsid w:val="005D0B1F"/>
    <w:rsid w:val="005D0BED"/>
    <w:rsid w:val="005D0C96"/>
    <w:rsid w:val="005D0FBF"/>
    <w:rsid w:val="005D1563"/>
    <w:rsid w:val="005D172A"/>
    <w:rsid w:val="005D189F"/>
    <w:rsid w:val="005D1C4A"/>
    <w:rsid w:val="005D23A8"/>
    <w:rsid w:val="005D24EB"/>
    <w:rsid w:val="005D2B01"/>
    <w:rsid w:val="005D2BF0"/>
    <w:rsid w:val="005D2E00"/>
    <w:rsid w:val="005D2E2F"/>
    <w:rsid w:val="005D2EE0"/>
    <w:rsid w:val="005D2F7E"/>
    <w:rsid w:val="005D30CB"/>
    <w:rsid w:val="005D3105"/>
    <w:rsid w:val="005D3642"/>
    <w:rsid w:val="005D3785"/>
    <w:rsid w:val="005D3A8E"/>
    <w:rsid w:val="005D3B85"/>
    <w:rsid w:val="005D3CE3"/>
    <w:rsid w:val="005D429E"/>
    <w:rsid w:val="005D4468"/>
    <w:rsid w:val="005D52C5"/>
    <w:rsid w:val="005D5435"/>
    <w:rsid w:val="005D549E"/>
    <w:rsid w:val="005D5736"/>
    <w:rsid w:val="005D59FF"/>
    <w:rsid w:val="005D5E24"/>
    <w:rsid w:val="005D606D"/>
    <w:rsid w:val="005D635E"/>
    <w:rsid w:val="005D65CC"/>
    <w:rsid w:val="005D6652"/>
    <w:rsid w:val="005D6789"/>
    <w:rsid w:val="005D67E1"/>
    <w:rsid w:val="005D6A28"/>
    <w:rsid w:val="005D6FAD"/>
    <w:rsid w:val="005D6FCE"/>
    <w:rsid w:val="005D7189"/>
    <w:rsid w:val="005D75DD"/>
    <w:rsid w:val="005D7791"/>
    <w:rsid w:val="005E07BC"/>
    <w:rsid w:val="005E07D2"/>
    <w:rsid w:val="005E093C"/>
    <w:rsid w:val="005E1174"/>
    <w:rsid w:val="005E172D"/>
    <w:rsid w:val="005E2015"/>
    <w:rsid w:val="005E20D8"/>
    <w:rsid w:val="005E2DDE"/>
    <w:rsid w:val="005E3310"/>
    <w:rsid w:val="005E35F9"/>
    <w:rsid w:val="005E405F"/>
    <w:rsid w:val="005E49E7"/>
    <w:rsid w:val="005E4D18"/>
    <w:rsid w:val="005E4DF3"/>
    <w:rsid w:val="005E4F3D"/>
    <w:rsid w:val="005E5370"/>
    <w:rsid w:val="005E5693"/>
    <w:rsid w:val="005E5C46"/>
    <w:rsid w:val="005E5EDC"/>
    <w:rsid w:val="005E5F32"/>
    <w:rsid w:val="005E6430"/>
    <w:rsid w:val="005E64AD"/>
    <w:rsid w:val="005E6897"/>
    <w:rsid w:val="005E6F85"/>
    <w:rsid w:val="005E77D7"/>
    <w:rsid w:val="005E7885"/>
    <w:rsid w:val="005E793D"/>
    <w:rsid w:val="005E7B82"/>
    <w:rsid w:val="005E7F13"/>
    <w:rsid w:val="005F00F5"/>
    <w:rsid w:val="005F0400"/>
    <w:rsid w:val="005F0548"/>
    <w:rsid w:val="005F096C"/>
    <w:rsid w:val="005F0F30"/>
    <w:rsid w:val="005F12F4"/>
    <w:rsid w:val="005F1777"/>
    <w:rsid w:val="005F1979"/>
    <w:rsid w:val="005F1CCB"/>
    <w:rsid w:val="005F1CE5"/>
    <w:rsid w:val="005F1E5F"/>
    <w:rsid w:val="005F1F7F"/>
    <w:rsid w:val="005F2302"/>
    <w:rsid w:val="005F2673"/>
    <w:rsid w:val="005F3AC3"/>
    <w:rsid w:val="005F3D7B"/>
    <w:rsid w:val="005F3FE9"/>
    <w:rsid w:val="005F4061"/>
    <w:rsid w:val="005F4190"/>
    <w:rsid w:val="005F460A"/>
    <w:rsid w:val="005F4895"/>
    <w:rsid w:val="005F4C84"/>
    <w:rsid w:val="005F4E4C"/>
    <w:rsid w:val="005F589A"/>
    <w:rsid w:val="005F5F79"/>
    <w:rsid w:val="005F6523"/>
    <w:rsid w:val="005F690F"/>
    <w:rsid w:val="005F6B1B"/>
    <w:rsid w:val="005F718C"/>
    <w:rsid w:val="005F7230"/>
    <w:rsid w:val="005F74F9"/>
    <w:rsid w:val="005F798C"/>
    <w:rsid w:val="005F7D25"/>
    <w:rsid w:val="005F7E71"/>
    <w:rsid w:val="006000AD"/>
    <w:rsid w:val="006003D8"/>
    <w:rsid w:val="00600646"/>
    <w:rsid w:val="00600B3F"/>
    <w:rsid w:val="00600FFE"/>
    <w:rsid w:val="0060125C"/>
    <w:rsid w:val="00601785"/>
    <w:rsid w:val="00601A88"/>
    <w:rsid w:val="00601CF2"/>
    <w:rsid w:val="00601DFF"/>
    <w:rsid w:val="006024DA"/>
    <w:rsid w:val="0060257D"/>
    <w:rsid w:val="0060317C"/>
    <w:rsid w:val="006033A3"/>
    <w:rsid w:val="006034E9"/>
    <w:rsid w:val="00603B3C"/>
    <w:rsid w:val="00604C8B"/>
    <w:rsid w:val="00604F35"/>
    <w:rsid w:val="006050D7"/>
    <w:rsid w:val="006054DC"/>
    <w:rsid w:val="00605549"/>
    <w:rsid w:val="006055ED"/>
    <w:rsid w:val="006056DE"/>
    <w:rsid w:val="00605840"/>
    <w:rsid w:val="006059EC"/>
    <w:rsid w:val="00605D75"/>
    <w:rsid w:val="00605F7E"/>
    <w:rsid w:val="006061C7"/>
    <w:rsid w:val="00606432"/>
    <w:rsid w:val="00606642"/>
    <w:rsid w:val="006066C0"/>
    <w:rsid w:val="00606739"/>
    <w:rsid w:val="00606A28"/>
    <w:rsid w:val="00606B75"/>
    <w:rsid w:val="00606B85"/>
    <w:rsid w:val="00606C88"/>
    <w:rsid w:val="00606DAF"/>
    <w:rsid w:val="00607599"/>
    <w:rsid w:val="00607A8F"/>
    <w:rsid w:val="00607D9C"/>
    <w:rsid w:val="00607DE4"/>
    <w:rsid w:val="00610298"/>
    <w:rsid w:val="00610D30"/>
    <w:rsid w:val="00610E99"/>
    <w:rsid w:val="0061111F"/>
    <w:rsid w:val="006111B1"/>
    <w:rsid w:val="006111B6"/>
    <w:rsid w:val="006113D1"/>
    <w:rsid w:val="00611518"/>
    <w:rsid w:val="00611795"/>
    <w:rsid w:val="0061199F"/>
    <w:rsid w:val="00611BDC"/>
    <w:rsid w:val="00611CAA"/>
    <w:rsid w:val="00611D44"/>
    <w:rsid w:val="00611E78"/>
    <w:rsid w:val="00611F69"/>
    <w:rsid w:val="00612021"/>
    <w:rsid w:val="006123B0"/>
    <w:rsid w:val="00612534"/>
    <w:rsid w:val="00612555"/>
    <w:rsid w:val="00612833"/>
    <w:rsid w:val="00612A6D"/>
    <w:rsid w:val="00612BB6"/>
    <w:rsid w:val="006131D8"/>
    <w:rsid w:val="0061352C"/>
    <w:rsid w:val="00613DFC"/>
    <w:rsid w:val="006141CA"/>
    <w:rsid w:val="006141F6"/>
    <w:rsid w:val="00614212"/>
    <w:rsid w:val="00614680"/>
    <w:rsid w:val="0061476A"/>
    <w:rsid w:val="00614998"/>
    <w:rsid w:val="00614E98"/>
    <w:rsid w:val="00614F93"/>
    <w:rsid w:val="00614FDB"/>
    <w:rsid w:val="00615419"/>
    <w:rsid w:val="006157CB"/>
    <w:rsid w:val="006159F4"/>
    <w:rsid w:val="00615A9E"/>
    <w:rsid w:val="006161E4"/>
    <w:rsid w:val="00616254"/>
    <w:rsid w:val="00616558"/>
    <w:rsid w:val="006165E8"/>
    <w:rsid w:val="006166FF"/>
    <w:rsid w:val="00616A65"/>
    <w:rsid w:val="00616A91"/>
    <w:rsid w:val="00616AB4"/>
    <w:rsid w:val="00616B98"/>
    <w:rsid w:val="00616C52"/>
    <w:rsid w:val="00616EC6"/>
    <w:rsid w:val="0061703D"/>
    <w:rsid w:val="006171E9"/>
    <w:rsid w:val="006175A0"/>
    <w:rsid w:val="00617600"/>
    <w:rsid w:val="00617EE1"/>
    <w:rsid w:val="00620129"/>
    <w:rsid w:val="00620653"/>
    <w:rsid w:val="00620790"/>
    <w:rsid w:val="00620840"/>
    <w:rsid w:val="0062097A"/>
    <w:rsid w:val="00621171"/>
    <w:rsid w:val="00621533"/>
    <w:rsid w:val="006217D6"/>
    <w:rsid w:val="00621831"/>
    <w:rsid w:val="0062186B"/>
    <w:rsid w:val="0062191E"/>
    <w:rsid w:val="00621999"/>
    <w:rsid w:val="00621A7B"/>
    <w:rsid w:val="00621B9F"/>
    <w:rsid w:val="00621C89"/>
    <w:rsid w:val="00621D76"/>
    <w:rsid w:val="00621E0C"/>
    <w:rsid w:val="006224EC"/>
    <w:rsid w:val="00622556"/>
    <w:rsid w:val="0062287C"/>
    <w:rsid w:val="00622EA7"/>
    <w:rsid w:val="00622FD9"/>
    <w:rsid w:val="0062312D"/>
    <w:rsid w:val="0062312E"/>
    <w:rsid w:val="0062319D"/>
    <w:rsid w:val="00623276"/>
    <w:rsid w:val="00623B64"/>
    <w:rsid w:val="00623EDD"/>
    <w:rsid w:val="0062410B"/>
    <w:rsid w:val="00624181"/>
    <w:rsid w:val="00624245"/>
    <w:rsid w:val="0062430A"/>
    <w:rsid w:val="0062464F"/>
    <w:rsid w:val="00624E95"/>
    <w:rsid w:val="0062532B"/>
    <w:rsid w:val="006255A9"/>
    <w:rsid w:val="00625633"/>
    <w:rsid w:val="00625920"/>
    <w:rsid w:val="00625E0D"/>
    <w:rsid w:val="00625EB3"/>
    <w:rsid w:val="0062616D"/>
    <w:rsid w:val="0062632A"/>
    <w:rsid w:val="00626482"/>
    <w:rsid w:val="00627340"/>
    <w:rsid w:val="00627424"/>
    <w:rsid w:val="0062768A"/>
    <w:rsid w:val="006276E0"/>
    <w:rsid w:val="00627759"/>
    <w:rsid w:val="00627999"/>
    <w:rsid w:val="00627A64"/>
    <w:rsid w:val="00627BB5"/>
    <w:rsid w:val="00627E23"/>
    <w:rsid w:val="00627EB8"/>
    <w:rsid w:val="00627ECA"/>
    <w:rsid w:val="006301ED"/>
    <w:rsid w:val="006307FF"/>
    <w:rsid w:val="00630822"/>
    <w:rsid w:val="00630961"/>
    <w:rsid w:val="006309EE"/>
    <w:rsid w:val="00630B1B"/>
    <w:rsid w:val="00630C29"/>
    <w:rsid w:val="00630CDD"/>
    <w:rsid w:val="00630D1A"/>
    <w:rsid w:val="0063106F"/>
    <w:rsid w:val="0063108F"/>
    <w:rsid w:val="0063144E"/>
    <w:rsid w:val="006317B5"/>
    <w:rsid w:val="00631965"/>
    <w:rsid w:val="00631C51"/>
    <w:rsid w:val="00631C5E"/>
    <w:rsid w:val="00631D2D"/>
    <w:rsid w:val="00631EA0"/>
    <w:rsid w:val="00631FBD"/>
    <w:rsid w:val="006325CD"/>
    <w:rsid w:val="006326E6"/>
    <w:rsid w:val="00632998"/>
    <w:rsid w:val="00632AC6"/>
    <w:rsid w:val="00632B47"/>
    <w:rsid w:val="00633000"/>
    <w:rsid w:val="0063333E"/>
    <w:rsid w:val="00633B4F"/>
    <w:rsid w:val="00633CD7"/>
    <w:rsid w:val="00633D5F"/>
    <w:rsid w:val="00634151"/>
    <w:rsid w:val="00634391"/>
    <w:rsid w:val="006343B0"/>
    <w:rsid w:val="00634542"/>
    <w:rsid w:val="00635073"/>
    <w:rsid w:val="00635790"/>
    <w:rsid w:val="00635AB2"/>
    <w:rsid w:val="006361FB"/>
    <w:rsid w:val="00636419"/>
    <w:rsid w:val="0063653C"/>
    <w:rsid w:val="00636CB2"/>
    <w:rsid w:val="00637577"/>
    <w:rsid w:val="006375A4"/>
    <w:rsid w:val="00637BF6"/>
    <w:rsid w:val="00637F5D"/>
    <w:rsid w:val="00640111"/>
    <w:rsid w:val="006406CC"/>
    <w:rsid w:val="00641231"/>
    <w:rsid w:val="00641473"/>
    <w:rsid w:val="006416A2"/>
    <w:rsid w:val="00641B5D"/>
    <w:rsid w:val="00641C42"/>
    <w:rsid w:val="00641DB5"/>
    <w:rsid w:val="00642136"/>
    <w:rsid w:val="006422B5"/>
    <w:rsid w:val="006422EB"/>
    <w:rsid w:val="00642476"/>
    <w:rsid w:val="00642783"/>
    <w:rsid w:val="00642BF8"/>
    <w:rsid w:val="00642FC7"/>
    <w:rsid w:val="006431D2"/>
    <w:rsid w:val="00643434"/>
    <w:rsid w:val="00643BBA"/>
    <w:rsid w:val="00644097"/>
    <w:rsid w:val="006441AA"/>
    <w:rsid w:val="00644748"/>
    <w:rsid w:val="00644CA2"/>
    <w:rsid w:val="0064586E"/>
    <w:rsid w:val="00645BEB"/>
    <w:rsid w:val="00645D43"/>
    <w:rsid w:val="0064632A"/>
    <w:rsid w:val="006464C5"/>
    <w:rsid w:val="0064658F"/>
    <w:rsid w:val="00646ADA"/>
    <w:rsid w:val="00646AFB"/>
    <w:rsid w:val="00646C72"/>
    <w:rsid w:val="00646D86"/>
    <w:rsid w:val="00646FD8"/>
    <w:rsid w:val="00647734"/>
    <w:rsid w:val="00647A8D"/>
    <w:rsid w:val="00647B62"/>
    <w:rsid w:val="0065080D"/>
    <w:rsid w:val="00650891"/>
    <w:rsid w:val="00650CEE"/>
    <w:rsid w:val="0065116A"/>
    <w:rsid w:val="00651285"/>
    <w:rsid w:val="006514ED"/>
    <w:rsid w:val="006516E6"/>
    <w:rsid w:val="006519A4"/>
    <w:rsid w:val="00651AC6"/>
    <w:rsid w:val="00651D2A"/>
    <w:rsid w:val="00651E13"/>
    <w:rsid w:val="006526EE"/>
    <w:rsid w:val="006528F2"/>
    <w:rsid w:val="00652A67"/>
    <w:rsid w:val="00652CB1"/>
    <w:rsid w:val="00653264"/>
    <w:rsid w:val="006535CF"/>
    <w:rsid w:val="006539B5"/>
    <w:rsid w:val="00654531"/>
    <w:rsid w:val="0065455F"/>
    <w:rsid w:val="006549FA"/>
    <w:rsid w:val="00654A14"/>
    <w:rsid w:val="00654DC5"/>
    <w:rsid w:val="0065507B"/>
    <w:rsid w:val="006551D2"/>
    <w:rsid w:val="0065593D"/>
    <w:rsid w:val="00655A2E"/>
    <w:rsid w:val="00655B37"/>
    <w:rsid w:val="00655F22"/>
    <w:rsid w:val="00656456"/>
    <w:rsid w:val="00656CBE"/>
    <w:rsid w:val="00657569"/>
    <w:rsid w:val="0065775B"/>
    <w:rsid w:val="006579FB"/>
    <w:rsid w:val="00657AFB"/>
    <w:rsid w:val="0066005A"/>
    <w:rsid w:val="0066029F"/>
    <w:rsid w:val="006605C7"/>
    <w:rsid w:val="00660B45"/>
    <w:rsid w:val="00660C06"/>
    <w:rsid w:val="00660D25"/>
    <w:rsid w:val="00660F00"/>
    <w:rsid w:val="00660FF2"/>
    <w:rsid w:val="00661058"/>
    <w:rsid w:val="00661077"/>
    <w:rsid w:val="006612F5"/>
    <w:rsid w:val="0066137A"/>
    <w:rsid w:val="00661880"/>
    <w:rsid w:val="00661B21"/>
    <w:rsid w:val="00662B8D"/>
    <w:rsid w:val="006646A2"/>
    <w:rsid w:val="00664B18"/>
    <w:rsid w:val="00664BE8"/>
    <w:rsid w:val="00664CDC"/>
    <w:rsid w:val="00665068"/>
    <w:rsid w:val="006651B8"/>
    <w:rsid w:val="006653C4"/>
    <w:rsid w:val="0066547A"/>
    <w:rsid w:val="00665B70"/>
    <w:rsid w:val="00665CD4"/>
    <w:rsid w:val="00666609"/>
    <w:rsid w:val="00666646"/>
    <w:rsid w:val="006666E0"/>
    <w:rsid w:val="00666987"/>
    <w:rsid w:val="00666A82"/>
    <w:rsid w:val="00667593"/>
    <w:rsid w:val="00667905"/>
    <w:rsid w:val="00667AA0"/>
    <w:rsid w:val="00667B44"/>
    <w:rsid w:val="00667D56"/>
    <w:rsid w:val="0067061D"/>
    <w:rsid w:val="00670922"/>
    <w:rsid w:val="00670CF9"/>
    <w:rsid w:val="00670E09"/>
    <w:rsid w:val="00670E39"/>
    <w:rsid w:val="006712E9"/>
    <w:rsid w:val="00671373"/>
    <w:rsid w:val="006715A8"/>
    <w:rsid w:val="006715C9"/>
    <w:rsid w:val="00671B06"/>
    <w:rsid w:val="00671C94"/>
    <w:rsid w:val="006721FF"/>
    <w:rsid w:val="00672CF2"/>
    <w:rsid w:val="00672D56"/>
    <w:rsid w:val="006737F0"/>
    <w:rsid w:val="0067389B"/>
    <w:rsid w:val="00673F9E"/>
    <w:rsid w:val="0067444B"/>
    <w:rsid w:val="0067456C"/>
    <w:rsid w:val="0067462D"/>
    <w:rsid w:val="00674871"/>
    <w:rsid w:val="00675777"/>
    <w:rsid w:val="00675A3A"/>
    <w:rsid w:val="00675D07"/>
    <w:rsid w:val="0067638F"/>
    <w:rsid w:val="00676B18"/>
    <w:rsid w:val="0067738D"/>
    <w:rsid w:val="00677A73"/>
    <w:rsid w:val="00677A7F"/>
    <w:rsid w:val="00677C9D"/>
    <w:rsid w:val="00677D61"/>
    <w:rsid w:val="006801D0"/>
    <w:rsid w:val="00680344"/>
    <w:rsid w:val="006803B2"/>
    <w:rsid w:val="0068040E"/>
    <w:rsid w:val="006805B1"/>
    <w:rsid w:val="00680693"/>
    <w:rsid w:val="00680F04"/>
    <w:rsid w:val="00681254"/>
    <w:rsid w:val="006813B3"/>
    <w:rsid w:val="006814DF"/>
    <w:rsid w:val="00681A3C"/>
    <w:rsid w:val="00681B24"/>
    <w:rsid w:val="00681FC6"/>
    <w:rsid w:val="006824A1"/>
    <w:rsid w:val="0068256C"/>
    <w:rsid w:val="006825A4"/>
    <w:rsid w:val="00682700"/>
    <w:rsid w:val="006830AA"/>
    <w:rsid w:val="00683106"/>
    <w:rsid w:val="0068399F"/>
    <w:rsid w:val="00683DF8"/>
    <w:rsid w:val="0068413B"/>
    <w:rsid w:val="00684356"/>
    <w:rsid w:val="0068470B"/>
    <w:rsid w:val="00684A48"/>
    <w:rsid w:val="00684B30"/>
    <w:rsid w:val="00684DDC"/>
    <w:rsid w:val="00685048"/>
    <w:rsid w:val="006850F3"/>
    <w:rsid w:val="00685D8D"/>
    <w:rsid w:val="0068634E"/>
    <w:rsid w:val="0068637D"/>
    <w:rsid w:val="006864FD"/>
    <w:rsid w:val="006865BA"/>
    <w:rsid w:val="0068699A"/>
    <w:rsid w:val="00686BB9"/>
    <w:rsid w:val="00686D4E"/>
    <w:rsid w:val="00686DDE"/>
    <w:rsid w:val="00686E05"/>
    <w:rsid w:val="006872A6"/>
    <w:rsid w:val="00687474"/>
    <w:rsid w:val="00687930"/>
    <w:rsid w:val="00690163"/>
    <w:rsid w:val="006902B3"/>
    <w:rsid w:val="00690497"/>
    <w:rsid w:val="00690569"/>
    <w:rsid w:val="00690860"/>
    <w:rsid w:val="00690A00"/>
    <w:rsid w:val="00690DF1"/>
    <w:rsid w:val="00691179"/>
    <w:rsid w:val="0069169A"/>
    <w:rsid w:val="0069187C"/>
    <w:rsid w:val="00691D3D"/>
    <w:rsid w:val="0069207A"/>
    <w:rsid w:val="006929B5"/>
    <w:rsid w:val="00692C33"/>
    <w:rsid w:val="00692D37"/>
    <w:rsid w:val="00692F53"/>
    <w:rsid w:val="00692F76"/>
    <w:rsid w:val="006930BF"/>
    <w:rsid w:val="006931C1"/>
    <w:rsid w:val="00693798"/>
    <w:rsid w:val="00694276"/>
    <w:rsid w:val="006942BD"/>
    <w:rsid w:val="0069447D"/>
    <w:rsid w:val="00694B71"/>
    <w:rsid w:val="00694D2D"/>
    <w:rsid w:val="00694F6E"/>
    <w:rsid w:val="00694F9C"/>
    <w:rsid w:val="0069523D"/>
    <w:rsid w:val="00695571"/>
    <w:rsid w:val="0069607C"/>
    <w:rsid w:val="00696462"/>
    <w:rsid w:val="0069692F"/>
    <w:rsid w:val="00696CC5"/>
    <w:rsid w:val="006973F5"/>
    <w:rsid w:val="00697B4B"/>
    <w:rsid w:val="00697F8D"/>
    <w:rsid w:val="006A0226"/>
    <w:rsid w:val="006A081D"/>
    <w:rsid w:val="006A0AFB"/>
    <w:rsid w:val="006A0F9F"/>
    <w:rsid w:val="006A13E2"/>
    <w:rsid w:val="006A13F7"/>
    <w:rsid w:val="006A153C"/>
    <w:rsid w:val="006A1BB6"/>
    <w:rsid w:val="006A1C8D"/>
    <w:rsid w:val="006A1DD8"/>
    <w:rsid w:val="006A1FD3"/>
    <w:rsid w:val="006A208A"/>
    <w:rsid w:val="006A234C"/>
    <w:rsid w:val="006A251C"/>
    <w:rsid w:val="006A2BD9"/>
    <w:rsid w:val="006A3D42"/>
    <w:rsid w:val="006A4447"/>
    <w:rsid w:val="006A4579"/>
    <w:rsid w:val="006A466D"/>
    <w:rsid w:val="006A4702"/>
    <w:rsid w:val="006A4814"/>
    <w:rsid w:val="006A5183"/>
    <w:rsid w:val="006A54B7"/>
    <w:rsid w:val="006A5E62"/>
    <w:rsid w:val="006A5F29"/>
    <w:rsid w:val="006A611A"/>
    <w:rsid w:val="006A625C"/>
    <w:rsid w:val="006A644B"/>
    <w:rsid w:val="006A656D"/>
    <w:rsid w:val="006A66E7"/>
    <w:rsid w:val="006A6A95"/>
    <w:rsid w:val="006A6EBF"/>
    <w:rsid w:val="006A6ECB"/>
    <w:rsid w:val="006A7066"/>
    <w:rsid w:val="006A70B4"/>
    <w:rsid w:val="006A71A5"/>
    <w:rsid w:val="006A7656"/>
    <w:rsid w:val="006A7A1A"/>
    <w:rsid w:val="006A7FA8"/>
    <w:rsid w:val="006B040B"/>
    <w:rsid w:val="006B077B"/>
    <w:rsid w:val="006B0A46"/>
    <w:rsid w:val="006B0F47"/>
    <w:rsid w:val="006B1001"/>
    <w:rsid w:val="006B1325"/>
    <w:rsid w:val="006B13CB"/>
    <w:rsid w:val="006B1560"/>
    <w:rsid w:val="006B1673"/>
    <w:rsid w:val="006B1D6E"/>
    <w:rsid w:val="006B1E25"/>
    <w:rsid w:val="006B1F04"/>
    <w:rsid w:val="006B217E"/>
    <w:rsid w:val="006B2552"/>
    <w:rsid w:val="006B2690"/>
    <w:rsid w:val="006B2BE6"/>
    <w:rsid w:val="006B374A"/>
    <w:rsid w:val="006B3999"/>
    <w:rsid w:val="006B3BF5"/>
    <w:rsid w:val="006B3CB8"/>
    <w:rsid w:val="006B4893"/>
    <w:rsid w:val="006B49A9"/>
    <w:rsid w:val="006B4A40"/>
    <w:rsid w:val="006B4AA0"/>
    <w:rsid w:val="006B5734"/>
    <w:rsid w:val="006B586A"/>
    <w:rsid w:val="006B615E"/>
    <w:rsid w:val="006B622C"/>
    <w:rsid w:val="006B6414"/>
    <w:rsid w:val="006B6434"/>
    <w:rsid w:val="006B663A"/>
    <w:rsid w:val="006B6F0E"/>
    <w:rsid w:val="006B6F55"/>
    <w:rsid w:val="006B73A3"/>
    <w:rsid w:val="006B7807"/>
    <w:rsid w:val="006B7C6A"/>
    <w:rsid w:val="006C01D3"/>
    <w:rsid w:val="006C021C"/>
    <w:rsid w:val="006C09FF"/>
    <w:rsid w:val="006C1186"/>
    <w:rsid w:val="006C1369"/>
    <w:rsid w:val="006C178D"/>
    <w:rsid w:val="006C1BA6"/>
    <w:rsid w:val="006C1FDB"/>
    <w:rsid w:val="006C20D0"/>
    <w:rsid w:val="006C25C6"/>
    <w:rsid w:val="006C2AF4"/>
    <w:rsid w:val="006C2FF0"/>
    <w:rsid w:val="006C37C4"/>
    <w:rsid w:val="006C39CF"/>
    <w:rsid w:val="006C3B40"/>
    <w:rsid w:val="006C47B6"/>
    <w:rsid w:val="006C4CD3"/>
    <w:rsid w:val="006C51FC"/>
    <w:rsid w:val="006C52FF"/>
    <w:rsid w:val="006C578D"/>
    <w:rsid w:val="006C59E6"/>
    <w:rsid w:val="006C61C8"/>
    <w:rsid w:val="006C639F"/>
    <w:rsid w:val="006C651D"/>
    <w:rsid w:val="006C6545"/>
    <w:rsid w:val="006C6C92"/>
    <w:rsid w:val="006C7011"/>
    <w:rsid w:val="006C7260"/>
    <w:rsid w:val="006C782F"/>
    <w:rsid w:val="006C7CA8"/>
    <w:rsid w:val="006C7D81"/>
    <w:rsid w:val="006C7F67"/>
    <w:rsid w:val="006D0178"/>
    <w:rsid w:val="006D088C"/>
    <w:rsid w:val="006D0E8C"/>
    <w:rsid w:val="006D1043"/>
    <w:rsid w:val="006D11A2"/>
    <w:rsid w:val="006D142D"/>
    <w:rsid w:val="006D18BE"/>
    <w:rsid w:val="006D1BD9"/>
    <w:rsid w:val="006D2650"/>
    <w:rsid w:val="006D26EF"/>
    <w:rsid w:val="006D27AC"/>
    <w:rsid w:val="006D2813"/>
    <w:rsid w:val="006D2E24"/>
    <w:rsid w:val="006D3102"/>
    <w:rsid w:val="006D38A9"/>
    <w:rsid w:val="006D4004"/>
    <w:rsid w:val="006D42E2"/>
    <w:rsid w:val="006D4B6F"/>
    <w:rsid w:val="006D4CDE"/>
    <w:rsid w:val="006D4E58"/>
    <w:rsid w:val="006D5011"/>
    <w:rsid w:val="006D575E"/>
    <w:rsid w:val="006D5ADE"/>
    <w:rsid w:val="006D5CAC"/>
    <w:rsid w:val="006D5E0B"/>
    <w:rsid w:val="006D5EC5"/>
    <w:rsid w:val="006D6013"/>
    <w:rsid w:val="006D6388"/>
    <w:rsid w:val="006D64BF"/>
    <w:rsid w:val="006D65A4"/>
    <w:rsid w:val="006D675B"/>
    <w:rsid w:val="006D6ED2"/>
    <w:rsid w:val="006D7101"/>
    <w:rsid w:val="006D7379"/>
    <w:rsid w:val="006D7391"/>
    <w:rsid w:val="006D7677"/>
    <w:rsid w:val="006D781C"/>
    <w:rsid w:val="006D78AF"/>
    <w:rsid w:val="006D7C0E"/>
    <w:rsid w:val="006D7C60"/>
    <w:rsid w:val="006E00CE"/>
    <w:rsid w:val="006E01AC"/>
    <w:rsid w:val="006E0676"/>
    <w:rsid w:val="006E07F1"/>
    <w:rsid w:val="006E090E"/>
    <w:rsid w:val="006E0DF0"/>
    <w:rsid w:val="006E0E5C"/>
    <w:rsid w:val="006E1249"/>
    <w:rsid w:val="006E1464"/>
    <w:rsid w:val="006E19A8"/>
    <w:rsid w:val="006E1A6C"/>
    <w:rsid w:val="006E1B5C"/>
    <w:rsid w:val="006E1EBE"/>
    <w:rsid w:val="006E2145"/>
    <w:rsid w:val="006E25CE"/>
    <w:rsid w:val="006E2617"/>
    <w:rsid w:val="006E2706"/>
    <w:rsid w:val="006E2831"/>
    <w:rsid w:val="006E2B42"/>
    <w:rsid w:val="006E2C61"/>
    <w:rsid w:val="006E2D9C"/>
    <w:rsid w:val="006E2F3D"/>
    <w:rsid w:val="006E33FF"/>
    <w:rsid w:val="006E3639"/>
    <w:rsid w:val="006E3809"/>
    <w:rsid w:val="006E3938"/>
    <w:rsid w:val="006E3CC5"/>
    <w:rsid w:val="006E409C"/>
    <w:rsid w:val="006E47FD"/>
    <w:rsid w:val="006E497F"/>
    <w:rsid w:val="006E5496"/>
    <w:rsid w:val="006E5A29"/>
    <w:rsid w:val="006E5FBF"/>
    <w:rsid w:val="006E6082"/>
    <w:rsid w:val="006E62D2"/>
    <w:rsid w:val="006E63BC"/>
    <w:rsid w:val="006E675D"/>
    <w:rsid w:val="006E6835"/>
    <w:rsid w:val="006E6901"/>
    <w:rsid w:val="006E6CFD"/>
    <w:rsid w:val="006E6D29"/>
    <w:rsid w:val="006E6E0D"/>
    <w:rsid w:val="006E74B7"/>
    <w:rsid w:val="006E787F"/>
    <w:rsid w:val="006E7D4D"/>
    <w:rsid w:val="006F0120"/>
    <w:rsid w:val="006F0243"/>
    <w:rsid w:val="006F05A8"/>
    <w:rsid w:val="006F083F"/>
    <w:rsid w:val="006F0B16"/>
    <w:rsid w:val="006F13FB"/>
    <w:rsid w:val="006F15B1"/>
    <w:rsid w:val="006F1CB3"/>
    <w:rsid w:val="006F1DDE"/>
    <w:rsid w:val="006F241E"/>
    <w:rsid w:val="006F307C"/>
    <w:rsid w:val="006F34B3"/>
    <w:rsid w:val="006F3506"/>
    <w:rsid w:val="006F3632"/>
    <w:rsid w:val="006F37A6"/>
    <w:rsid w:val="006F37E5"/>
    <w:rsid w:val="006F3835"/>
    <w:rsid w:val="006F3900"/>
    <w:rsid w:val="006F4154"/>
    <w:rsid w:val="006F428D"/>
    <w:rsid w:val="006F435D"/>
    <w:rsid w:val="006F48D8"/>
    <w:rsid w:val="006F491E"/>
    <w:rsid w:val="006F510A"/>
    <w:rsid w:val="006F562A"/>
    <w:rsid w:val="006F5863"/>
    <w:rsid w:val="006F5A56"/>
    <w:rsid w:val="006F5BCD"/>
    <w:rsid w:val="006F5D19"/>
    <w:rsid w:val="006F6140"/>
    <w:rsid w:val="006F62B1"/>
    <w:rsid w:val="006F689E"/>
    <w:rsid w:val="006F6A81"/>
    <w:rsid w:val="006F714D"/>
    <w:rsid w:val="006F717C"/>
    <w:rsid w:val="006F7231"/>
    <w:rsid w:val="006F77CB"/>
    <w:rsid w:val="006F7995"/>
    <w:rsid w:val="006F7E73"/>
    <w:rsid w:val="007000A5"/>
    <w:rsid w:val="00700225"/>
    <w:rsid w:val="0070047F"/>
    <w:rsid w:val="00700632"/>
    <w:rsid w:val="00700700"/>
    <w:rsid w:val="007009AA"/>
    <w:rsid w:val="0070164C"/>
    <w:rsid w:val="007018AE"/>
    <w:rsid w:val="00701ADB"/>
    <w:rsid w:val="00701D57"/>
    <w:rsid w:val="00701DE8"/>
    <w:rsid w:val="00702095"/>
    <w:rsid w:val="00702129"/>
    <w:rsid w:val="007021D3"/>
    <w:rsid w:val="00702276"/>
    <w:rsid w:val="00702327"/>
    <w:rsid w:val="00702AE6"/>
    <w:rsid w:val="00702DE1"/>
    <w:rsid w:val="00702EA9"/>
    <w:rsid w:val="00702F9C"/>
    <w:rsid w:val="00703333"/>
    <w:rsid w:val="00703488"/>
    <w:rsid w:val="007034A0"/>
    <w:rsid w:val="0070354E"/>
    <w:rsid w:val="00704020"/>
    <w:rsid w:val="007042BC"/>
    <w:rsid w:val="00704691"/>
    <w:rsid w:val="00704BCE"/>
    <w:rsid w:val="0070505E"/>
    <w:rsid w:val="0070526D"/>
    <w:rsid w:val="00705327"/>
    <w:rsid w:val="0070543C"/>
    <w:rsid w:val="007054AB"/>
    <w:rsid w:val="0070577A"/>
    <w:rsid w:val="0070609D"/>
    <w:rsid w:val="00706224"/>
    <w:rsid w:val="007068C6"/>
    <w:rsid w:val="007068EF"/>
    <w:rsid w:val="00706945"/>
    <w:rsid w:val="00706F2F"/>
    <w:rsid w:val="00707022"/>
    <w:rsid w:val="00707179"/>
    <w:rsid w:val="0070719D"/>
    <w:rsid w:val="007074B5"/>
    <w:rsid w:val="00707530"/>
    <w:rsid w:val="00707C78"/>
    <w:rsid w:val="0071007F"/>
    <w:rsid w:val="00710092"/>
    <w:rsid w:val="0071051B"/>
    <w:rsid w:val="00710622"/>
    <w:rsid w:val="00711188"/>
    <w:rsid w:val="007114D1"/>
    <w:rsid w:val="0071150B"/>
    <w:rsid w:val="00711613"/>
    <w:rsid w:val="00711B3B"/>
    <w:rsid w:val="00711BD1"/>
    <w:rsid w:val="00712073"/>
    <w:rsid w:val="00712A3D"/>
    <w:rsid w:val="00712D7A"/>
    <w:rsid w:val="00713925"/>
    <w:rsid w:val="00713BAE"/>
    <w:rsid w:val="00713C87"/>
    <w:rsid w:val="00713D08"/>
    <w:rsid w:val="00713DD1"/>
    <w:rsid w:val="00713FF5"/>
    <w:rsid w:val="00714641"/>
    <w:rsid w:val="007146D1"/>
    <w:rsid w:val="00715304"/>
    <w:rsid w:val="007154DF"/>
    <w:rsid w:val="00715963"/>
    <w:rsid w:val="00715BA4"/>
    <w:rsid w:val="0071621D"/>
    <w:rsid w:val="0071680B"/>
    <w:rsid w:val="0071699D"/>
    <w:rsid w:val="00716B23"/>
    <w:rsid w:val="00716BE6"/>
    <w:rsid w:val="007171AE"/>
    <w:rsid w:val="00717203"/>
    <w:rsid w:val="00717626"/>
    <w:rsid w:val="00717643"/>
    <w:rsid w:val="00717C3E"/>
    <w:rsid w:val="007200FB"/>
    <w:rsid w:val="00720473"/>
    <w:rsid w:val="007204DF"/>
    <w:rsid w:val="007206AB"/>
    <w:rsid w:val="007206CC"/>
    <w:rsid w:val="007206EC"/>
    <w:rsid w:val="00720791"/>
    <w:rsid w:val="00720964"/>
    <w:rsid w:val="00720DCD"/>
    <w:rsid w:val="007210A8"/>
    <w:rsid w:val="00721134"/>
    <w:rsid w:val="0072140E"/>
    <w:rsid w:val="007218E8"/>
    <w:rsid w:val="00721D9C"/>
    <w:rsid w:val="00721F08"/>
    <w:rsid w:val="00721F69"/>
    <w:rsid w:val="007220DB"/>
    <w:rsid w:val="007223B7"/>
    <w:rsid w:val="00722473"/>
    <w:rsid w:val="00722843"/>
    <w:rsid w:val="00722871"/>
    <w:rsid w:val="00722B70"/>
    <w:rsid w:val="00722E80"/>
    <w:rsid w:val="00723621"/>
    <w:rsid w:val="007236F6"/>
    <w:rsid w:val="00723B14"/>
    <w:rsid w:val="00723BD0"/>
    <w:rsid w:val="00723D26"/>
    <w:rsid w:val="00723E78"/>
    <w:rsid w:val="00724045"/>
    <w:rsid w:val="0072423F"/>
    <w:rsid w:val="00724450"/>
    <w:rsid w:val="00724501"/>
    <w:rsid w:val="00724559"/>
    <w:rsid w:val="0072472F"/>
    <w:rsid w:val="007247A7"/>
    <w:rsid w:val="0072497A"/>
    <w:rsid w:val="007249CB"/>
    <w:rsid w:val="00724DB1"/>
    <w:rsid w:val="00725332"/>
    <w:rsid w:val="0072585E"/>
    <w:rsid w:val="00725897"/>
    <w:rsid w:val="00726255"/>
    <w:rsid w:val="0072657E"/>
    <w:rsid w:val="0072685B"/>
    <w:rsid w:val="00726ECE"/>
    <w:rsid w:val="0072722F"/>
    <w:rsid w:val="00727347"/>
    <w:rsid w:val="0072736E"/>
    <w:rsid w:val="00727392"/>
    <w:rsid w:val="007274E1"/>
    <w:rsid w:val="00727652"/>
    <w:rsid w:val="00727923"/>
    <w:rsid w:val="00727C86"/>
    <w:rsid w:val="00727D2C"/>
    <w:rsid w:val="007301BD"/>
    <w:rsid w:val="00730517"/>
    <w:rsid w:val="00730580"/>
    <w:rsid w:val="0073084E"/>
    <w:rsid w:val="00730966"/>
    <w:rsid w:val="00730B2A"/>
    <w:rsid w:val="00730DDA"/>
    <w:rsid w:val="00730E0C"/>
    <w:rsid w:val="00730F08"/>
    <w:rsid w:val="00730F20"/>
    <w:rsid w:val="00731120"/>
    <w:rsid w:val="007312CA"/>
    <w:rsid w:val="00731804"/>
    <w:rsid w:val="00731932"/>
    <w:rsid w:val="00731B33"/>
    <w:rsid w:val="00731BD6"/>
    <w:rsid w:val="007325F0"/>
    <w:rsid w:val="00732FEF"/>
    <w:rsid w:val="007330BF"/>
    <w:rsid w:val="00733198"/>
    <w:rsid w:val="00733318"/>
    <w:rsid w:val="00733788"/>
    <w:rsid w:val="007339D0"/>
    <w:rsid w:val="00733A95"/>
    <w:rsid w:val="00733EEF"/>
    <w:rsid w:val="00734462"/>
    <w:rsid w:val="007344EA"/>
    <w:rsid w:val="00734549"/>
    <w:rsid w:val="0073463B"/>
    <w:rsid w:val="007349A0"/>
    <w:rsid w:val="00734E0B"/>
    <w:rsid w:val="007352A5"/>
    <w:rsid w:val="0073532B"/>
    <w:rsid w:val="007353B6"/>
    <w:rsid w:val="007353EA"/>
    <w:rsid w:val="0073585B"/>
    <w:rsid w:val="00735DDA"/>
    <w:rsid w:val="00736752"/>
    <w:rsid w:val="00736FAA"/>
    <w:rsid w:val="00737CD7"/>
    <w:rsid w:val="00737FF2"/>
    <w:rsid w:val="0074056E"/>
    <w:rsid w:val="00740E72"/>
    <w:rsid w:val="00740F49"/>
    <w:rsid w:val="00741089"/>
    <w:rsid w:val="00741409"/>
    <w:rsid w:val="007418F7"/>
    <w:rsid w:val="00741BCD"/>
    <w:rsid w:val="00741FC9"/>
    <w:rsid w:val="00742882"/>
    <w:rsid w:val="00742922"/>
    <w:rsid w:val="00742BAA"/>
    <w:rsid w:val="00743105"/>
    <w:rsid w:val="00743264"/>
    <w:rsid w:val="0074336B"/>
    <w:rsid w:val="00743533"/>
    <w:rsid w:val="007436A6"/>
    <w:rsid w:val="00743812"/>
    <w:rsid w:val="00743B50"/>
    <w:rsid w:val="00743C71"/>
    <w:rsid w:val="007440D4"/>
    <w:rsid w:val="00744664"/>
    <w:rsid w:val="007449C5"/>
    <w:rsid w:val="00744C9A"/>
    <w:rsid w:val="00744EA8"/>
    <w:rsid w:val="00744FAF"/>
    <w:rsid w:val="007454D9"/>
    <w:rsid w:val="00745747"/>
    <w:rsid w:val="007458F7"/>
    <w:rsid w:val="00745AEB"/>
    <w:rsid w:val="0074604D"/>
    <w:rsid w:val="007465D0"/>
    <w:rsid w:val="0074693C"/>
    <w:rsid w:val="00746A5A"/>
    <w:rsid w:val="00746DF7"/>
    <w:rsid w:val="00746F00"/>
    <w:rsid w:val="007470BC"/>
    <w:rsid w:val="0074765C"/>
    <w:rsid w:val="0074769D"/>
    <w:rsid w:val="00750842"/>
    <w:rsid w:val="00750A4C"/>
    <w:rsid w:val="00751205"/>
    <w:rsid w:val="00751789"/>
    <w:rsid w:val="00751869"/>
    <w:rsid w:val="00751920"/>
    <w:rsid w:val="0075197E"/>
    <w:rsid w:val="00751C68"/>
    <w:rsid w:val="00751F2A"/>
    <w:rsid w:val="007524C7"/>
    <w:rsid w:val="00752920"/>
    <w:rsid w:val="00752C0E"/>
    <w:rsid w:val="007530D2"/>
    <w:rsid w:val="00753239"/>
    <w:rsid w:val="00753337"/>
    <w:rsid w:val="00753980"/>
    <w:rsid w:val="00753AC9"/>
    <w:rsid w:val="00753FF1"/>
    <w:rsid w:val="00754153"/>
    <w:rsid w:val="00754171"/>
    <w:rsid w:val="00754318"/>
    <w:rsid w:val="007543D9"/>
    <w:rsid w:val="0075453D"/>
    <w:rsid w:val="0075466F"/>
    <w:rsid w:val="00754803"/>
    <w:rsid w:val="007548B9"/>
    <w:rsid w:val="00754976"/>
    <w:rsid w:val="00754B76"/>
    <w:rsid w:val="007552EE"/>
    <w:rsid w:val="00755504"/>
    <w:rsid w:val="0075559B"/>
    <w:rsid w:val="007557F8"/>
    <w:rsid w:val="00755CF2"/>
    <w:rsid w:val="00755D8B"/>
    <w:rsid w:val="00755EA1"/>
    <w:rsid w:val="00755FAF"/>
    <w:rsid w:val="00756EEB"/>
    <w:rsid w:val="0075704E"/>
    <w:rsid w:val="007570F1"/>
    <w:rsid w:val="007573E1"/>
    <w:rsid w:val="00757487"/>
    <w:rsid w:val="0075757D"/>
    <w:rsid w:val="00757F1D"/>
    <w:rsid w:val="007603B9"/>
    <w:rsid w:val="007605DC"/>
    <w:rsid w:val="007606CC"/>
    <w:rsid w:val="00760B48"/>
    <w:rsid w:val="007614B0"/>
    <w:rsid w:val="0076152E"/>
    <w:rsid w:val="0076174E"/>
    <w:rsid w:val="0076174F"/>
    <w:rsid w:val="00761C94"/>
    <w:rsid w:val="00761E7B"/>
    <w:rsid w:val="00761F51"/>
    <w:rsid w:val="007621A8"/>
    <w:rsid w:val="007629BE"/>
    <w:rsid w:val="007629C2"/>
    <w:rsid w:val="00762A26"/>
    <w:rsid w:val="007634D8"/>
    <w:rsid w:val="00763514"/>
    <w:rsid w:val="00763712"/>
    <w:rsid w:val="00763821"/>
    <w:rsid w:val="007641B0"/>
    <w:rsid w:val="00764248"/>
    <w:rsid w:val="007649D7"/>
    <w:rsid w:val="00764AE3"/>
    <w:rsid w:val="00764DE8"/>
    <w:rsid w:val="00765199"/>
    <w:rsid w:val="00765534"/>
    <w:rsid w:val="007657F2"/>
    <w:rsid w:val="00765DB5"/>
    <w:rsid w:val="007664BD"/>
    <w:rsid w:val="00766501"/>
    <w:rsid w:val="00766C76"/>
    <w:rsid w:val="00766D9E"/>
    <w:rsid w:val="00766E22"/>
    <w:rsid w:val="00766EED"/>
    <w:rsid w:val="00766F2E"/>
    <w:rsid w:val="0076724D"/>
    <w:rsid w:val="00767E24"/>
    <w:rsid w:val="00767F4B"/>
    <w:rsid w:val="00767FC2"/>
    <w:rsid w:val="00770A58"/>
    <w:rsid w:val="00770A5F"/>
    <w:rsid w:val="00770AE1"/>
    <w:rsid w:val="00770C04"/>
    <w:rsid w:val="00770E14"/>
    <w:rsid w:val="0077106A"/>
    <w:rsid w:val="00771259"/>
    <w:rsid w:val="00771A61"/>
    <w:rsid w:val="00771ACC"/>
    <w:rsid w:val="007720E0"/>
    <w:rsid w:val="0077215B"/>
    <w:rsid w:val="00772A67"/>
    <w:rsid w:val="00772B49"/>
    <w:rsid w:val="0077310E"/>
    <w:rsid w:val="00773A9E"/>
    <w:rsid w:val="00774261"/>
    <w:rsid w:val="00774AC9"/>
    <w:rsid w:val="0077540C"/>
    <w:rsid w:val="00775BA4"/>
    <w:rsid w:val="007765A5"/>
    <w:rsid w:val="0077665D"/>
    <w:rsid w:val="00776696"/>
    <w:rsid w:val="00776C3B"/>
    <w:rsid w:val="00776CA1"/>
    <w:rsid w:val="007772F4"/>
    <w:rsid w:val="0077730D"/>
    <w:rsid w:val="0077751C"/>
    <w:rsid w:val="00777736"/>
    <w:rsid w:val="00777C21"/>
    <w:rsid w:val="00777D47"/>
    <w:rsid w:val="007807DE"/>
    <w:rsid w:val="00780D96"/>
    <w:rsid w:val="00780DA1"/>
    <w:rsid w:val="0078127E"/>
    <w:rsid w:val="0078134E"/>
    <w:rsid w:val="00781650"/>
    <w:rsid w:val="00781830"/>
    <w:rsid w:val="007818AB"/>
    <w:rsid w:val="00781E97"/>
    <w:rsid w:val="00781E9C"/>
    <w:rsid w:val="00782EA1"/>
    <w:rsid w:val="0078317B"/>
    <w:rsid w:val="007832F5"/>
    <w:rsid w:val="0078356E"/>
    <w:rsid w:val="007836E0"/>
    <w:rsid w:val="00783736"/>
    <w:rsid w:val="00783AC4"/>
    <w:rsid w:val="00783EE8"/>
    <w:rsid w:val="00783FA9"/>
    <w:rsid w:val="007847C1"/>
    <w:rsid w:val="007848BB"/>
    <w:rsid w:val="007849A9"/>
    <w:rsid w:val="00784E31"/>
    <w:rsid w:val="007850EE"/>
    <w:rsid w:val="00785FAB"/>
    <w:rsid w:val="00786088"/>
    <w:rsid w:val="007860F6"/>
    <w:rsid w:val="007860FF"/>
    <w:rsid w:val="0078642F"/>
    <w:rsid w:val="007864A3"/>
    <w:rsid w:val="007864EE"/>
    <w:rsid w:val="007866DC"/>
    <w:rsid w:val="00786F05"/>
    <w:rsid w:val="00787043"/>
    <w:rsid w:val="007871EA"/>
    <w:rsid w:val="007877E4"/>
    <w:rsid w:val="007878C5"/>
    <w:rsid w:val="007902CA"/>
    <w:rsid w:val="00790979"/>
    <w:rsid w:val="00790A9C"/>
    <w:rsid w:val="00790DD8"/>
    <w:rsid w:val="007912B7"/>
    <w:rsid w:val="007912BB"/>
    <w:rsid w:val="00791401"/>
    <w:rsid w:val="007915A3"/>
    <w:rsid w:val="007918FD"/>
    <w:rsid w:val="00791B68"/>
    <w:rsid w:val="00791EDB"/>
    <w:rsid w:val="00791FD4"/>
    <w:rsid w:val="00792043"/>
    <w:rsid w:val="0079218C"/>
    <w:rsid w:val="007926C5"/>
    <w:rsid w:val="0079272C"/>
    <w:rsid w:val="00792944"/>
    <w:rsid w:val="00792AAE"/>
    <w:rsid w:val="00792B89"/>
    <w:rsid w:val="00792EAF"/>
    <w:rsid w:val="00792F16"/>
    <w:rsid w:val="0079355A"/>
    <w:rsid w:val="007938E9"/>
    <w:rsid w:val="00793927"/>
    <w:rsid w:val="00793FDF"/>
    <w:rsid w:val="00793FF9"/>
    <w:rsid w:val="00794109"/>
    <w:rsid w:val="00794131"/>
    <w:rsid w:val="0079455B"/>
    <w:rsid w:val="007946D3"/>
    <w:rsid w:val="00794A2A"/>
    <w:rsid w:val="00794FD6"/>
    <w:rsid w:val="00794FDA"/>
    <w:rsid w:val="00794FE4"/>
    <w:rsid w:val="0079509F"/>
    <w:rsid w:val="007950A5"/>
    <w:rsid w:val="007952FA"/>
    <w:rsid w:val="00795310"/>
    <w:rsid w:val="007953F6"/>
    <w:rsid w:val="00795DD7"/>
    <w:rsid w:val="007961E2"/>
    <w:rsid w:val="00796719"/>
    <w:rsid w:val="00796998"/>
    <w:rsid w:val="00796A35"/>
    <w:rsid w:val="00796B48"/>
    <w:rsid w:val="00796D6A"/>
    <w:rsid w:val="00796F76"/>
    <w:rsid w:val="00796FE2"/>
    <w:rsid w:val="00797154"/>
    <w:rsid w:val="007972C5"/>
    <w:rsid w:val="007A0546"/>
    <w:rsid w:val="007A098A"/>
    <w:rsid w:val="007A0C81"/>
    <w:rsid w:val="007A0E00"/>
    <w:rsid w:val="007A0F26"/>
    <w:rsid w:val="007A186D"/>
    <w:rsid w:val="007A255A"/>
    <w:rsid w:val="007A256C"/>
    <w:rsid w:val="007A267D"/>
    <w:rsid w:val="007A2998"/>
    <w:rsid w:val="007A3B20"/>
    <w:rsid w:val="007A4340"/>
    <w:rsid w:val="007A4D01"/>
    <w:rsid w:val="007A5259"/>
    <w:rsid w:val="007A540B"/>
    <w:rsid w:val="007A5B77"/>
    <w:rsid w:val="007A5BB2"/>
    <w:rsid w:val="007A60C8"/>
    <w:rsid w:val="007A66F7"/>
    <w:rsid w:val="007A6966"/>
    <w:rsid w:val="007A7202"/>
    <w:rsid w:val="007A76B0"/>
    <w:rsid w:val="007A7A01"/>
    <w:rsid w:val="007A7D6B"/>
    <w:rsid w:val="007A7E54"/>
    <w:rsid w:val="007B0254"/>
    <w:rsid w:val="007B04FE"/>
    <w:rsid w:val="007B0699"/>
    <w:rsid w:val="007B06DE"/>
    <w:rsid w:val="007B0903"/>
    <w:rsid w:val="007B0921"/>
    <w:rsid w:val="007B0F38"/>
    <w:rsid w:val="007B1366"/>
    <w:rsid w:val="007B13F6"/>
    <w:rsid w:val="007B1409"/>
    <w:rsid w:val="007B1441"/>
    <w:rsid w:val="007B17E0"/>
    <w:rsid w:val="007B1E5D"/>
    <w:rsid w:val="007B1E71"/>
    <w:rsid w:val="007B248B"/>
    <w:rsid w:val="007B24EA"/>
    <w:rsid w:val="007B2D95"/>
    <w:rsid w:val="007B318D"/>
    <w:rsid w:val="007B365B"/>
    <w:rsid w:val="007B3815"/>
    <w:rsid w:val="007B3BA2"/>
    <w:rsid w:val="007B4061"/>
    <w:rsid w:val="007B48B6"/>
    <w:rsid w:val="007B4B0C"/>
    <w:rsid w:val="007B4CD0"/>
    <w:rsid w:val="007B4E38"/>
    <w:rsid w:val="007B530B"/>
    <w:rsid w:val="007B548E"/>
    <w:rsid w:val="007B55F5"/>
    <w:rsid w:val="007B58DD"/>
    <w:rsid w:val="007B58E1"/>
    <w:rsid w:val="007B5E8A"/>
    <w:rsid w:val="007B64B7"/>
    <w:rsid w:val="007B66EC"/>
    <w:rsid w:val="007B6984"/>
    <w:rsid w:val="007B6B9C"/>
    <w:rsid w:val="007B6C9C"/>
    <w:rsid w:val="007B6EE2"/>
    <w:rsid w:val="007B78E5"/>
    <w:rsid w:val="007B79B4"/>
    <w:rsid w:val="007B7A81"/>
    <w:rsid w:val="007B7D95"/>
    <w:rsid w:val="007C0523"/>
    <w:rsid w:val="007C063C"/>
    <w:rsid w:val="007C0ED1"/>
    <w:rsid w:val="007C1ACB"/>
    <w:rsid w:val="007C1AE3"/>
    <w:rsid w:val="007C1DDA"/>
    <w:rsid w:val="007C1E23"/>
    <w:rsid w:val="007C21F5"/>
    <w:rsid w:val="007C237A"/>
    <w:rsid w:val="007C252E"/>
    <w:rsid w:val="007C25F9"/>
    <w:rsid w:val="007C2A42"/>
    <w:rsid w:val="007C2F78"/>
    <w:rsid w:val="007C3139"/>
    <w:rsid w:val="007C3718"/>
    <w:rsid w:val="007C37A3"/>
    <w:rsid w:val="007C3A5D"/>
    <w:rsid w:val="007C3BE5"/>
    <w:rsid w:val="007C3F3B"/>
    <w:rsid w:val="007C4746"/>
    <w:rsid w:val="007C5096"/>
    <w:rsid w:val="007C5276"/>
    <w:rsid w:val="007C57BB"/>
    <w:rsid w:val="007C5B53"/>
    <w:rsid w:val="007C5D4C"/>
    <w:rsid w:val="007C62E9"/>
    <w:rsid w:val="007C6598"/>
    <w:rsid w:val="007C69DA"/>
    <w:rsid w:val="007C6A27"/>
    <w:rsid w:val="007C6C11"/>
    <w:rsid w:val="007C6D3B"/>
    <w:rsid w:val="007C6D7B"/>
    <w:rsid w:val="007C6EB1"/>
    <w:rsid w:val="007C7A75"/>
    <w:rsid w:val="007C7B08"/>
    <w:rsid w:val="007C7B83"/>
    <w:rsid w:val="007C7D82"/>
    <w:rsid w:val="007C7D9C"/>
    <w:rsid w:val="007C7EA0"/>
    <w:rsid w:val="007D0169"/>
    <w:rsid w:val="007D035A"/>
    <w:rsid w:val="007D0886"/>
    <w:rsid w:val="007D08C5"/>
    <w:rsid w:val="007D094D"/>
    <w:rsid w:val="007D09F7"/>
    <w:rsid w:val="007D15B7"/>
    <w:rsid w:val="007D15F8"/>
    <w:rsid w:val="007D1627"/>
    <w:rsid w:val="007D1D42"/>
    <w:rsid w:val="007D1FB4"/>
    <w:rsid w:val="007D2363"/>
    <w:rsid w:val="007D2622"/>
    <w:rsid w:val="007D29CC"/>
    <w:rsid w:val="007D2C4F"/>
    <w:rsid w:val="007D2F4B"/>
    <w:rsid w:val="007D35B2"/>
    <w:rsid w:val="007D3B46"/>
    <w:rsid w:val="007D3CFD"/>
    <w:rsid w:val="007D3D49"/>
    <w:rsid w:val="007D3E06"/>
    <w:rsid w:val="007D3EF1"/>
    <w:rsid w:val="007D42C9"/>
    <w:rsid w:val="007D4786"/>
    <w:rsid w:val="007D48B3"/>
    <w:rsid w:val="007D4B52"/>
    <w:rsid w:val="007D4D0B"/>
    <w:rsid w:val="007D5103"/>
    <w:rsid w:val="007D511E"/>
    <w:rsid w:val="007D525C"/>
    <w:rsid w:val="007D52DC"/>
    <w:rsid w:val="007D565A"/>
    <w:rsid w:val="007D58D9"/>
    <w:rsid w:val="007D5C2C"/>
    <w:rsid w:val="007D5D1B"/>
    <w:rsid w:val="007D6B9F"/>
    <w:rsid w:val="007D6E34"/>
    <w:rsid w:val="007D6EDC"/>
    <w:rsid w:val="007D70BE"/>
    <w:rsid w:val="007D752C"/>
    <w:rsid w:val="007D7F08"/>
    <w:rsid w:val="007D7F22"/>
    <w:rsid w:val="007E07F4"/>
    <w:rsid w:val="007E09EC"/>
    <w:rsid w:val="007E14EB"/>
    <w:rsid w:val="007E1544"/>
    <w:rsid w:val="007E1BF7"/>
    <w:rsid w:val="007E1C03"/>
    <w:rsid w:val="007E1F4B"/>
    <w:rsid w:val="007E222B"/>
    <w:rsid w:val="007E2596"/>
    <w:rsid w:val="007E28EA"/>
    <w:rsid w:val="007E297E"/>
    <w:rsid w:val="007E2FF6"/>
    <w:rsid w:val="007E2FF9"/>
    <w:rsid w:val="007E348B"/>
    <w:rsid w:val="007E3547"/>
    <w:rsid w:val="007E361A"/>
    <w:rsid w:val="007E388F"/>
    <w:rsid w:val="007E39AB"/>
    <w:rsid w:val="007E45DA"/>
    <w:rsid w:val="007E4B73"/>
    <w:rsid w:val="007E4ECE"/>
    <w:rsid w:val="007E50AC"/>
    <w:rsid w:val="007E5171"/>
    <w:rsid w:val="007E54EF"/>
    <w:rsid w:val="007E566C"/>
    <w:rsid w:val="007E570E"/>
    <w:rsid w:val="007E5782"/>
    <w:rsid w:val="007E5EFD"/>
    <w:rsid w:val="007E6076"/>
    <w:rsid w:val="007E63BD"/>
    <w:rsid w:val="007E6411"/>
    <w:rsid w:val="007E6DEA"/>
    <w:rsid w:val="007E6ED4"/>
    <w:rsid w:val="007E7022"/>
    <w:rsid w:val="007E7282"/>
    <w:rsid w:val="007E788D"/>
    <w:rsid w:val="007E79ED"/>
    <w:rsid w:val="007E79F4"/>
    <w:rsid w:val="007E7A14"/>
    <w:rsid w:val="007F0975"/>
    <w:rsid w:val="007F0A21"/>
    <w:rsid w:val="007F0C7F"/>
    <w:rsid w:val="007F0D26"/>
    <w:rsid w:val="007F1068"/>
    <w:rsid w:val="007F13DC"/>
    <w:rsid w:val="007F145B"/>
    <w:rsid w:val="007F15DA"/>
    <w:rsid w:val="007F1658"/>
    <w:rsid w:val="007F17D1"/>
    <w:rsid w:val="007F1D65"/>
    <w:rsid w:val="007F1E2A"/>
    <w:rsid w:val="007F280E"/>
    <w:rsid w:val="007F293E"/>
    <w:rsid w:val="007F2A33"/>
    <w:rsid w:val="007F2AE0"/>
    <w:rsid w:val="007F2D90"/>
    <w:rsid w:val="007F2FB2"/>
    <w:rsid w:val="007F3643"/>
    <w:rsid w:val="007F373D"/>
    <w:rsid w:val="007F3782"/>
    <w:rsid w:val="007F3878"/>
    <w:rsid w:val="007F3959"/>
    <w:rsid w:val="007F3E60"/>
    <w:rsid w:val="007F4493"/>
    <w:rsid w:val="007F450E"/>
    <w:rsid w:val="007F48A7"/>
    <w:rsid w:val="007F4A18"/>
    <w:rsid w:val="007F4FE2"/>
    <w:rsid w:val="007F5312"/>
    <w:rsid w:val="007F54A1"/>
    <w:rsid w:val="007F5605"/>
    <w:rsid w:val="007F5C3F"/>
    <w:rsid w:val="007F659D"/>
    <w:rsid w:val="007F68F3"/>
    <w:rsid w:val="007F6C7B"/>
    <w:rsid w:val="007F72C5"/>
    <w:rsid w:val="007F7409"/>
    <w:rsid w:val="007F765D"/>
    <w:rsid w:val="007F7FA6"/>
    <w:rsid w:val="00800147"/>
    <w:rsid w:val="0080086E"/>
    <w:rsid w:val="00800C41"/>
    <w:rsid w:val="00801866"/>
    <w:rsid w:val="00801A7E"/>
    <w:rsid w:val="00801B7A"/>
    <w:rsid w:val="00801B99"/>
    <w:rsid w:val="00801C5F"/>
    <w:rsid w:val="00801D29"/>
    <w:rsid w:val="00802012"/>
    <w:rsid w:val="008020AE"/>
    <w:rsid w:val="008021D5"/>
    <w:rsid w:val="008026BB"/>
    <w:rsid w:val="008028B9"/>
    <w:rsid w:val="008029EE"/>
    <w:rsid w:val="008031EB"/>
    <w:rsid w:val="00803405"/>
    <w:rsid w:val="0080366B"/>
    <w:rsid w:val="008038A2"/>
    <w:rsid w:val="0080390D"/>
    <w:rsid w:val="0080395E"/>
    <w:rsid w:val="00803C64"/>
    <w:rsid w:val="0080411F"/>
    <w:rsid w:val="00804126"/>
    <w:rsid w:val="00804D76"/>
    <w:rsid w:val="00804E31"/>
    <w:rsid w:val="00804EC7"/>
    <w:rsid w:val="00804EDC"/>
    <w:rsid w:val="00805237"/>
    <w:rsid w:val="0080540A"/>
    <w:rsid w:val="008057F1"/>
    <w:rsid w:val="0080581F"/>
    <w:rsid w:val="00805E34"/>
    <w:rsid w:val="0080616B"/>
    <w:rsid w:val="0080670C"/>
    <w:rsid w:val="00806747"/>
    <w:rsid w:val="0080677D"/>
    <w:rsid w:val="00806984"/>
    <w:rsid w:val="00806C16"/>
    <w:rsid w:val="0080720C"/>
    <w:rsid w:val="0080722E"/>
    <w:rsid w:val="00807569"/>
    <w:rsid w:val="0080772B"/>
    <w:rsid w:val="00807783"/>
    <w:rsid w:val="008078BC"/>
    <w:rsid w:val="008079BE"/>
    <w:rsid w:val="00807BBE"/>
    <w:rsid w:val="00807D96"/>
    <w:rsid w:val="00807E48"/>
    <w:rsid w:val="00810107"/>
    <w:rsid w:val="00810270"/>
    <w:rsid w:val="008102FF"/>
    <w:rsid w:val="00810456"/>
    <w:rsid w:val="0081070C"/>
    <w:rsid w:val="00810796"/>
    <w:rsid w:val="008108ED"/>
    <w:rsid w:val="00810F7F"/>
    <w:rsid w:val="0081103C"/>
    <w:rsid w:val="00811119"/>
    <w:rsid w:val="008113BA"/>
    <w:rsid w:val="00811722"/>
    <w:rsid w:val="00811C03"/>
    <w:rsid w:val="00811D67"/>
    <w:rsid w:val="00812079"/>
    <w:rsid w:val="00812AC7"/>
    <w:rsid w:val="00812DF8"/>
    <w:rsid w:val="0081323F"/>
    <w:rsid w:val="00813758"/>
    <w:rsid w:val="00813775"/>
    <w:rsid w:val="00813E91"/>
    <w:rsid w:val="00814004"/>
    <w:rsid w:val="008146A5"/>
    <w:rsid w:val="00814784"/>
    <w:rsid w:val="0081481D"/>
    <w:rsid w:val="00814DE8"/>
    <w:rsid w:val="00814E1A"/>
    <w:rsid w:val="0081523F"/>
    <w:rsid w:val="00815576"/>
    <w:rsid w:val="0081587B"/>
    <w:rsid w:val="008163CD"/>
    <w:rsid w:val="00816553"/>
    <w:rsid w:val="008165E1"/>
    <w:rsid w:val="00816656"/>
    <w:rsid w:val="00816884"/>
    <w:rsid w:val="00816ACE"/>
    <w:rsid w:val="00816B62"/>
    <w:rsid w:val="00816DBE"/>
    <w:rsid w:val="008170D2"/>
    <w:rsid w:val="008172F0"/>
    <w:rsid w:val="00817703"/>
    <w:rsid w:val="00817890"/>
    <w:rsid w:val="00817EC0"/>
    <w:rsid w:val="008200AA"/>
    <w:rsid w:val="00820632"/>
    <w:rsid w:val="00820C12"/>
    <w:rsid w:val="00820CEE"/>
    <w:rsid w:val="00820DD6"/>
    <w:rsid w:val="00820EDB"/>
    <w:rsid w:val="008211D0"/>
    <w:rsid w:val="00821503"/>
    <w:rsid w:val="00821511"/>
    <w:rsid w:val="00821896"/>
    <w:rsid w:val="0082208E"/>
    <w:rsid w:val="008220CB"/>
    <w:rsid w:val="008226BC"/>
    <w:rsid w:val="008228E1"/>
    <w:rsid w:val="00822A1B"/>
    <w:rsid w:val="00822AB0"/>
    <w:rsid w:val="00822E19"/>
    <w:rsid w:val="00822E8F"/>
    <w:rsid w:val="0082316E"/>
    <w:rsid w:val="008237FB"/>
    <w:rsid w:val="00823AE7"/>
    <w:rsid w:val="00823E8C"/>
    <w:rsid w:val="00824243"/>
    <w:rsid w:val="0082494D"/>
    <w:rsid w:val="008258BC"/>
    <w:rsid w:val="00825B99"/>
    <w:rsid w:val="0082680A"/>
    <w:rsid w:val="008268C4"/>
    <w:rsid w:val="00830188"/>
    <w:rsid w:val="008309D2"/>
    <w:rsid w:val="00830D98"/>
    <w:rsid w:val="00831263"/>
    <w:rsid w:val="00831B88"/>
    <w:rsid w:val="0083205F"/>
    <w:rsid w:val="008328AF"/>
    <w:rsid w:val="008328CB"/>
    <w:rsid w:val="00832C0B"/>
    <w:rsid w:val="00832D8D"/>
    <w:rsid w:val="00832E8A"/>
    <w:rsid w:val="008332FF"/>
    <w:rsid w:val="00833583"/>
    <w:rsid w:val="008337E5"/>
    <w:rsid w:val="00833981"/>
    <w:rsid w:val="00833A3F"/>
    <w:rsid w:val="00833E9C"/>
    <w:rsid w:val="00833F5D"/>
    <w:rsid w:val="00834286"/>
    <w:rsid w:val="00834513"/>
    <w:rsid w:val="00834642"/>
    <w:rsid w:val="00834836"/>
    <w:rsid w:val="00834840"/>
    <w:rsid w:val="00834853"/>
    <w:rsid w:val="00834943"/>
    <w:rsid w:val="0083563B"/>
    <w:rsid w:val="00835964"/>
    <w:rsid w:val="00835DCF"/>
    <w:rsid w:val="00835E76"/>
    <w:rsid w:val="008367A0"/>
    <w:rsid w:val="00836913"/>
    <w:rsid w:val="008370CB"/>
    <w:rsid w:val="008370F8"/>
    <w:rsid w:val="00837340"/>
    <w:rsid w:val="00837349"/>
    <w:rsid w:val="008375B5"/>
    <w:rsid w:val="008379DC"/>
    <w:rsid w:val="0084041D"/>
    <w:rsid w:val="008407B0"/>
    <w:rsid w:val="00840AA8"/>
    <w:rsid w:val="00841560"/>
    <w:rsid w:val="00841A19"/>
    <w:rsid w:val="00841ADA"/>
    <w:rsid w:val="00841CAC"/>
    <w:rsid w:val="00841DA4"/>
    <w:rsid w:val="00842210"/>
    <w:rsid w:val="008424C9"/>
    <w:rsid w:val="008426C5"/>
    <w:rsid w:val="0084291C"/>
    <w:rsid w:val="00842B5C"/>
    <w:rsid w:val="00842C22"/>
    <w:rsid w:val="00842DBB"/>
    <w:rsid w:val="00842DD6"/>
    <w:rsid w:val="00842E10"/>
    <w:rsid w:val="00842E7B"/>
    <w:rsid w:val="00842F81"/>
    <w:rsid w:val="00842FD2"/>
    <w:rsid w:val="0084364B"/>
    <w:rsid w:val="008437ED"/>
    <w:rsid w:val="008448C3"/>
    <w:rsid w:val="00844BAE"/>
    <w:rsid w:val="00844D09"/>
    <w:rsid w:val="00844EB0"/>
    <w:rsid w:val="00844FE0"/>
    <w:rsid w:val="00845251"/>
    <w:rsid w:val="0084527F"/>
    <w:rsid w:val="008453A9"/>
    <w:rsid w:val="00845672"/>
    <w:rsid w:val="00845BA5"/>
    <w:rsid w:val="00845D42"/>
    <w:rsid w:val="008467C2"/>
    <w:rsid w:val="00846914"/>
    <w:rsid w:val="008469C2"/>
    <w:rsid w:val="00846A21"/>
    <w:rsid w:val="00846A83"/>
    <w:rsid w:val="00846B2C"/>
    <w:rsid w:val="00846B71"/>
    <w:rsid w:val="00847521"/>
    <w:rsid w:val="008477C0"/>
    <w:rsid w:val="00847BAB"/>
    <w:rsid w:val="00847DE7"/>
    <w:rsid w:val="00847E32"/>
    <w:rsid w:val="00850125"/>
    <w:rsid w:val="00850792"/>
    <w:rsid w:val="008508A2"/>
    <w:rsid w:val="008509C6"/>
    <w:rsid w:val="00850CD1"/>
    <w:rsid w:val="00850D72"/>
    <w:rsid w:val="00851CF5"/>
    <w:rsid w:val="00852024"/>
    <w:rsid w:val="0085245D"/>
    <w:rsid w:val="0085252E"/>
    <w:rsid w:val="0085255C"/>
    <w:rsid w:val="00852684"/>
    <w:rsid w:val="0085274D"/>
    <w:rsid w:val="00852E79"/>
    <w:rsid w:val="00853085"/>
    <w:rsid w:val="00853E96"/>
    <w:rsid w:val="00853FAC"/>
    <w:rsid w:val="0085401A"/>
    <w:rsid w:val="0085457F"/>
    <w:rsid w:val="00854AB4"/>
    <w:rsid w:val="00854DC0"/>
    <w:rsid w:val="00855458"/>
    <w:rsid w:val="00855464"/>
    <w:rsid w:val="0085555C"/>
    <w:rsid w:val="00855581"/>
    <w:rsid w:val="00855644"/>
    <w:rsid w:val="008557D5"/>
    <w:rsid w:val="00855B97"/>
    <w:rsid w:val="00855F5C"/>
    <w:rsid w:val="00856350"/>
    <w:rsid w:val="0085642B"/>
    <w:rsid w:val="00856CA6"/>
    <w:rsid w:val="00856E1A"/>
    <w:rsid w:val="00857265"/>
    <w:rsid w:val="0085728F"/>
    <w:rsid w:val="008576C6"/>
    <w:rsid w:val="0086005B"/>
    <w:rsid w:val="00860079"/>
    <w:rsid w:val="008604E5"/>
    <w:rsid w:val="00860BB9"/>
    <w:rsid w:val="00860C2B"/>
    <w:rsid w:val="00860DD4"/>
    <w:rsid w:val="008611A4"/>
    <w:rsid w:val="008611C8"/>
    <w:rsid w:val="00861406"/>
    <w:rsid w:val="00861541"/>
    <w:rsid w:val="008616BF"/>
    <w:rsid w:val="00861865"/>
    <w:rsid w:val="00861FFD"/>
    <w:rsid w:val="00862035"/>
    <w:rsid w:val="008622EB"/>
    <w:rsid w:val="00862667"/>
    <w:rsid w:val="00862A2D"/>
    <w:rsid w:val="008632F4"/>
    <w:rsid w:val="00863C73"/>
    <w:rsid w:val="00863E34"/>
    <w:rsid w:val="008640AB"/>
    <w:rsid w:val="0086466C"/>
    <w:rsid w:val="00864B61"/>
    <w:rsid w:val="00864F96"/>
    <w:rsid w:val="008651CD"/>
    <w:rsid w:val="00865660"/>
    <w:rsid w:val="00865DB6"/>
    <w:rsid w:val="00865E9E"/>
    <w:rsid w:val="00865F11"/>
    <w:rsid w:val="00866077"/>
    <w:rsid w:val="008661DD"/>
    <w:rsid w:val="008663DC"/>
    <w:rsid w:val="008665FD"/>
    <w:rsid w:val="00866716"/>
    <w:rsid w:val="0086748E"/>
    <w:rsid w:val="0086755C"/>
    <w:rsid w:val="00867664"/>
    <w:rsid w:val="00867A41"/>
    <w:rsid w:val="00867D1D"/>
    <w:rsid w:val="00870121"/>
    <w:rsid w:val="00870250"/>
    <w:rsid w:val="008702ED"/>
    <w:rsid w:val="008706E1"/>
    <w:rsid w:val="008709C4"/>
    <w:rsid w:val="008712A0"/>
    <w:rsid w:val="008714AD"/>
    <w:rsid w:val="00871671"/>
    <w:rsid w:val="00871C3F"/>
    <w:rsid w:val="0087228E"/>
    <w:rsid w:val="00872A09"/>
    <w:rsid w:val="00872C75"/>
    <w:rsid w:val="00872DE2"/>
    <w:rsid w:val="00872FB3"/>
    <w:rsid w:val="00872FC5"/>
    <w:rsid w:val="00873475"/>
    <w:rsid w:val="00873882"/>
    <w:rsid w:val="00873902"/>
    <w:rsid w:val="00873A5B"/>
    <w:rsid w:val="00873BC0"/>
    <w:rsid w:val="00873F61"/>
    <w:rsid w:val="0087457F"/>
    <w:rsid w:val="0087481B"/>
    <w:rsid w:val="00874BD6"/>
    <w:rsid w:val="00874D95"/>
    <w:rsid w:val="00874F71"/>
    <w:rsid w:val="00874FCA"/>
    <w:rsid w:val="00875419"/>
    <w:rsid w:val="00875456"/>
    <w:rsid w:val="008758F0"/>
    <w:rsid w:val="00875A86"/>
    <w:rsid w:val="00875CB4"/>
    <w:rsid w:val="00875F97"/>
    <w:rsid w:val="00875FCE"/>
    <w:rsid w:val="00875FD6"/>
    <w:rsid w:val="00876168"/>
    <w:rsid w:val="0087662C"/>
    <w:rsid w:val="0087692C"/>
    <w:rsid w:val="00876A5C"/>
    <w:rsid w:val="00876AB6"/>
    <w:rsid w:val="00876F20"/>
    <w:rsid w:val="008770D4"/>
    <w:rsid w:val="00877357"/>
    <w:rsid w:val="008775E8"/>
    <w:rsid w:val="00877866"/>
    <w:rsid w:val="00877BA7"/>
    <w:rsid w:val="0088007C"/>
    <w:rsid w:val="008800C8"/>
    <w:rsid w:val="00880EA2"/>
    <w:rsid w:val="0088111F"/>
    <w:rsid w:val="00881175"/>
    <w:rsid w:val="008816B7"/>
    <w:rsid w:val="00881957"/>
    <w:rsid w:val="00881F7E"/>
    <w:rsid w:val="0088221A"/>
    <w:rsid w:val="00882293"/>
    <w:rsid w:val="0088243C"/>
    <w:rsid w:val="0088251E"/>
    <w:rsid w:val="0088253F"/>
    <w:rsid w:val="00882A22"/>
    <w:rsid w:val="00882A67"/>
    <w:rsid w:val="00882AAE"/>
    <w:rsid w:val="00882C20"/>
    <w:rsid w:val="00882E0D"/>
    <w:rsid w:val="00882F47"/>
    <w:rsid w:val="008831EA"/>
    <w:rsid w:val="008834B6"/>
    <w:rsid w:val="0088374D"/>
    <w:rsid w:val="00883A83"/>
    <w:rsid w:val="00883E3B"/>
    <w:rsid w:val="008846B5"/>
    <w:rsid w:val="00884A2F"/>
    <w:rsid w:val="008852A7"/>
    <w:rsid w:val="0088548C"/>
    <w:rsid w:val="0088554A"/>
    <w:rsid w:val="00885825"/>
    <w:rsid w:val="00886282"/>
    <w:rsid w:val="0088678C"/>
    <w:rsid w:val="00886822"/>
    <w:rsid w:val="00886920"/>
    <w:rsid w:val="00886CDC"/>
    <w:rsid w:val="008874AA"/>
    <w:rsid w:val="00887936"/>
    <w:rsid w:val="00887EBA"/>
    <w:rsid w:val="008901EB"/>
    <w:rsid w:val="00890230"/>
    <w:rsid w:val="00890422"/>
    <w:rsid w:val="0089073F"/>
    <w:rsid w:val="008908A8"/>
    <w:rsid w:val="00890CD5"/>
    <w:rsid w:val="00891492"/>
    <w:rsid w:val="00891792"/>
    <w:rsid w:val="00891B7F"/>
    <w:rsid w:val="00891C02"/>
    <w:rsid w:val="00892189"/>
    <w:rsid w:val="00892492"/>
    <w:rsid w:val="008924DE"/>
    <w:rsid w:val="00892735"/>
    <w:rsid w:val="00892FDA"/>
    <w:rsid w:val="008933CF"/>
    <w:rsid w:val="008933F3"/>
    <w:rsid w:val="008938E0"/>
    <w:rsid w:val="008938EF"/>
    <w:rsid w:val="008939A3"/>
    <w:rsid w:val="00893AA5"/>
    <w:rsid w:val="008949C9"/>
    <w:rsid w:val="00894AA8"/>
    <w:rsid w:val="00894C06"/>
    <w:rsid w:val="00894E1D"/>
    <w:rsid w:val="008950CA"/>
    <w:rsid w:val="008952EB"/>
    <w:rsid w:val="008953D6"/>
    <w:rsid w:val="00895480"/>
    <w:rsid w:val="008959B5"/>
    <w:rsid w:val="00895AB5"/>
    <w:rsid w:val="00895DF6"/>
    <w:rsid w:val="00895F6D"/>
    <w:rsid w:val="008961DC"/>
    <w:rsid w:val="00896B2E"/>
    <w:rsid w:val="00896BBD"/>
    <w:rsid w:val="00896F56"/>
    <w:rsid w:val="00897152"/>
    <w:rsid w:val="00897505"/>
    <w:rsid w:val="00897899"/>
    <w:rsid w:val="0089797D"/>
    <w:rsid w:val="00897AAD"/>
    <w:rsid w:val="00897E6A"/>
    <w:rsid w:val="00897E9E"/>
    <w:rsid w:val="008A008B"/>
    <w:rsid w:val="008A064C"/>
    <w:rsid w:val="008A0B70"/>
    <w:rsid w:val="008A0D9F"/>
    <w:rsid w:val="008A0ED4"/>
    <w:rsid w:val="008A160A"/>
    <w:rsid w:val="008A1ABA"/>
    <w:rsid w:val="008A1B32"/>
    <w:rsid w:val="008A1D70"/>
    <w:rsid w:val="008A1DB4"/>
    <w:rsid w:val="008A200D"/>
    <w:rsid w:val="008A20AF"/>
    <w:rsid w:val="008A2AB9"/>
    <w:rsid w:val="008A2B50"/>
    <w:rsid w:val="008A2EBB"/>
    <w:rsid w:val="008A357B"/>
    <w:rsid w:val="008A3626"/>
    <w:rsid w:val="008A365B"/>
    <w:rsid w:val="008A3781"/>
    <w:rsid w:val="008A389E"/>
    <w:rsid w:val="008A3B42"/>
    <w:rsid w:val="008A3B82"/>
    <w:rsid w:val="008A3C4B"/>
    <w:rsid w:val="008A3E14"/>
    <w:rsid w:val="008A427F"/>
    <w:rsid w:val="008A431B"/>
    <w:rsid w:val="008A4364"/>
    <w:rsid w:val="008A4415"/>
    <w:rsid w:val="008A4535"/>
    <w:rsid w:val="008A4CFC"/>
    <w:rsid w:val="008A5579"/>
    <w:rsid w:val="008A57FA"/>
    <w:rsid w:val="008A5D6E"/>
    <w:rsid w:val="008A5DC3"/>
    <w:rsid w:val="008A5E6F"/>
    <w:rsid w:val="008A5F66"/>
    <w:rsid w:val="008A5FE5"/>
    <w:rsid w:val="008A6016"/>
    <w:rsid w:val="008A6265"/>
    <w:rsid w:val="008A6398"/>
    <w:rsid w:val="008A641A"/>
    <w:rsid w:val="008A721E"/>
    <w:rsid w:val="008A76E6"/>
    <w:rsid w:val="008A7BBC"/>
    <w:rsid w:val="008B0184"/>
    <w:rsid w:val="008B0B55"/>
    <w:rsid w:val="008B0BF3"/>
    <w:rsid w:val="008B0E25"/>
    <w:rsid w:val="008B1755"/>
    <w:rsid w:val="008B1847"/>
    <w:rsid w:val="008B1A4A"/>
    <w:rsid w:val="008B1B33"/>
    <w:rsid w:val="008B1B46"/>
    <w:rsid w:val="008B20EC"/>
    <w:rsid w:val="008B2D41"/>
    <w:rsid w:val="008B30B7"/>
    <w:rsid w:val="008B371E"/>
    <w:rsid w:val="008B3BB2"/>
    <w:rsid w:val="008B3E9E"/>
    <w:rsid w:val="008B3FE5"/>
    <w:rsid w:val="008B421F"/>
    <w:rsid w:val="008B446F"/>
    <w:rsid w:val="008B4CBD"/>
    <w:rsid w:val="008B4F97"/>
    <w:rsid w:val="008B53AF"/>
    <w:rsid w:val="008B5441"/>
    <w:rsid w:val="008B57E1"/>
    <w:rsid w:val="008B5B45"/>
    <w:rsid w:val="008B64A1"/>
    <w:rsid w:val="008B6514"/>
    <w:rsid w:val="008B68A4"/>
    <w:rsid w:val="008B6C1D"/>
    <w:rsid w:val="008B71E7"/>
    <w:rsid w:val="008B755F"/>
    <w:rsid w:val="008C04EE"/>
    <w:rsid w:val="008C0597"/>
    <w:rsid w:val="008C05C1"/>
    <w:rsid w:val="008C0A5B"/>
    <w:rsid w:val="008C0D13"/>
    <w:rsid w:val="008C0F03"/>
    <w:rsid w:val="008C1293"/>
    <w:rsid w:val="008C1989"/>
    <w:rsid w:val="008C2131"/>
    <w:rsid w:val="008C213C"/>
    <w:rsid w:val="008C2347"/>
    <w:rsid w:val="008C24B3"/>
    <w:rsid w:val="008C2863"/>
    <w:rsid w:val="008C28FF"/>
    <w:rsid w:val="008C2F0C"/>
    <w:rsid w:val="008C3328"/>
    <w:rsid w:val="008C3408"/>
    <w:rsid w:val="008C352C"/>
    <w:rsid w:val="008C3610"/>
    <w:rsid w:val="008C38D1"/>
    <w:rsid w:val="008C38E5"/>
    <w:rsid w:val="008C406B"/>
    <w:rsid w:val="008C444B"/>
    <w:rsid w:val="008C4505"/>
    <w:rsid w:val="008C45B4"/>
    <w:rsid w:val="008C47E3"/>
    <w:rsid w:val="008C4B5B"/>
    <w:rsid w:val="008C537D"/>
    <w:rsid w:val="008C5450"/>
    <w:rsid w:val="008C5A1A"/>
    <w:rsid w:val="008C5C6E"/>
    <w:rsid w:val="008C6724"/>
    <w:rsid w:val="008C6A11"/>
    <w:rsid w:val="008C6DDA"/>
    <w:rsid w:val="008C70B6"/>
    <w:rsid w:val="008C754A"/>
    <w:rsid w:val="008C7611"/>
    <w:rsid w:val="008C7C2E"/>
    <w:rsid w:val="008C7C49"/>
    <w:rsid w:val="008C7E46"/>
    <w:rsid w:val="008D0184"/>
    <w:rsid w:val="008D0C7B"/>
    <w:rsid w:val="008D0EAF"/>
    <w:rsid w:val="008D174F"/>
    <w:rsid w:val="008D1959"/>
    <w:rsid w:val="008D1B90"/>
    <w:rsid w:val="008D216C"/>
    <w:rsid w:val="008D2385"/>
    <w:rsid w:val="008D26B9"/>
    <w:rsid w:val="008D282D"/>
    <w:rsid w:val="008D294F"/>
    <w:rsid w:val="008D2A55"/>
    <w:rsid w:val="008D2B41"/>
    <w:rsid w:val="008D2B75"/>
    <w:rsid w:val="008D3054"/>
    <w:rsid w:val="008D342F"/>
    <w:rsid w:val="008D35D6"/>
    <w:rsid w:val="008D3AF9"/>
    <w:rsid w:val="008D3B0A"/>
    <w:rsid w:val="008D3BA9"/>
    <w:rsid w:val="008D3D41"/>
    <w:rsid w:val="008D418F"/>
    <w:rsid w:val="008D4432"/>
    <w:rsid w:val="008D4B14"/>
    <w:rsid w:val="008D4C93"/>
    <w:rsid w:val="008D4F2B"/>
    <w:rsid w:val="008D5354"/>
    <w:rsid w:val="008D542E"/>
    <w:rsid w:val="008D5487"/>
    <w:rsid w:val="008D54E6"/>
    <w:rsid w:val="008D55FE"/>
    <w:rsid w:val="008D5DE2"/>
    <w:rsid w:val="008D5E53"/>
    <w:rsid w:val="008D63B7"/>
    <w:rsid w:val="008D6650"/>
    <w:rsid w:val="008D6982"/>
    <w:rsid w:val="008D7202"/>
    <w:rsid w:val="008D727A"/>
    <w:rsid w:val="008D7721"/>
    <w:rsid w:val="008D7756"/>
    <w:rsid w:val="008D77EE"/>
    <w:rsid w:val="008D79C4"/>
    <w:rsid w:val="008E0070"/>
    <w:rsid w:val="008E0172"/>
    <w:rsid w:val="008E0792"/>
    <w:rsid w:val="008E0ACD"/>
    <w:rsid w:val="008E0D4F"/>
    <w:rsid w:val="008E1332"/>
    <w:rsid w:val="008E1DE9"/>
    <w:rsid w:val="008E209C"/>
    <w:rsid w:val="008E2406"/>
    <w:rsid w:val="008E24D0"/>
    <w:rsid w:val="008E2C7C"/>
    <w:rsid w:val="008E2F1A"/>
    <w:rsid w:val="008E31F6"/>
    <w:rsid w:val="008E33EF"/>
    <w:rsid w:val="008E39B0"/>
    <w:rsid w:val="008E3E51"/>
    <w:rsid w:val="008E439B"/>
    <w:rsid w:val="008E4B27"/>
    <w:rsid w:val="008E4B4E"/>
    <w:rsid w:val="008E4DA7"/>
    <w:rsid w:val="008E4EAE"/>
    <w:rsid w:val="008E56BB"/>
    <w:rsid w:val="008E5911"/>
    <w:rsid w:val="008E5ACC"/>
    <w:rsid w:val="008E60FE"/>
    <w:rsid w:val="008E6C4F"/>
    <w:rsid w:val="008E6D89"/>
    <w:rsid w:val="008E6D98"/>
    <w:rsid w:val="008E7357"/>
    <w:rsid w:val="008E7941"/>
    <w:rsid w:val="008E7AC2"/>
    <w:rsid w:val="008E7D42"/>
    <w:rsid w:val="008E7DE7"/>
    <w:rsid w:val="008E7F67"/>
    <w:rsid w:val="008F00B8"/>
    <w:rsid w:val="008F03F8"/>
    <w:rsid w:val="008F04A2"/>
    <w:rsid w:val="008F0F72"/>
    <w:rsid w:val="008F1066"/>
    <w:rsid w:val="008F1195"/>
    <w:rsid w:val="008F1282"/>
    <w:rsid w:val="008F15D8"/>
    <w:rsid w:val="008F1CF2"/>
    <w:rsid w:val="008F1DB2"/>
    <w:rsid w:val="008F218D"/>
    <w:rsid w:val="008F2461"/>
    <w:rsid w:val="008F25CB"/>
    <w:rsid w:val="008F2A0F"/>
    <w:rsid w:val="008F3259"/>
    <w:rsid w:val="008F3327"/>
    <w:rsid w:val="008F355F"/>
    <w:rsid w:val="008F36A7"/>
    <w:rsid w:val="008F380B"/>
    <w:rsid w:val="008F3A51"/>
    <w:rsid w:val="008F3BA7"/>
    <w:rsid w:val="008F3C2E"/>
    <w:rsid w:val="008F449E"/>
    <w:rsid w:val="008F4B9A"/>
    <w:rsid w:val="008F4CAC"/>
    <w:rsid w:val="008F50A2"/>
    <w:rsid w:val="008F565E"/>
    <w:rsid w:val="008F578B"/>
    <w:rsid w:val="008F587E"/>
    <w:rsid w:val="008F5AFC"/>
    <w:rsid w:val="008F5CEE"/>
    <w:rsid w:val="008F622E"/>
    <w:rsid w:val="008F62A0"/>
    <w:rsid w:val="008F6319"/>
    <w:rsid w:val="008F677F"/>
    <w:rsid w:val="008F6A2B"/>
    <w:rsid w:val="008F6DA9"/>
    <w:rsid w:val="008F6DF0"/>
    <w:rsid w:val="008F7006"/>
    <w:rsid w:val="008F70D3"/>
    <w:rsid w:val="008F72D2"/>
    <w:rsid w:val="008F7372"/>
    <w:rsid w:val="008F7507"/>
    <w:rsid w:val="008F7821"/>
    <w:rsid w:val="008F7A18"/>
    <w:rsid w:val="008F7DE1"/>
    <w:rsid w:val="008F7FC1"/>
    <w:rsid w:val="009000F1"/>
    <w:rsid w:val="009001CF"/>
    <w:rsid w:val="009002F8"/>
    <w:rsid w:val="009005BA"/>
    <w:rsid w:val="009007DE"/>
    <w:rsid w:val="00900856"/>
    <w:rsid w:val="00900900"/>
    <w:rsid w:val="00900B71"/>
    <w:rsid w:val="00900FC0"/>
    <w:rsid w:val="00901573"/>
    <w:rsid w:val="00901687"/>
    <w:rsid w:val="00901696"/>
    <w:rsid w:val="00901E7F"/>
    <w:rsid w:val="00901F32"/>
    <w:rsid w:val="009020AA"/>
    <w:rsid w:val="00902151"/>
    <w:rsid w:val="009023DB"/>
    <w:rsid w:val="0090268E"/>
    <w:rsid w:val="0090290D"/>
    <w:rsid w:val="00902D47"/>
    <w:rsid w:val="00903AAB"/>
    <w:rsid w:val="00903F98"/>
    <w:rsid w:val="00904027"/>
    <w:rsid w:val="009044D6"/>
    <w:rsid w:val="00904825"/>
    <w:rsid w:val="00904B66"/>
    <w:rsid w:val="00904D7C"/>
    <w:rsid w:val="00904E8D"/>
    <w:rsid w:val="00904F93"/>
    <w:rsid w:val="009056CE"/>
    <w:rsid w:val="00905A4F"/>
    <w:rsid w:val="00905C36"/>
    <w:rsid w:val="00905F04"/>
    <w:rsid w:val="00906078"/>
    <w:rsid w:val="00906252"/>
    <w:rsid w:val="00906449"/>
    <w:rsid w:val="0090662A"/>
    <w:rsid w:val="00906751"/>
    <w:rsid w:val="00906759"/>
    <w:rsid w:val="00906AB6"/>
    <w:rsid w:val="00906D36"/>
    <w:rsid w:val="009074BA"/>
    <w:rsid w:val="009075BE"/>
    <w:rsid w:val="00907B87"/>
    <w:rsid w:val="009103F6"/>
    <w:rsid w:val="00910A3F"/>
    <w:rsid w:val="00910EE9"/>
    <w:rsid w:val="009110EC"/>
    <w:rsid w:val="00911333"/>
    <w:rsid w:val="009117BC"/>
    <w:rsid w:val="00911AFA"/>
    <w:rsid w:val="00911EDC"/>
    <w:rsid w:val="00912652"/>
    <w:rsid w:val="009127D3"/>
    <w:rsid w:val="00912A50"/>
    <w:rsid w:val="00913272"/>
    <w:rsid w:val="00913623"/>
    <w:rsid w:val="009138BF"/>
    <w:rsid w:val="0091395C"/>
    <w:rsid w:val="0091400B"/>
    <w:rsid w:val="0091408B"/>
    <w:rsid w:val="00914D89"/>
    <w:rsid w:val="00914EE5"/>
    <w:rsid w:val="0091533A"/>
    <w:rsid w:val="00915693"/>
    <w:rsid w:val="009158BC"/>
    <w:rsid w:val="009159E9"/>
    <w:rsid w:val="00915C35"/>
    <w:rsid w:val="00915D84"/>
    <w:rsid w:val="009164AC"/>
    <w:rsid w:val="00916682"/>
    <w:rsid w:val="009168DB"/>
    <w:rsid w:val="009169CA"/>
    <w:rsid w:val="00916DF3"/>
    <w:rsid w:val="00917365"/>
    <w:rsid w:val="0091744F"/>
    <w:rsid w:val="0091789E"/>
    <w:rsid w:val="00917BD8"/>
    <w:rsid w:val="00917EF3"/>
    <w:rsid w:val="0092004F"/>
    <w:rsid w:val="00920299"/>
    <w:rsid w:val="00920648"/>
    <w:rsid w:val="00920774"/>
    <w:rsid w:val="00920856"/>
    <w:rsid w:val="009210DB"/>
    <w:rsid w:val="009216CC"/>
    <w:rsid w:val="0092172F"/>
    <w:rsid w:val="0092180C"/>
    <w:rsid w:val="00921C42"/>
    <w:rsid w:val="00922321"/>
    <w:rsid w:val="0092254C"/>
    <w:rsid w:val="009225C1"/>
    <w:rsid w:val="00922ADB"/>
    <w:rsid w:val="00922F70"/>
    <w:rsid w:val="00922F7A"/>
    <w:rsid w:val="00923156"/>
    <w:rsid w:val="00923271"/>
    <w:rsid w:val="0092329D"/>
    <w:rsid w:val="009232EF"/>
    <w:rsid w:val="0092338F"/>
    <w:rsid w:val="00923667"/>
    <w:rsid w:val="00923CB0"/>
    <w:rsid w:val="00923F19"/>
    <w:rsid w:val="0092406F"/>
    <w:rsid w:val="00924553"/>
    <w:rsid w:val="009247DB"/>
    <w:rsid w:val="00924C36"/>
    <w:rsid w:val="0092518E"/>
    <w:rsid w:val="009251E8"/>
    <w:rsid w:val="00925257"/>
    <w:rsid w:val="009256B8"/>
    <w:rsid w:val="009263B6"/>
    <w:rsid w:val="009269D2"/>
    <w:rsid w:val="00926BD5"/>
    <w:rsid w:val="00926E00"/>
    <w:rsid w:val="00926FAA"/>
    <w:rsid w:val="0092770D"/>
    <w:rsid w:val="00927CD0"/>
    <w:rsid w:val="00927FF2"/>
    <w:rsid w:val="00930383"/>
    <w:rsid w:val="00930BB6"/>
    <w:rsid w:val="00931332"/>
    <w:rsid w:val="0093156A"/>
    <w:rsid w:val="00931702"/>
    <w:rsid w:val="00931815"/>
    <w:rsid w:val="00931D7E"/>
    <w:rsid w:val="00932405"/>
    <w:rsid w:val="009328BF"/>
    <w:rsid w:val="00932A19"/>
    <w:rsid w:val="00932FF7"/>
    <w:rsid w:val="009334AB"/>
    <w:rsid w:val="009337BB"/>
    <w:rsid w:val="00933826"/>
    <w:rsid w:val="0093398E"/>
    <w:rsid w:val="00933CDB"/>
    <w:rsid w:val="00934070"/>
    <w:rsid w:val="009348E0"/>
    <w:rsid w:val="00934C02"/>
    <w:rsid w:val="00934CC1"/>
    <w:rsid w:val="009350CA"/>
    <w:rsid w:val="0093546A"/>
    <w:rsid w:val="00935792"/>
    <w:rsid w:val="00935DE2"/>
    <w:rsid w:val="009360CD"/>
    <w:rsid w:val="00936480"/>
    <w:rsid w:val="0093672C"/>
    <w:rsid w:val="00937047"/>
    <w:rsid w:val="009373BE"/>
    <w:rsid w:val="009375AA"/>
    <w:rsid w:val="0093760C"/>
    <w:rsid w:val="00937846"/>
    <w:rsid w:val="00937887"/>
    <w:rsid w:val="00937BFB"/>
    <w:rsid w:val="00937C18"/>
    <w:rsid w:val="0094030D"/>
    <w:rsid w:val="0094034D"/>
    <w:rsid w:val="00940432"/>
    <w:rsid w:val="0094062A"/>
    <w:rsid w:val="00940639"/>
    <w:rsid w:val="00940885"/>
    <w:rsid w:val="00940892"/>
    <w:rsid w:val="00940DC1"/>
    <w:rsid w:val="00940E5D"/>
    <w:rsid w:val="009411E8"/>
    <w:rsid w:val="009415E5"/>
    <w:rsid w:val="009418FA"/>
    <w:rsid w:val="00941938"/>
    <w:rsid w:val="00941F1D"/>
    <w:rsid w:val="00942108"/>
    <w:rsid w:val="009421FF"/>
    <w:rsid w:val="00942E37"/>
    <w:rsid w:val="00942E5F"/>
    <w:rsid w:val="00943404"/>
    <w:rsid w:val="0094342A"/>
    <w:rsid w:val="009437E2"/>
    <w:rsid w:val="009438BA"/>
    <w:rsid w:val="00943D0A"/>
    <w:rsid w:val="00944014"/>
    <w:rsid w:val="00944231"/>
    <w:rsid w:val="00944D2B"/>
    <w:rsid w:val="00944DCC"/>
    <w:rsid w:val="00945371"/>
    <w:rsid w:val="00945378"/>
    <w:rsid w:val="00945461"/>
    <w:rsid w:val="0094554C"/>
    <w:rsid w:val="00945DEE"/>
    <w:rsid w:val="00945FFF"/>
    <w:rsid w:val="009466D3"/>
    <w:rsid w:val="00946863"/>
    <w:rsid w:val="0094698F"/>
    <w:rsid w:val="00946B0D"/>
    <w:rsid w:val="00946F07"/>
    <w:rsid w:val="0094704A"/>
    <w:rsid w:val="00947055"/>
    <w:rsid w:val="0094730F"/>
    <w:rsid w:val="009476BD"/>
    <w:rsid w:val="009476CF"/>
    <w:rsid w:val="00950047"/>
    <w:rsid w:val="009501B3"/>
    <w:rsid w:val="009501CD"/>
    <w:rsid w:val="00950202"/>
    <w:rsid w:val="00950847"/>
    <w:rsid w:val="00950AA0"/>
    <w:rsid w:val="00950B32"/>
    <w:rsid w:val="00950ECA"/>
    <w:rsid w:val="009511C3"/>
    <w:rsid w:val="00952212"/>
    <w:rsid w:val="0095282B"/>
    <w:rsid w:val="00952B22"/>
    <w:rsid w:val="00952E40"/>
    <w:rsid w:val="00952FBB"/>
    <w:rsid w:val="009530A5"/>
    <w:rsid w:val="00953C2F"/>
    <w:rsid w:val="00953EAC"/>
    <w:rsid w:val="00953F9D"/>
    <w:rsid w:val="00954328"/>
    <w:rsid w:val="009544F6"/>
    <w:rsid w:val="00954776"/>
    <w:rsid w:val="00954CFD"/>
    <w:rsid w:val="009553F5"/>
    <w:rsid w:val="0095564A"/>
    <w:rsid w:val="00955D7E"/>
    <w:rsid w:val="00955F14"/>
    <w:rsid w:val="009562AF"/>
    <w:rsid w:val="00956497"/>
    <w:rsid w:val="009566AC"/>
    <w:rsid w:val="0095673E"/>
    <w:rsid w:val="009568A3"/>
    <w:rsid w:val="00956AE9"/>
    <w:rsid w:val="00956B4B"/>
    <w:rsid w:val="00956BDE"/>
    <w:rsid w:val="00957363"/>
    <w:rsid w:val="009577E6"/>
    <w:rsid w:val="009579DC"/>
    <w:rsid w:val="00957A03"/>
    <w:rsid w:val="009607E3"/>
    <w:rsid w:val="009609BB"/>
    <w:rsid w:val="00960DD7"/>
    <w:rsid w:val="00961186"/>
    <w:rsid w:val="00961537"/>
    <w:rsid w:val="00961975"/>
    <w:rsid w:val="00961AD6"/>
    <w:rsid w:val="00961AF6"/>
    <w:rsid w:val="00961E6D"/>
    <w:rsid w:val="00961E8E"/>
    <w:rsid w:val="0096215D"/>
    <w:rsid w:val="00962CBD"/>
    <w:rsid w:val="00962CF3"/>
    <w:rsid w:val="00962E42"/>
    <w:rsid w:val="00962FA3"/>
    <w:rsid w:val="0096305B"/>
    <w:rsid w:val="00963B79"/>
    <w:rsid w:val="00963BF0"/>
    <w:rsid w:val="00963EA1"/>
    <w:rsid w:val="009642EA"/>
    <w:rsid w:val="0096459D"/>
    <w:rsid w:val="00964954"/>
    <w:rsid w:val="00965793"/>
    <w:rsid w:val="009657DF"/>
    <w:rsid w:val="009659BD"/>
    <w:rsid w:val="00965D27"/>
    <w:rsid w:val="00966308"/>
    <w:rsid w:val="00966C1D"/>
    <w:rsid w:val="00966E09"/>
    <w:rsid w:val="00967207"/>
    <w:rsid w:val="0096721A"/>
    <w:rsid w:val="00967382"/>
    <w:rsid w:val="00967456"/>
    <w:rsid w:val="00967CDD"/>
    <w:rsid w:val="00970101"/>
    <w:rsid w:val="00970643"/>
    <w:rsid w:val="00970662"/>
    <w:rsid w:val="009710D2"/>
    <w:rsid w:val="00971469"/>
    <w:rsid w:val="00971876"/>
    <w:rsid w:val="00971990"/>
    <w:rsid w:val="00971B90"/>
    <w:rsid w:val="009722D7"/>
    <w:rsid w:val="0097307D"/>
    <w:rsid w:val="009733AF"/>
    <w:rsid w:val="0097358E"/>
    <w:rsid w:val="00973936"/>
    <w:rsid w:val="00973D64"/>
    <w:rsid w:val="00973E47"/>
    <w:rsid w:val="00974040"/>
    <w:rsid w:val="009740DD"/>
    <w:rsid w:val="009740FB"/>
    <w:rsid w:val="00974322"/>
    <w:rsid w:val="00975DBE"/>
    <w:rsid w:val="00975EA2"/>
    <w:rsid w:val="009760F6"/>
    <w:rsid w:val="0097650C"/>
    <w:rsid w:val="0097667E"/>
    <w:rsid w:val="00976B62"/>
    <w:rsid w:val="00976C96"/>
    <w:rsid w:val="00976CF9"/>
    <w:rsid w:val="0097710C"/>
    <w:rsid w:val="00977111"/>
    <w:rsid w:val="009772A6"/>
    <w:rsid w:val="009772B6"/>
    <w:rsid w:val="009775AD"/>
    <w:rsid w:val="00977A82"/>
    <w:rsid w:val="00977C2E"/>
    <w:rsid w:val="00977C36"/>
    <w:rsid w:val="0098002A"/>
    <w:rsid w:val="009806D6"/>
    <w:rsid w:val="009806F7"/>
    <w:rsid w:val="0098087C"/>
    <w:rsid w:val="009809A7"/>
    <w:rsid w:val="00980CFB"/>
    <w:rsid w:val="00980F14"/>
    <w:rsid w:val="00980F79"/>
    <w:rsid w:val="00981018"/>
    <w:rsid w:val="00981B35"/>
    <w:rsid w:val="00981BB9"/>
    <w:rsid w:val="00981CD4"/>
    <w:rsid w:val="00981D76"/>
    <w:rsid w:val="00981DAA"/>
    <w:rsid w:val="00981F5B"/>
    <w:rsid w:val="009821BE"/>
    <w:rsid w:val="0098241B"/>
    <w:rsid w:val="00982595"/>
    <w:rsid w:val="009829F3"/>
    <w:rsid w:val="00982AC0"/>
    <w:rsid w:val="00982C65"/>
    <w:rsid w:val="00982F86"/>
    <w:rsid w:val="009831E3"/>
    <w:rsid w:val="009834F3"/>
    <w:rsid w:val="00984112"/>
    <w:rsid w:val="00984211"/>
    <w:rsid w:val="0098471F"/>
    <w:rsid w:val="0098477E"/>
    <w:rsid w:val="00984E72"/>
    <w:rsid w:val="0098531D"/>
    <w:rsid w:val="00985B98"/>
    <w:rsid w:val="00986316"/>
    <w:rsid w:val="009865CC"/>
    <w:rsid w:val="00986725"/>
    <w:rsid w:val="00986D98"/>
    <w:rsid w:val="00986F44"/>
    <w:rsid w:val="009872EC"/>
    <w:rsid w:val="009873AD"/>
    <w:rsid w:val="00987526"/>
    <w:rsid w:val="00987781"/>
    <w:rsid w:val="00987785"/>
    <w:rsid w:val="0099067F"/>
    <w:rsid w:val="0099094A"/>
    <w:rsid w:val="00990EFA"/>
    <w:rsid w:val="00991291"/>
    <w:rsid w:val="009916BA"/>
    <w:rsid w:val="00991888"/>
    <w:rsid w:val="00991B1E"/>
    <w:rsid w:val="00991DC1"/>
    <w:rsid w:val="00991F73"/>
    <w:rsid w:val="0099262A"/>
    <w:rsid w:val="0099267A"/>
    <w:rsid w:val="0099277F"/>
    <w:rsid w:val="00992C93"/>
    <w:rsid w:val="00992CC8"/>
    <w:rsid w:val="00992D38"/>
    <w:rsid w:val="00992D5F"/>
    <w:rsid w:val="00992EBE"/>
    <w:rsid w:val="0099427E"/>
    <w:rsid w:val="00994913"/>
    <w:rsid w:val="00995322"/>
    <w:rsid w:val="00995494"/>
    <w:rsid w:val="0099553A"/>
    <w:rsid w:val="0099578A"/>
    <w:rsid w:val="00995851"/>
    <w:rsid w:val="00995CBC"/>
    <w:rsid w:val="009960B7"/>
    <w:rsid w:val="00996406"/>
    <w:rsid w:val="0099646E"/>
    <w:rsid w:val="009967A1"/>
    <w:rsid w:val="00996AD3"/>
    <w:rsid w:val="0099729B"/>
    <w:rsid w:val="009973EA"/>
    <w:rsid w:val="00997470"/>
    <w:rsid w:val="0099749D"/>
    <w:rsid w:val="00997D12"/>
    <w:rsid w:val="00997F00"/>
    <w:rsid w:val="00997FC8"/>
    <w:rsid w:val="009A014C"/>
    <w:rsid w:val="009A07F3"/>
    <w:rsid w:val="009A0EAA"/>
    <w:rsid w:val="009A18BF"/>
    <w:rsid w:val="009A1B5A"/>
    <w:rsid w:val="009A1D2E"/>
    <w:rsid w:val="009A2A11"/>
    <w:rsid w:val="009A2B00"/>
    <w:rsid w:val="009A2B48"/>
    <w:rsid w:val="009A3285"/>
    <w:rsid w:val="009A34A9"/>
    <w:rsid w:val="009A3510"/>
    <w:rsid w:val="009A352A"/>
    <w:rsid w:val="009A354E"/>
    <w:rsid w:val="009A359C"/>
    <w:rsid w:val="009A36C3"/>
    <w:rsid w:val="009A36DE"/>
    <w:rsid w:val="009A3945"/>
    <w:rsid w:val="009A3C55"/>
    <w:rsid w:val="009A3CB7"/>
    <w:rsid w:val="009A4019"/>
    <w:rsid w:val="009A4250"/>
    <w:rsid w:val="009A486F"/>
    <w:rsid w:val="009A4B07"/>
    <w:rsid w:val="009A4B1E"/>
    <w:rsid w:val="009A509F"/>
    <w:rsid w:val="009A549A"/>
    <w:rsid w:val="009A5988"/>
    <w:rsid w:val="009A6341"/>
    <w:rsid w:val="009A65D6"/>
    <w:rsid w:val="009A6A19"/>
    <w:rsid w:val="009A6B5E"/>
    <w:rsid w:val="009A6E24"/>
    <w:rsid w:val="009A6EFF"/>
    <w:rsid w:val="009A75EC"/>
    <w:rsid w:val="009A75F3"/>
    <w:rsid w:val="009A7A80"/>
    <w:rsid w:val="009A7C51"/>
    <w:rsid w:val="009A7DE6"/>
    <w:rsid w:val="009A7E78"/>
    <w:rsid w:val="009A7FC1"/>
    <w:rsid w:val="009B006B"/>
    <w:rsid w:val="009B048A"/>
    <w:rsid w:val="009B068F"/>
    <w:rsid w:val="009B0C84"/>
    <w:rsid w:val="009B0E4F"/>
    <w:rsid w:val="009B0FA4"/>
    <w:rsid w:val="009B15C0"/>
    <w:rsid w:val="009B172A"/>
    <w:rsid w:val="009B175F"/>
    <w:rsid w:val="009B1975"/>
    <w:rsid w:val="009B1A78"/>
    <w:rsid w:val="009B1E6A"/>
    <w:rsid w:val="009B1EBF"/>
    <w:rsid w:val="009B1F64"/>
    <w:rsid w:val="009B1F6B"/>
    <w:rsid w:val="009B2051"/>
    <w:rsid w:val="009B2267"/>
    <w:rsid w:val="009B287C"/>
    <w:rsid w:val="009B2AA8"/>
    <w:rsid w:val="009B2CAF"/>
    <w:rsid w:val="009B2D93"/>
    <w:rsid w:val="009B30D7"/>
    <w:rsid w:val="009B32F9"/>
    <w:rsid w:val="009B3315"/>
    <w:rsid w:val="009B3352"/>
    <w:rsid w:val="009B3598"/>
    <w:rsid w:val="009B38CE"/>
    <w:rsid w:val="009B41BE"/>
    <w:rsid w:val="009B44D7"/>
    <w:rsid w:val="009B45D4"/>
    <w:rsid w:val="009B489D"/>
    <w:rsid w:val="009B4A3B"/>
    <w:rsid w:val="009B4A5F"/>
    <w:rsid w:val="009B4F55"/>
    <w:rsid w:val="009B5089"/>
    <w:rsid w:val="009B5BBF"/>
    <w:rsid w:val="009B5D5A"/>
    <w:rsid w:val="009B64B0"/>
    <w:rsid w:val="009B67FA"/>
    <w:rsid w:val="009B6F1D"/>
    <w:rsid w:val="009B6F95"/>
    <w:rsid w:val="009B70B8"/>
    <w:rsid w:val="009B715A"/>
    <w:rsid w:val="009B735C"/>
    <w:rsid w:val="009B7528"/>
    <w:rsid w:val="009B7886"/>
    <w:rsid w:val="009B7E18"/>
    <w:rsid w:val="009C01A0"/>
    <w:rsid w:val="009C022D"/>
    <w:rsid w:val="009C027E"/>
    <w:rsid w:val="009C05A5"/>
    <w:rsid w:val="009C0A69"/>
    <w:rsid w:val="009C1819"/>
    <w:rsid w:val="009C183C"/>
    <w:rsid w:val="009C18FA"/>
    <w:rsid w:val="009C1A73"/>
    <w:rsid w:val="009C1FAF"/>
    <w:rsid w:val="009C2167"/>
    <w:rsid w:val="009C2223"/>
    <w:rsid w:val="009C23AA"/>
    <w:rsid w:val="009C24A6"/>
    <w:rsid w:val="009C268E"/>
    <w:rsid w:val="009C279A"/>
    <w:rsid w:val="009C27B6"/>
    <w:rsid w:val="009C296A"/>
    <w:rsid w:val="009C2B10"/>
    <w:rsid w:val="009C2F9F"/>
    <w:rsid w:val="009C2FE4"/>
    <w:rsid w:val="009C314D"/>
    <w:rsid w:val="009C32E4"/>
    <w:rsid w:val="009C3361"/>
    <w:rsid w:val="009C3430"/>
    <w:rsid w:val="009C36F8"/>
    <w:rsid w:val="009C3846"/>
    <w:rsid w:val="009C385F"/>
    <w:rsid w:val="009C39C7"/>
    <w:rsid w:val="009C40BE"/>
    <w:rsid w:val="009C460A"/>
    <w:rsid w:val="009C4644"/>
    <w:rsid w:val="009C4745"/>
    <w:rsid w:val="009C47C9"/>
    <w:rsid w:val="009C4805"/>
    <w:rsid w:val="009C4820"/>
    <w:rsid w:val="009C4879"/>
    <w:rsid w:val="009C4A36"/>
    <w:rsid w:val="009C4AF8"/>
    <w:rsid w:val="009C51FB"/>
    <w:rsid w:val="009C5463"/>
    <w:rsid w:val="009C57FE"/>
    <w:rsid w:val="009C5DE5"/>
    <w:rsid w:val="009C61FE"/>
    <w:rsid w:val="009C6445"/>
    <w:rsid w:val="009C65B1"/>
    <w:rsid w:val="009C6692"/>
    <w:rsid w:val="009C6A2D"/>
    <w:rsid w:val="009C6BCF"/>
    <w:rsid w:val="009C71FD"/>
    <w:rsid w:val="009C738C"/>
    <w:rsid w:val="009C73E1"/>
    <w:rsid w:val="009C743F"/>
    <w:rsid w:val="009C788A"/>
    <w:rsid w:val="009C7CBF"/>
    <w:rsid w:val="009D0169"/>
    <w:rsid w:val="009D02F5"/>
    <w:rsid w:val="009D0315"/>
    <w:rsid w:val="009D03B4"/>
    <w:rsid w:val="009D060D"/>
    <w:rsid w:val="009D0B2E"/>
    <w:rsid w:val="009D18E3"/>
    <w:rsid w:val="009D1C84"/>
    <w:rsid w:val="009D1E64"/>
    <w:rsid w:val="009D212D"/>
    <w:rsid w:val="009D230E"/>
    <w:rsid w:val="009D23A3"/>
    <w:rsid w:val="009D315C"/>
    <w:rsid w:val="009D356A"/>
    <w:rsid w:val="009D3A7D"/>
    <w:rsid w:val="009D3ADE"/>
    <w:rsid w:val="009D3F70"/>
    <w:rsid w:val="009D41A4"/>
    <w:rsid w:val="009D4842"/>
    <w:rsid w:val="009D4A9D"/>
    <w:rsid w:val="009D4D24"/>
    <w:rsid w:val="009D4DA4"/>
    <w:rsid w:val="009D51B3"/>
    <w:rsid w:val="009D5569"/>
    <w:rsid w:val="009D5C29"/>
    <w:rsid w:val="009D6235"/>
    <w:rsid w:val="009D6396"/>
    <w:rsid w:val="009D653A"/>
    <w:rsid w:val="009D6BC1"/>
    <w:rsid w:val="009D713B"/>
    <w:rsid w:val="009D74E7"/>
    <w:rsid w:val="009D7684"/>
    <w:rsid w:val="009D7AF3"/>
    <w:rsid w:val="009E02B8"/>
    <w:rsid w:val="009E030A"/>
    <w:rsid w:val="009E0BD4"/>
    <w:rsid w:val="009E1699"/>
    <w:rsid w:val="009E1758"/>
    <w:rsid w:val="009E17B1"/>
    <w:rsid w:val="009E1ABA"/>
    <w:rsid w:val="009E1ED1"/>
    <w:rsid w:val="009E1EE1"/>
    <w:rsid w:val="009E2034"/>
    <w:rsid w:val="009E212C"/>
    <w:rsid w:val="009E2847"/>
    <w:rsid w:val="009E2EA8"/>
    <w:rsid w:val="009E330C"/>
    <w:rsid w:val="009E362B"/>
    <w:rsid w:val="009E39E1"/>
    <w:rsid w:val="009E3B93"/>
    <w:rsid w:val="009E416F"/>
    <w:rsid w:val="009E4503"/>
    <w:rsid w:val="009E4580"/>
    <w:rsid w:val="009E459B"/>
    <w:rsid w:val="009E4983"/>
    <w:rsid w:val="009E4C3B"/>
    <w:rsid w:val="009E4C79"/>
    <w:rsid w:val="009E4D2A"/>
    <w:rsid w:val="009E5125"/>
    <w:rsid w:val="009E57D9"/>
    <w:rsid w:val="009E58AC"/>
    <w:rsid w:val="009E58F9"/>
    <w:rsid w:val="009E5DD7"/>
    <w:rsid w:val="009E60E0"/>
    <w:rsid w:val="009E635C"/>
    <w:rsid w:val="009E7215"/>
    <w:rsid w:val="009E7605"/>
    <w:rsid w:val="009E7789"/>
    <w:rsid w:val="009E7969"/>
    <w:rsid w:val="009E7C57"/>
    <w:rsid w:val="009F00FC"/>
    <w:rsid w:val="009F020F"/>
    <w:rsid w:val="009F03A5"/>
    <w:rsid w:val="009F099A"/>
    <w:rsid w:val="009F0A70"/>
    <w:rsid w:val="009F1032"/>
    <w:rsid w:val="009F1281"/>
    <w:rsid w:val="009F13AA"/>
    <w:rsid w:val="009F19AE"/>
    <w:rsid w:val="009F1CA1"/>
    <w:rsid w:val="009F22E1"/>
    <w:rsid w:val="009F2369"/>
    <w:rsid w:val="009F23B7"/>
    <w:rsid w:val="009F25CB"/>
    <w:rsid w:val="009F2788"/>
    <w:rsid w:val="009F27FC"/>
    <w:rsid w:val="009F2E4A"/>
    <w:rsid w:val="009F2EB6"/>
    <w:rsid w:val="009F31E2"/>
    <w:rsid w:val="009F3601"/>
    <w:rsid w:val="009F3C03"/>
    <w:rsid w:val="009F3C45"/>
    <w:rsid w:val="009F4609"/>
    <w:rsid w:val="009F4978"/>
    <w:rsid w:val="009F4ADD"/>
    <w:rsid w:val="009F4EA7"/>
    <w:rsid w:val="009F4F6D"/>
    <w:rsid w:val="009F5108"/>
    <w:rsid w:val="009F52D0"/>
    <w:rsid w:val="009F52FE"/>
    <w:rsid w:val="009F568A"/>
    <w:rsid w:val="009F5927"/>
    <w:rsid w:val="009F5C79"/>
    <w:rsid w:val="009F5D82"/>
    <w:rsid w:val="009F608C"/>
    <w:rsid w:val="009F6571"/>
    <w:rsid w:val="009F6877"/>
    <w:rsid w:val="009F6B49"/>
    <w:rsid w:val="009F6F0E"/>
    <w:rsid w:val="009F7066"/>
    <w:rsid w:val="009F7208"/>
    <w:rsid w:val="009F721B"/>
    <w:rsid w:val="009F7267"/>
    <w:rsid w:val="009F7996"/>
    <w:rsid w:val="009F7C65"/>
    <w:rsid w:val="00A00290"/>
    <w:rsid w:val="00A002F7"/>
    <w:rsid w:val="00A00E2E"/>
    <w:rsid w:val="00A01119"/>
    <w:rsid w:val="00A01202"/>
    <w:rsid w:val="00A03373"/>
    <w:rsid w:val="00A0348C"/>
    <w:rsid w:val="00A035ED"/>
    <w:rsid w:val="00A036DB"/>
    <w:rsid w:val="00A044B6"/>
    <w:rsid w:val="00A04AC5"/>
    <w:rsid w:val="00A04B88"/>
    <w:rsid w:val="00A04CFC"/>
    <w:rsid w:val="00A04D2D"/>
    <w:rsid w:val="00A04D81"/>
    <w:rsid w:val="00A05384"/>
    <w:rsid w:val="00A058C1"/>
    <w:rsid w:val="00A05AE0"/>
    <w:rsid w:val="00A060E2"/>
    <w:rsid w:val="00A06216"/>
    <w:rsid w:val="00A066C7"/>
    <w:rsid w:val="00A068AD"/>
    <w:rsid w:val="00A068D3"/>
    <w:rsid w:val="00A06E3F"/>
    <w:rsid w:val="00A07504"/>
    <w:rsid w:val="00A07531"/>
    <w:rsid w:val="00A075FA"/>
    <w:rsid w:val="00A077BD"/>
    <w:rsid w:val="00A07858"/>
    <w:rsid w:val="00A079F3"/>
    <w:rsid w:val="00A106F4"/>
    <w:rsid w:val="00A10928"/>
    <w:rsid w:val="00A10BA7"/>
    <w:rsid w:val="00A10C57"/>
    <w:rsid w:val="00A1137B"/>
    <w:rsid w:val="00A11659"/>
    <w:rsid w:val="00A1199F"/>
    <w:rsid w:val="00A11D08"/>
    <w:rsid w:val="00A12110"/>
    <w:rsid w:val="00A12535"/>
    <w:rsid w:val="00A12C70"/>
    <w:rsid w:val="00A12E7C"/>
    <w:rsid w:val="00A12FB5"/>
    <w:rsid w:val="00A130E7"/>
    <w:rsid w:val="00A1355D"/>
    <w:rsid w:val="00A13566"/>
    <w:rsid w:val="00A13745"/>
    <w:rsid w:val="00A13788"/>
    <w:rsid w:val="00A138A2"/>
    <w:rsid w:val="00A13B9C"/>
    <w:rsid w:val="00A13D70"/>
    <w:rsid w:val="00A13F17"/>
    <w:rsid w:val="00A14026"/>
    <w:rsid w:val="00A14B00"/>
    <w:rsid w:val="00A14E7A"/>
    <w:rsid w:val="00A15457"/>
    <w:rsid w:val="00A154B3"/>
    <w:rsid w:val="00A15896"/>
    <w:rsid w:val="00A15C9F"/>
    <w:rsid w:val="00A15D6C"/>
    <w:rsid w:val="00A15EF3"/>
    <w:rsid w:val="00A15FA5"/>
    <w:rsid w:val="00A160D5"/>
    <w:rsid w:val="00A16210"/>
    <w:rsid w:val="00A16232"/>
    <w:rsid w:val="00A16AB0"/>
    <w:rsid w:val="00A16B8F"/>
    <w:rsid w:val="00A16BD3"/>
    <w:rsid w:val="00A16C4E"/>
    <w:rsid w:val="00A16D0D"/>
    <w:rsid w:val="00A16DBE"/>
    <w:rsid w:val="00A17044"/>
    <w:rsid w:val="00A1744C"/>
    <w:rsid w:val="00A176D2"/>
    <w:rsid w:val="00A177F1"/>
    <w:rsid w:val="00A1781D"/>
    <w:rsid w:val="00A17846"/>
    <w:rsid w:val="00A17A37"/>
    <w:rsid w:val="00A201B0"/>
    <w:rsid w:val="00A2024F"/>
    <w:rsid w:val="00A20663"/>
    <w:rsid w:val="00A209E0"/>
    <w:rsid w:val="00A20BF3"/>
    <w:rsid w:val="00A2171B"/>
    <w:rsid w:val="00A21795"/>
    <w:rsid w:val="00A217BA"/>
    <w:rsid w:val="00A219E4"/>
    <w:rsid w:val="00A21EA4"/>
    <w:rsid w:val="00A21EF6"/>
    <w:rsid w:val="00A22055"/>
    <w:rsid w:val="00A2294A"/>
    <w:rsid w:val="00A229B5"/>
    <w:rsid w:val="00A22E14"/>
    <w:rsid w:val="00A2303C"/>
    <w:rsid w:val="00A23250"/>
    <w:rsid w:val="00A235D6"/>
    <w:rsid w:val="00A23798"/>
    <w:rsid w:val="00A237EA"/>
    <w:rsid w:val="00A2380C"/>
    <w:rsid w:val="00A238DF"/>
    <w:rsid w:val="00A23F1F"/>
    <w:rsid w:val="00A2437C"/>
    <w:rsid w:val="00A24501"/>
    <w:rsid w:val="00A246C5"/>
    <w:rsid w:val="00A24BF4"/>
    <w:rsid w:val="00A24F36"/>
    <w:rsid w:val="00A25151"/>
    <w:rsid w:val="00A25192"/>
    <w:rsid w:val="00A252F8"/>
    <w:rsid w:val="00A25B3A"/>
    <w:rsid w:val="00A25B8A"/>
    <w:rsid w:val="00A2662F"/>
    <w:rsid w:val="00A268EB"/>
    <w:rsid w:val="00A26A5A"/>
    <w:rsid w:val="00A26E88"/>
    <w:rsid w:val="00A27015"/>
    <w:rsid w:val="00A27103"/>
    <w:rsid w:val="00A27230"/>
    <w:rsid w:val="00A27486"/>
    <w:rsid w:val="00A275CF"/>
    <w:rsid w:val="00A2796A"/>
    <w:rsid w:val="00A279B1"/>
    <w:rsid w:val="00A27C40"/>
    <w:rsid w:val="00A27DA2"/>
    <w:rsid w:val="00A305DB"/>
    <w:rsid w:val="00A3090E"/>
    <w:rsid w:val="00A30D1D"/>
    <w:rsid w:val="00A30E25"/>
    <w:rsid w:val="00A30E67"/>
    <w:rsid w:val="00A30F7C"/>
    <w:rsid w:val="00A30FCF"/>
    <w:rsid w:val="00A315D2"/>
    <w:rsid w:val="00A31737"/>
    <w:rsid w:val="00A3182E"/>
    <w:rsid w:val="00A3198B"/>
    <w:rsid w:val="00A319CD"/>
    <w:rsid w:val="00A31A7A"/>
    <w:rsid w:val="00A31C37"/>
    <w:rsid w:val="00A31CA1"/>
    <w:rsid w:val="00A31D8E"/>
    <w:rsid w:val="00A3203A"/>
    <w:rsid w:val="00A320E6"/>
    <w:rsid w:val="00A326A3"/>
    <w:rsid w:val="00A32AA8"/>
    <w:rsid w:val="00A32DBA"/>
    <w:rsid w:val="00A32EBE"/>
    <w:rsid w:val="00A33095"/>
    <w:rsid w:val="00A33112"/>
    <w:rsid w:val="00A33986"/>
    <w:rsid w:val="00A33C9F"/>
    <w:rsid w:val="00A33E54"/>
    <w:rsid w:val="00A33F5C"/>
    <w:rsid w:val="00A347C3"/>
    <w:rsid w:val="00A349A7"/>
    <w:rsid w:val="00A34AA6"/>
    <w:rsid w:val="00A35066"/>
    <w:rsid w:val="00A350ED"/>
    <w:rsid w:val="00A352D3"/>
    <w:rsid w:val="00A35A90"/>
    <w:rsid w:val="00A35EBE"/>
    <w:rsid w:val="00A36057"/>
    <w:rsid w:val="00A3605F"/>
    <w:rsid w:val="00A3632F"/>
    <w:rsid w:val="00A3660A"/>
    <w:rsid w:val="00A36871"/>
    <w:rsid w:val="00A36C43"/>
    <w:rsid w:val="00A36F4B"/>
    <w:rsid w:val="00A370DB"/>
    <w:rsid w:val="00A37397"/>
    <w:rsid w:val="00A37E5C"/>
    <w:rsid w:val="00A40318"/>
    <w:rsid w:val="00A408EF"/>
    <w:rsid w:val="00A40DED"/>
    <w:rsid w:val="00A413FE"/>
    <w:rsid w:val="00A41439"/>
    <w:rsid w:val="00A41858"/>
    <w:rsid w:val="00A41A75"/>
    <w:rsid w:val="00A41B93"/>
    <w:rsid w:val="00A41BDD"/>
    <w:rsid w:val="00A41D6D"/>
    <w:rsid w:val="00A41ECF"/>
    <w:rsid w:val="00A42174"/>
    <w:rsid w:val="00A4230B"/>
    <w:rsid w:val="00A4238D"/>
    <w:rsid w:val="00A423B7"/>
    <w:rsid w:val="00A4249D"/>
    <w:rsid w:val="00A424C6"/>
    <w:rsid w:val="00A425AB"/>
    <w:rsid w:val="00A426B0"/>
    <w:rsid w:val="00A428BD"/>
    <w:rsid w:val="00A42B61"/>
    <w:rsid w:val="00A42E70"/>
    <w:rsid w:val="00A43022"/>
    <w:rsid w:val="00A43297"/>
    <w:rsid w:val="00A43974"/>
    <w:rsid w:val="00A43AFF"/>
    <w:rsid w:val="00A43C7C"/>
    <w:rsid w:val="00A43F2C"/>
    <w:rsid w:val="00A440DA"/>
    <w:rsid w:val="00A44264"/>
    <w:rsid w:val="00A443B0"/>
    <w:rsid w:val="00A4456B"/>
    <w:rsid w:val="00A44A90"/>
    <w:rsid w:val="00A45015"/>
    <w:rsid w:val="00A4532E"/>
    <w:rsid w:val="00A454C1"/>
    <w:rsid w:val="00A45562"/>
    <w:rsid w:val="00A45CCC"/>
    <w:rsid w:val="00A45F61"/>
    <w:rsid w:val="00A463AF"/>
    <w:rsid w:val="00A46622"/>
    <w:rsid w:val="00A46907"/>
    <w:rsid w:val="00A46A87"/>
    <w:rsid w:val="00A46CCD"/>
    <w:rsid w:val="00A46DA4"/>
    <w:rsid w:val="00A46EA7"/>
    <w:rsid w:val="00A470FE"/>
    <w:rsid w:val="00A476D5"/>
    <w:rsid w:val="00A47710"/>
    <w:rsid w:val="00A477B8"/>
    <w:rsid w:val="00A477EF"/>
    <w:rsid w:val="00A47D54"/>
    <w:rsid w:val="00A47DCA"/>
    <w:rsid w:val="00A503F2"/>
    <w:rsid w:val="00A50646"/>
    <w:rsid w:val="00A50A24"/>
    <w:rsid w:val="00A50B0E"/>
    <w:rsid w:val="00A50C17"/>
    <w:rsid w:val="00A51434"/>
    <w:rsid w:val="00A51613"/>
    <w:rsid w:val="00A51776"/>
    <w:rsid w:val="00A518C5"/>
    <w:rsid w:val="00A51949"/>
    <w:rsid w:val="00A51B26"/>
    <w:rsid w:val="00A52424"/>
    <w:rsid w:val="00A5249A"/>
    <w:rsid w:val="00A52A1F"/>
    <w:rsid w:val="00A5339A"/>
    <w:rsid w:val="00A5361B"/>
    <w:rsid w:val="00A53868"/>
    <w:rsid w:val="00A53A86"/>
    <w:rsid w:val="00A541E9"/>
    <w:rsid w:val="00A543B5"/>
    <w:rsid w:val="00A549D5"/>
    <w:rsid w:val="00A54B70"/>
    <w:rsid w:val="00A54B78"/>
    <w:rsid w:val="00A55477"/>
    <w:rsid w:val="00A55DDE"/>
    <w:rsid w:val="00A55E14"/>
    <w:rsid w:val="00A55E50"/>
    <w:rsid w:val="00A564CC"/>
    <w:rsid w:val="00A567A9"/>
    <w:rsid w:val="00A56835"/>
    <w:rsid w:val="00A569DC"/>
    <w:rsid w:val="00A56B04"/>
    <w:rsid w:val="00A5717B"/>
    <w:rsid w:val="00A57251"/>
    <w:rsid w:val="00A57343"/>
    <w:rsid w:val="00A576D5"/>
    <w:rsid w:val="00A57B30"/>
    <w:rsid w:val="00A6075D"/>
    <w:rsid w:val="00A60921"/>
    <w:rsid w:val="00A6094C"/>
    <w:rsid w:val="00A60B72"/>
    <w:rsid w:val="00A610D6"/>
    <w:rsid w:val="00A61466"/>
    <w:rsid w:val="00A615CC"/>
    <w:rsid w:val="00A61634"/>
    <w:rsid w:val="00A61693"/>
    <w:rsid w:val="00A61D1A"/>
    <w:rsid w:val="00A626CD"/>
    <w:rsid w:val="00A62804"/>
    <w:rsid w:val="00A62C2F"/>
    <w:rsid w:val="00A63417"/>
    <w:rsid w:val="00A63C72"/>
    <w:rsid w:val="00A6426D"/>
    <w:rsid w:val="00A648B0"/>
    <w:rsid w:val="00A64FDE"/>
    <w:rsid w:val="00A652E6"/>
    <w:rsid w:val="00A65A34"/>
    <w:rsid w:val="00A65A74"/>
    <w:rsid w:val="00A65B67"/>
    <w:rsid w:val="00A65BC0"/>
    <w:rsid w:val="00A65CB0"/>
    <w:rsid w:val="00A66336"/>
    <w:rsid w:val="00A664C9"/>
    <w:rsid w:val="00A668A1"/>
    <w:rsid w:val="00A66D1A"/>
    <w:rsid w:val="00A66F10"/>
    <w:rsid w:val="00A67236"/>
    <w:rsid w:val="00A6773A"/>
    <w:rsid w:val="00A67F5A"/>
    <w:rsid w:val="00A70111"/>
    <w:rsid w:val="00A706C3"/>
    <w:rsid w:val="00A70727"/>
    <w:rsid w:val="00A70A90"/>
    <w:rsid w:val="00A70DE6"/>
    <w:rsid w:val="00A7126C"/>
    <w:rsid w:val="00A71414"/>
    <w:rsid w:val="00A71892"/>
    <w:rsid w:val="00A71FCE"/>
    <w:rsid w:val="00A72238"/>
    <w:rsid w:val="00A7275D"/>
    <w:rsid w:val="00A7296B"/>
    <w:rsid w:val="00A72B0C"/>
    <w:rsid w:val="00A72FC2"/>
    <w:rsid w:val="00A730B4"/>
    <w:rsid w:val="00A738CA"/>
    <w:rsid w:val="00A739F7"/>
    <w:rsid w:val="00A73E6E"/>
    <w:rsid w:val="00A74321"/>
    <w:rsid w:val="00A743A6"/>
    <w:rsid w:val="00A744D1"/>
    <w:rsid w:val="00A74657"/>
    <w:rsid w:val="00A74E44"/>
    <w:rsid w:val="00A74F50"/>
    <w:rsid w:val="00A74FBE"/>
    <w:rsid w:val="00A75367"/>
    <w:rsid w:val="00A7567E"/>
    <w:rsid w:val="00A758BB"/>
    <w:rsid w:val="00A758E9"/>
    <w:rsid w:val="00A75ED0"/>
    <w:rsid w:val="00A7653B"/>
    <w:rsid w:val="00A766E9"/>
    <w:rsid w:val="00A76A3C"/>
    <w:rsid w:val="00A76BA6"/>
    <w:rsid w:val="00A776DA"/>
    <w:rsid w:val="00A7773A"/>
    <w:rsid w:val="00A77B25"/>
    <w:rsid w:val="00A77DD4"/>
    <w:rsid w:val="00A77DDF"/>
    <w:rsid w:val="00A800BC"/>
    <w:rsid w:val="00A80300"/>
    <w:rsid w:val="00A806DA"/>
    <w:rsid w:val="00A80B5D"/>
    <w:rsid w:val="00A80DE9"/>
    <w:rsid w:val="00A81101"/>
    <w:rsid w:val="00A817BB"/>
    <w:rsid w:val="00A81CE2"/>
    <w:rsid w:val="00A81D7F"/>
    <w:rsid w:val="00A81F41"/>
    <w:rsid w:val="00A8207E"/>
    <w:rsid w:val="00A8249C"/>
    <w:rsid w:val="00A82620"/>
    <w:rsid w:val="00A826E0"/>
    <w:rsid w:val="00A827D5"/>
    <w:rsid w:val="00A82800"/>
    <w:rsid w:val="00A8286B"/>
    <w:rsid w:val="00A8299A"/>
    <w:rsid w:val="00A82C1A"/>
    <w:rsid w:val="00A82C52"/>
    <w:rsid w:val="00A82FCC"/>
    <w:rsid w:val="00A82FD0"/>
    <w:rsid w:val="00A830A7"/>
    <w:rsid w:val="00A833E2"/>
    <w:rsid w:val="00A84093"/>
    <w:rsid w:val="00A840F7"/>
    <w:rsid w:val="00A8425E"/>
    <w:rsid w:val="00A845B1"/>
    <w:rsid w:val="00A84792"/>
    <w:rsid w:val="00A84F4C"/>
    <w:rsid w:val="00A85E27"/>
    <w:rsid w:val="00A86071"/>
    <w:rsid w:val="00A86182"/>
    <w:rsid w:val="00A86C29"/>
    <w:rsid w:val="00A86DEC"/>
    <w:rsid w:val="00A8742F"/>
    <w:rsid w:val="00A87B40"/>
    <w:rsid w:val="00A87E49"/>
    <w:rsid w:val="00A90471"/>
    <w:rsid w:val="00A904D0"/>
    <w:rsid w:val="00A90A8B"/>
    <w:rsid w:val="00A90DF3"/>
    <w:rsid w:val="00A911AB"/>
    <w:rsid w:val="00A91708"/>
    <w:rsid w:val="00A9179D"/>
    <w:rsid w:val="00A91C3B"/>
    <w:rsid w:val="00A91F7C"/>
    <w:rsid w:val="00A927F7"/>
    <w:rsid w:val="00A928EA"/>
    <w:rsid w:val="00A935D4"/>
    <w:rsid w:val="00A93955"/>
    <w:rsid w:val="00A93A3A"/>
    <w:rsid w:val="00A93AED"/>
    <w:rsid w:val="00A944D6"/>
    <w:rsid w:val="00A9485A"/>
    <w:rsid w:val="00A94E38"/>
    <w:rsid w:val="00A950A5"/>
    <w:rsid w:val="00A95199"/>
    <w:rsid w:val="00A952FC"/>
    <w:rsid w:val="00A95389"/>
    <w:rsid w:val="00A959CA"/>
    <w:rsid w:val="00A95AE6"/>
    <w:rsid w:val="00A95F51"/>
    <w:rsid w:val="00A96296"/>
    <w:rsid w:val="00A964E6"/>
    <w:rsid w:val="00A96EAB"/>
    <w:rsid w:val="00A96F18"/>
    <w:rsid w:val="00A9707C"/>
    <w:rsid w:val="00A97159"/>
    <w:rsid w:val="00A97347"/>
    <w:rsid w:val="00A9747E"/>
    <w:rsid w:val="00A97D7C"/>
    <w:rsid w:val="00AA004F"/>
    <w:rsid w:val="00AA0281"/>
    <w:rsid w:val="00AA0497"/>
    <w:rsid w:val="00AA0AB4"/>
    <w:rsid w:val="00AA0AC3"/>
    <w:rsid w:val="00AA0B53"/>
    <w:rsid w:val="00AA0BAF"/>
    <w:rsid w:val="00AA126A"/>
    <w:rsid w:val="00AA169B"/>
    <w:rsid w:val="00AA173D"/>
    <w:rsid w:val="00AA19D3"/>
    <w:rsid w:val="00AA1BD0"/>
    <w:rsid w:val="00AA1DAC"/>
    <w:rsid w:val="00AA2583"/>
    <w:rsid w:val="00AA29BD"/>
    <w:rsid w:val="00AA2AC4"/>
    <w:rsid w:val="00AA2CFF"/>
    <w:rsid w:val="00AA2FDC"/>
    <w:rsid w:val="00AA30A2"/>
    <w:rsid w:val="00AA3179"/>
    <w:rsid w:val="00AA3296"/>
    <w:rsid w:val="00AA3E67"/>
    <w:rsid w:val="00AA425C"/>
    <w:rsid w:val="00AA49EC"/>
    <w:rsid w:val="00AA4F00"/>
    <w:rsid w:val="00AA5120"/>
    <w:rsid w:val="00AA5355"/>
    <w:rsid w:val="00AA5E2E"/>
    <w:rsid w:val="00AA6292"/>
    <w:rsid w:val="00AA6DF5"/>
    <w:rsid w:val="00AA7367"/>
    <w:rsid w:val="00AA7374"/>
    <w:rsid w:val="00AA762D"/>
    <w:rsid w:val="00AA7D3E"/>
    <w:rsid w:val="00AA7DAB"/>
    <w:rsid w:val="00AB03C1"/>
    <w:rsid w:val="00AB04CC"/>
    <w:rsid w:val="00AB0632"/>
    <w:rsid w:val="00AB079B"/>
    <w:rsid w:val="00AB1146"/>
    <w:rsid w:val="00AB13A1"/>
    <w:rsid w:val="00AB14A0"/>
    <w:rsid w:val="00AB1C34"/>
    <w:rsid w:val="00AB1F2E"/>
    <w:rsid w:val="00AB2108"/>
    <w:rsid w:val="00AB280E"/>
    <w:rsid w:val="00AB290D"/>
    <w:rsid w:val="00AB2993"/>
    <w:rsid w:val="00AB2C4E"/>
    <w:rsid w:val="00AB2CE8"/>
    <w:rsid w:val="00AB3025"/>
    <w:rsid w:val="00AB3168"/>
    <w:rsid w:val="00AB36FB"/>
    <w:rsid w:val="00AB3796"/>
    <w:rsid w:val="00AB3D6D"/>
    <w:rsid w:val="00AB3E41"/>
    <w:rsid w:val="00AB3E82"/>
    <w:rsid w:val="00AB3FA3"/>
    <w:rsid w:val="00AB4006"/>
    <w:rsid w:val="00AB4BD4"/>
    <w:rsid w:val="00AB4E55"/>
    <w:rsid w:val="00AB4ED7"/>
    <w:rsid w:val="00AB522E"/>
    <w:rsid w:val="00AB565C"/>
    <w:rsid w:val="00AB56F2"/>
    <w:rsid w:val="00AB65C6"/>
    <w:rsid w:val="00AB6727"/>
    <w:rsid w:val="00AB67EE"/>
    <w:rsid w:val="00AB6B04"/>
    <w:rsid w:val="00AB6BAB"/>
    <w:rsid w:val="00AB6D59"/>
    <w:rsid w:val="00AB6DD0"/>
    <w:rsid w:val="00AB71EB"/>
    <w:rsid w:val="00AB73AD"/>
    <w:rsid w:val="00AB7E3A"/>
    <w:rsid w:val="00AB7EEC"/>
    <w:rsid w:val="00AB7F5B"/>
    <w:rsid w:val="00AC00C0"/>
    <w:rsid w:val="00AC0430"/>
    <w:rsid w:val="00AC04DD"/>
    <w:rsid w:val="00AC0D3F"/>
    <w:rsid w:val="00AC1A23"/>
    <w:rsid w:val="00AC1B91"/>
    <w:rsid w:val="00AC1DE6"/>
    <w:rsid w:val="00AC205C"/>
    <w:rsid w:val="00AC21FD"/>
    <w:rsid w:val="00AC2205"/>
    <w:rsid w:val="00AC2BE0"/>
    <w:rsid w:val="00AC2E35"/>
    <w:rsid w:val="00AC33A7"/>
    <w:rsid w:val="00AC344E"/>
    <w:rsid w:val="00AC38B3"/>
    <w:rsid w:val="00AC3C13"/>
    <w:rsid w:val="00AC3CEC"/>
    <w:rsid w:val="00AC3E99"/>
    <w:rsid w:val="00AC40F3"/>
    <w:rsid w:val="00AC4263"/>
    <w:rsid w:val="00AC4276"/>
    <w:rsid w:val="00AC4684"/>
    <w:rsid w:val="00AC48FF"/>
    <w:rsid w:val="00AC4A80"/>
    <w:rsid w:val="00AC4A9D"/>
    <w:rsid w:val="00AC4C00"/>
    <w:rsid w:val="00AC4D2E"/>
    <w:rsid w:val="00AC4FED"/>
    <w:rsid w:val="00AC5F31"/>
    <w:rsid w:val="00AC6003"/>
    <w:rsid w:val="00AC6566"/>
    <w:rsid w:val="00AC68CF"/>
    <w:rsid w:val="00AC6932"/>
    <w:rsid w:val="00AC69A1"/>
    <w:rsid w:val="00AC6C67"/>
    <w:rsid w:val="00AC6CF8"/>
    <w:rsid w:val="00AC6DB6"/>
    <w:rsid w:val="00AC71A4"/>
    <w:rsid w:val="00AC7270"/>
    <w:rsid w:val="00AC75D1"/>
    <w:rsid w:val="00AC782F"/>
    <w:rsid w:val="00AC7A04"/>
    <w:rsid w:val="00AC7BC5"/>
    <w:rsid w:val="00AC7FA7"/>
    <w:rsid w:val="00AD04AE"/>
    <w:rsid w:val="00AD0781"/>
    <w:rsid w:val="00AD0B96"/>
    <w:rsid w:val="00AD0BF9"/>
    <w:rsid w:val="00AD0D25"/>
    <w:rsid w:val="00AD0DB7"/>
    <w:rsid w:val="00AD11AD"/>
    <w:rsid w:val="00AD134D"/>
    <w:rsid w:val="00AD1944"/>
    <w:rsid w:val="00AD1EA1"/>
    <w:rsid w:val="00AD1F1B"/>
    <w:rsid w:val="00AD2664"/>
    <w:rsid w:val="00AD26F7"/>
    <w:rsid w:val="00AD2AE2"/>
    <w:rsid w:val="00AD2EB0"/>
    <w:rsid w:val="00AD2F38"/>
    <w:rsid w:val="00AD2FAE"/>
    <w:rsid w:val="00AD32AE"/>
    <w:rsid w:val="00AD3527"/>
    <w:rsid w:val="00AD3831"/>
    <w:rsid w:val="00AD3A70"/>
    <w:rsid w:val="00AD3CDE"/>
    <w:rsid w:val="00AD3D67"/>
    <w:rsid w:val="00AD4291"/>
    <w:rsid w:val="00AD438E"/>
    <w:rsid w:val="00AD44F8"/>
    <w:rsid w:val="00AD453D"/>
    <w:rsid w:val="00AD485D"/>
    <w:rsid w:val="00AD4E09"/>
    <w:rsid w:val="00AD530A"/>
    <w:rsid w:val="00AD6384"/>
    <w:rsid w:val="00AD6DD4"/>
    <w:rsid w:val="00AD7152"/>
    <w:rsid w:val="00AD7195"/>
    <w:rsid w:val="00AD743B"/>
    <w:rsid w:val="00AD7549"/>
    <w:rsid w:val="00AD7AB4"/>
    <w:rsid w:val="00AD7FC6"/>
    <w:rsid w:val="00AD7FEC"/>
    <w:rsid w:val="00AE0147"/>
    <w:rsid w:val="00AE0179"/>
    <w:rsid w:val="00AE03B7"/>
    <w:rsid w:val="00AE03F9"/>
    <w:rsid w:val="00AE071B"/>
    <w:rsid w:val="00AE0E08"/>
    <w:rsid w:val="00AE0E30"/>
    <w:rsid w:val="00AE0EC8"/>
    <w:rsid w:val="00AE0FBC"/>
    <w:rsid w:val="00AE1648"/>
    <w:rsid w:val="00AE1780"/>
    <w:rsid w:val="00AE1B26"/>
    <w:rsid w:val="00AE2537"/>
    <w:rsid w:val="00AE2711"/>
    <w:rsid w:val="00AE2979"/>
    <w:rsid w:val="00AE2A49"/>
    <w:rsid w:val="00AE2B4D"/>
    <w:rsid w:val="00AE2E5E"/>
    <w:rsid w:val="00AE2E7A"/>
    <w:rsid w:val="00AE3275"/>
    <w:rsid w:val="00AE32EC"/>
    <w:rsid w:val="00AE3500"/>
    <w:rsid w:val="00AE356C"/>
    <w:rsid w:val="00AE35E7"/>
    <w:rsid w:val="00AE3C75"/>
    <w:rsid w:val="00AE3CC4"/>
    <w:rsid w:val="00AE4CA8"/>
    <w:rsid w:val="00AE53B8"/>
    <w:rsid w:val="00AE5650"/>
    <w:rsid w:val="00AE5C61"/>
    <w:rsid w:val="00AE5FE7"/>
    <w:rsid w:val="00AE60FD"/>
    <w:rsid w:val="00AE642B"/>
    <w:rsid w:val="00AE6470"/>
    <w:rsid w:val="00AE64D2"/>
    <w:rsid w:val="00AE6748"/>
    <w:rsid w:val="00AE6ADA"/>
    <w:rsid w:val="00AE6C19"/>
    <w:rsid w:val="00AE6D7A"/>
    <w:rsid w:val="00AE6E8C"/>
    <w:rsid w:val="00AE7106"/>
    <w:rsid w:val="00AE73E6"/>
    <w:rsid w:val="00AE73FD"/>
    <w:rsid w:val="00AE7473"/>
    <w:rsid w:val="00AE782F"/>
    <w:rsid w:val="00AE7912"/>
    <w:rsid w:val="00AE7F36"/>
    <w:rsid w:val="00AF0283"/>
    <w:rsid w:val="00AF02FA"/>
    <w:rsid w:val="00AF0616"/>
    <w:rsid w:val="00AF0B82"/>
    <w:rsid w:val="00AF13D7"/>
    <w:rsid w:val="00AF1C34"/>
    <w:rsid w:val="00AF1E42"/>
    <w:rsid w:val="00AF2465"/>
    <w:rsid w:val="00AF258D"/>
    <w:rsid w:val="00AF285E"/>
    <w:rsid w:val="00AF2A6A"/>
    <w:rsid w:val="00AF2A87"/>
    <w:rsid w:val="00AF2B9D"/>
    <w:rsid w:val="00AF2C40"/>
    <w:rsid w:val="00AF31D0"/>
    <w:rsid w:val="00AF3303"/>
    <w:rsid w:val="00AF33BC"/>
    <w:rsid w:val="00AF34B7"/>
    <w:rsid w:val="00AF359B"/>
    <w:rsid w:val="00AF39BA"/>
    <w:rsid w:val="00AF3C39"/>
    <w:rsid w:val="00AF3E01"/>
    <w:rsid w:val="00AF3FA9"/>
    <w:rsid w:val="00AF40C3"/>
    <w:rsid w:val="00AF44CE"/>
    <w:rsid w:val="00AF4C71"/>
    <w:rsid w:val="00AF4D8C"/>
    <w:rsid w:val="00AF542C"/>
    <w:rsid w:val="00AF56B3"/>
    <w:rsid w:val="00AF5794"/>
    <w:rsid w:val="00AF5D4C"/>
    <w:rsid w:val="00AF6168"/>
    <w:rsid w:val="00AF65B2"/>
    <w:rsid w:val="00AF6621"/>
    <w:rsid w:val="00AF6897"/>
    <w:rsid w:val="00AF6CE2"/>
    <w:rsid w:val="00AF6F03"/>
    <w:rsid w:val="00AF70A5"/>
    <w:rsid w:val="00AF7437"/>
    <w:rsid w:val="00AF74B5"/>
    <w:rsid w:val="00AF7748"/>
    <w:rsid w:val="00B00252"/>
    <w:rsid w:val="00B003BF"/>
    <w:rsid w:val="00B005F8"/>
    <w:rsid w:val="00B01090"/>
    <w:rsid w:val="00B01284"/>
    <w:rsid w:val="00B012FA"/>
    <w:rsid w:val="00B01534"/>
    <w:rsid w:val="00B01B32"/>
    <w:rsid w:val="00B01D4C"/>
    <w:rsid w:val="00B02252"/>
    <w:rsid w:val="00B02368"/>
    <w:rsid w:val="00B0252B"/>
    <w:rsid w:val="00B026B5"/>
    <w:rsid w:val="00B02EE6"/>
    <w:rsid w:val="00B02F08"/>
    <w:rsid w:val="00B02FF6"/>
    <w:rsid w:val="00B03047"/>
    <w:rsid w:val="00B030B0"/>
    <w:rsid w:val="00B035A5"/>
    <w:rsid w:val="00B03D7A"/>
    <w:rsid w:val="00B04277"/>
    <w:rsid w:val="00B0455C"/>
    <w:rsid w:val="00B04CB2"/>
    <w:rsid w:val="00B04D2D"/>
    <w:rsid w:val="00B04FFC"/>
    <w:rsid w:val="00B056FD"/>
    <w:rsid w:val="00B057A1"/>
    <w:rsid w:val="00B05970"/>
    <w:rsid w:val="00B05ACF"/>
    <w:rsid w:val="00B05DDB"/>
    <w:rsid w:val="00B05F60"/>
    <w:rsid w:val="00B06071"/>
    <w:rsid w:val="00B06808"/>
    <w:rsid w:val="00B06873"/>
    <w:rsid w:val="00B068DE"/>
    <w:rsid w:val="00B0697A"/>
    <w:rsid w:val="00B069C9"/>
    <w:rsid w:val="00B06CFC"/>
    <w:rsid w:val="00B0711C"/>
    <w:rsid w:val="00B072DD"/>
    <w:rsid w:val="00B077EC"/>
    <w:rsid w:val="00B07A62"/>
    <w:rsid w:val="00B07BBF"/>
    <w:rsid w:val="00B07C01"/>
    <w:rsid w:val="00B07C5B"/>
    <w:rsid w:val="00B07ED3"/>
    <w:rsid w:val="00B1073A"/>
    <w:rsid w:val="00B10F0B"/>
    <w:rsid w:val="00B111E8"/>
    <w:rsid w:val="00B1124A"/>
    <w:rsid w:val="00B1142C"/>
    <w:rsid w:val="00B117DB"/>
    <w:rsid w:val="00B1250E"/>
    <w:rsid w:val="00B129AA"/>
    <w:rsid w:val="00B12DA8"/>
    <w:rsid w:val="00B12E2C"/>
    <w:rsid w:val="00B13419"/>
    <w:rsid w:val="00B13618"/>
    <w:rsid w:val="00B140FD"/>
    <w:rsid w:val="00B14292"/>
    <w:rsid w:val="00B1443E"/>
    <w:rsid w:val="00B1452C"/>
    <w:rsid w:val="00B14785"/>
    <w:rsid w:val="00B14C55"/>
    <w:rsid w:val="00B14D15"/>
    <w:rsid w:val="00B14F87"/>
    <w:rsid w:val="00B15112"/>
    <w:rsid w:val="00B151CB"/>
    <w:rsid w:val="00B15207"/>
    <w:rsid w:val="00B15230"/>
    <w:rsid w:val="00B1539F"/>
    <w:rsid w:val="00B16163"/>
    <w:rsid w:val="00B1630F"/>
    <w:rsid w:val="00B164FA"/>
    <w:rsid w:val="00B16A8B"/>
    <w:rsid w:val="00B16AFB"/>
    <w:rsid w:val="00B17E05"/>
    <w:rsid w:val="00B2011F"/>
    <w:rsid w:val="00B204BA"/>
    <w:rsid w:val="00B2109E"/>
    <w:rsid w:val="00B2126F"/>
    <w:rsid w:val="00B21ADE"/>
    <w:rsid w:val="00B21B2E"/>
    <w:rsid w:val="00B2215C"/>
    <w:rsid w:val="00B222EE"/>
    <w:rsid w:val="00B22386"/>
    <w:rsid w:val="00B22402"/>
    <w:rsid w:val="00B224BC"/>
    <w:rsid w:val="00B2277D"/>
    <w:rsid w:val="00B234B3"/>
    <w:rsid w:val="00B23ACA"/>
    <w:rsid w:val="00B23CBA"/>
    <w:rsid w:val="00B24010"/>
    <w:rsid w:val="00B2402E"/>
    <w:rsid w:val="00B241CC"/>
    <w:rsid w:val="00B2475C"/>
    <w:rsid w:val="00B2492A"/>
    <w:rsid w:val="00B24BA1"/>
    <w:rsid w:val="00B25138"/>
    <w:rsid w:val="00B25288"/>
    <w:rsid w:val="00B25444"/>
    <w:rsid w:val="00B256CC"/>
    <w:rsid w:val="00B25A2A"/>
    <w:rsid w:val="00B25BB3"/>
    <w:rsid w:val="00B260C2"/>
    <w:rsid w:val="00B26735"/>
    <w:rsid w:val="00B267B1"/>
    <w:rsid w:val="00B26C1F"/>
    <w:rsid w:val="00B26DDE"/>
    <w:rsid w:val="00B26FFB"/>
    <w:rsid w:val="00B270E9"/>
    <w:rsid w:val="00B27D56"/>
    <w:rsid w:val="00B27DF2"/>
    <w:rsid w:val="00B30435"/>
    <w:rsid w:val="00B3055C"/>
    <w:rsid w:val="00B3087B"/>
    <w:rsid w:val="00B30AA3"/>
    <w:rsid w:val="00B30EC3"/>
    <w:rsid w:val="00B31391"/>
    <w:rsid w:val="00B3161D"/>
    <w:rsid w:val="00B31B90"/>
    <w:rsid w:val="00B31ED2"/>
    <w:rsid w:val="00B322A3"/>
    <w:rsid w:val="00B322F1"/>
    <w:rsid w:val="00B324A8"/>
    <w:rsid w:val="00B3264C"/>
    <w:rsid w:val="00B33170"/>
    <w:rsid w:val="00B3328E"/>
    <w:rsid w:val="00B3398C"/>
    <w:rsid w:val="00B33CF1"/>
    <w:rsid w:val="00B33DF1"/>
    <w:rsid w:val="00B33E7D"/>
    <w:rsid w:val="00B33FA4"/>
    <w:rsid w:val="00B3405E"/>
    <w:rsid w:val="00B344A0"/>
    <w:rsid w:val="00B3453F"/>
    <w:rsid w:val="00B346FE"/>
    <w:rsid w:val="00B34963"/>
    <w:rsid w:val="00B3557E"/>
    <w:rsid w:val="00B35656"/>
    <w:rsid w:val="00B357A4"/>
    <w:rsid w:val="00B35AC7"/>
    <w:rsid w:val="00B35C3D"/>
    <w:rsid w:val="00B35F01"/>
    <w:rsid w:val="00B362E9"/>
    <w:rsid w:val="00B364E4"/>
    <w:rsid w:val="00B36A41"/>
    <w:rsid w:val="00B36B08"/>
    <w:rsid w:val="00B37652"/>
    <w:rsid w:val="00B377D7"/>
    <w:rsid w:val="00B37957"/>
    <w:rsid w:val="00B37FCE"/>
    <w:rsid w:val="00B37FD1"/>
    <w:rsid w:val="00B40372"/>
    <w:rsid w:val="00B40738"/>
    <w:rsid w:val="00B4091C"/>
    <w:rsid w:val="00B4139F"/>
    <w:rsid w:val="00B4157C"/>
    <w:rsid w:val="00B41B5E"/>
    <w:rsid w:val="00B41E2F"/>
    <w:rsid w:val="00B421F4"/>
    <w:rsid w:val="00B42CA5"/>
    <w:rsid w:val="00B42CE6"/>
    <w:rsid w:val="00B42D55"/>
    <w:rsid w:val="00B42F74"/>
    <w:rsid w:val="00B431E4"/>
    <w:rsid w:val="00B43934"/>
    <w:rsid w:val="00B43C5B"/>
    <w:rsid w:val="00B43D9F"/>
    <w:rsid w:val="00B4422A"/>
    <w:rsid w:val="00B4445B"/>
    <w:rsid w:val="00B447D7"/>
    <w:rsid w:val="00B449C0"/>
    <w:rsid w:val="00B44E7D"/>
    <w:rsid w:val="00B45180"/>
    <w:rsid w:val="00B45345"/>
    <w:rsid w:val="00B453D4"/>
    <w:rsid w:val="00B45B59"/>
    <w:rsid w:val="00B45D8C"/>
    <w:rsid w:val="00B45EE6"/>
    <w:rsid w:val="00B464AF"/>
    <w:rsid w:val="00B46564"/>
    <w:rsid w:val="00B468E2"/>
    <w:rsid w:val="00B470D6"/>
    <w:rsid w:val="00B471D8"/>
    <w:rsid w:val="00B47C1F"/>
    <w:rsid w:val="00B47D1E"/>
    <w:rsid w:val="00B47F42"/>
    <w:rsid w:val="00B500E0"/>
    <w:rsid w:val="00B501B6"/>
    <w:rsid w:val="00B505FF"/>
    <w:rsid w:val="00B50970"/>
    <w:rsid w:val="00B50E30"/>
    <w:rsid w:val="00B50FF7"/>
    <w:rsid w:val="00B51028"/>
    <w:rsid w:val="00B51334"/>
    <w:rsid w:val="00B5147C"/>
    <w:rsid w:val="00B516F0"/>
    <w:rsid w:val="00B5175A"/>
    <w:rsid w:val="00B5183D"/>
    <w:rsid w:val="00B51DE9"/>
    <w:rsid w:val="00B5246C"/>
    <w:rsid w:val="00B529CF"/>
    <w:rsid w:val="00B5412A"/>
    <w:rsid w:val="00B5427A"/>
    <w:rsid w:val="00B54786"/>
    <w:rsid w:val="00B5482E"/>
    <w:rsid w:val="00B54D33"/>
    <w:rsid w:val="00B55302"/>
    <w:rsid w:val="00B553D2"/>
    <w:rsid w:val="00B555FA"/>
    <w:rsid w:val="00B5584B"/>
    <w:rsid w:val="00B559F4"/>
    <w:rsid w:val="00B55DF1"/>
    <w:rsid w:val="00B55E79"/>
    <w:rsid w:val="00B55FC0"/>
    <w:rsid w:val="00B56177"/>
    <w:rsid w:val="00B56192"/>
    <w:rsid w:val="00B56291"/>
    <w:rsid w:val="00B564CD"/>
    <w:rsid w:val="00B5663B"/>
    <w:rsid w:val="00B567AB"/>
    <w:rsid w:val="00B56B28"/>
    <w:rsid w:val="00B57297"/>
    <w:rsid w:val="00B573BA"/>
    <w:rsid w:val="00B57A14"/>
    <w:rsid w:val="00B57AE3"/>
    <w:rsid w:val="00B57C48"/>
    <w:rsid w:val="00B57D14"/>
    <w:rsid w:val="00B606A7"/>
    <w:rsid w:val="00B615FB"/>
    <w:rsid w:val="00B6161E"/>
    <w:rsid w:val="00B616F9"/>
    <w:rsid w:val="00B61857"/>
    <w:rsid w:val="00B61982"/>
    <w:rsid w:val="00B61DEC"/>
    <w:rsid w:val="00B61E3C"/>
    <w:rsid w:val="00B61F85"/>
    <w:rsid w:val="00B62930"/>
    <w:rsid w:val="00B62BD5"/>
    <w:rsid w:val="00B62CB2"/>
    <w:rsid w:val="00B62E75"/>
    <w:rsid w:val="00B630A6"/>
    <w:rsid w:val="00B6328E"/>
    <w:rsid w:val="00B63351"/>
    <w:rsid w:val="00B633D2"/>
    <w:rsid w:val="00B6389B"/>
    <w:rsid w:val="00B63A5D"/>
    <w:rsid w:val="00B63C72"/>
    <w:rsid w:val="00B63D52"/>
    <w:rsid w:val="00B63F7E"/>
    <w:rsid w:val="00B640FC"/>
    <w:rsid w:val="00B64D17"/>
    <w:rsid w:val="00B65034"/>
    <w:rsid w:val="00B650F5"/>
    <w:rsid w:val="00B652BD"/>
    <w:rsid w:val="00B6564E"/>
    <w:rsid w:val="00B65865"/>
    <w:rsid w:val="00B659DC"/>
    <w:rsid w:val="00B659E8"/>
    <w:rsid w:val="00B65BDE"/>
    <w:rsid w:val="00B65D53"/>
    <w:rsid w:val="00B65F03"/>
    <w:rsid w:val="00B65FE7"/>
    <w:rsid w:val="00B65FF3"/>
    <w:rsid w:val="00B66150"/>
    <w:rsid w:val="00B66413"/>
    <w:rsid w:val="00B66450"/>
    <w:rsid w:val="00B66599"/>
    <w:rsid w:val="00B66817"/>
    <w:rsid w:val="00B66961"/>
    <w:rsid w:val="00B66A19"/>
    <w:rsid w:val="00B66F26"/>
    <w:rsid w:val="00B67051"/>
    <w:rsid w:val="00B67096"/>
    <w:rsid w:val="00B6711A"/>
    <w:rsid w:val="00B671C1"/>
    <w:rsid w:val="00B672EC"/>
    <w:rsid w:val="00B6730F"/>
    <w:rsid w:val="00B677F5"/>
    <w:rsid w:val="00B6786A"/>
    <w:rsid w:val="00B701C5"/>
    <w:rsid w:val="00B7037C"/>
    <w:rsid w:val="00B72052"/>
    <w:rsid w:val="00B7228B"/>
    <w:rsid w:val="00B7233E"/>
    <w:rsid w:val="00B725D8"/>
    <w:rsid w:val="00B7290D"/>
    <w:rsid w:val="00B729A1"/>
    <w:rsid w:val="00B73291"/>
    <w:rsid w:val="00B73368"/>
    <w:rsid w:val="00B73434"/>
    <w:rsid w:val="00B73B84"/>
    <w:rsid w:val="00B73EE8"/>
    <w:rsid w:val="00B74653"/>
    <w:rsid w:val="00B749D8"/>
    <w:rsid w:val="00B749E5"/>
    <w:rsid w:val="00B74C2A"/>
    <w:rsid w:val="00B74CB6"/>
    <w:rsid w:val="00B75130"/>
    <w:rsid w:val="00B75408"/>
    <w:rsid w:val="00B7543B"/>
    <w:rsid w:val="00B754AF"/>
    <w:rsid w:val="00B7550C"/>
    <w:rsid w:val="00B760CA"/>
    <w:rsid w:val="00B766C3"/>
    <w:rsid w:val="00B76C2A"/>
    <w:rsid w:val="00B76D9D"/>
    <w:rsid w:val="00B774CF"/>
    <w:rsid w:val="00B7794A"/>
    <w:rsid w:val="00B77ADE"/>
    <w:rsid w:val="00B77B34"/>
    <w:rsid w:val="00B77BDD"/>
    <w:rsid w:val="00B77DE3"/>
    <w:rsid w:val="00B80053"/>
    <w:rsid w:val="00B80230"/>
    <w:rsid w:val="00B80243"/>
    <w:rsid w:val="00B80FB5"/>
    <w:rsid w:val="00B811D0"/>
    <w:rsid w:val="00B81A14"/>
    <w:rsid w:val="00B81AC5"/>
    <w:rsid w:val="00B81E4A"/>
    <w:rsid w:val="00B81F87"/>
    <w:rsid w:val="00B82148"/>
    <w:rsid w:val="00B821CC"/>
    <w:rsid w:val="00B82511"/>
    <w:rsid w:val="00B8258B"/>
    <w:rsid w:val="00B834CB"/>
    <w:rsid w:val="00B83785"/>
    <w:rsid w:val="00B838F7"/>
    <w:rsid w:val="00B83CBE"/>
    <w:rsid w:val="00B83D1E"/>
    <w:rsid w:val="00B83F58"/>
    <w:rsid w:val="00B8426D"/>
    <w:rsid w:val="00B84436"/>
    <w:rsid w:val="00B8446C"/>
    <w:rsid w:val="00B844BC"/>
    <w:rsid w:val="00B845C2"/>
    <w:rsid w:val="00B846C5"/>
    <w:rsid w:val="00B84820"/>
    <w:rsid w:val="00B8483B"/>
    <w:rsid w:val="00B84EC1"/>
    <w:rsid w:val="00B84FFE"/>
    <w:rsid w:val="00B8504F"/>
    <w:rsid w:val="00B85641"/>
    <w:rsid w:val="00B8591F"/>
    <w:rsid w:val="00B8598E"/>
    <w:rsid w:val="00B85BC9"/>
    <w:rsid w:val="00B86031"/>
    <w:rsid w:val="00B869A0"/>
    <w:rsid w:val="00B87256"/>
    <w:rsid w:val="00B8725D"/>
    <w:rsid w:val="00B873BD"/>
    <w:rsid w:val="00B875F6"/>
    <w:rsid w:val="00B87A8E"/>
    <w:rsid w:val="00B87AB3"/>
    <w:rsid w:val="00B87FCD"/>
    <w:rsid w:val="00B87FE6"/>
    <w:rsid w:val="00B904AE"/>
    <w:rsid w:val="00B90C35"/>
    <w:rsid w:val="00B90FE2"/>
    <w:rsid w:val="00B9146E"/>
    <w:rsid w:val="00B91518"/>
    <w:rsid w:val="00B9174D"/>
    <w:rsid w:val="00B91847"/>
    <w:rsid w:val="00B91ADF"/>
    <w:rsid w:val="00B91BB6"/>
    <w:rsid w:val="00B91E5F"/>
    <w:rsid w:val="00B92892"/>
    <w:rsid w:val="00B92FC2"/>
    <w:rsid w:val="00B9331D"/>
    <w:rsid w:val="00B93474"/>
    <w:rsid w:val="00B937E1"/>
    <w:rsid w:val="00B940D1"/>
    <w:rsid w:val="00B9426F"/>
    <w:rsid w:val="00B942A3"/>
    <w:rsid w:val="00B9464D"/>
    <w:rsid w:val="00B949CD"/>
    <w:rsid w:val="00B94A8B"/>
    <w:rsid w:val="00B94BDF"/>
    <w:rsid w:val="00B9537D"/>
    <w:rsid w:val="00B95855"/>
    <w:rsid w:val="00B95857"/>
    <w:rsid w:val="00B95DAC"/>
    <w:rsid w:val="00B96458"/>
    <w:rsid w:val="00B96750"/>
    <w:rsid w:val="00B96756"/>
    <w:rsid w:val="00B96E30"/>
    <w:rsid w:val="00B979C3"/>
    <w:rsid w:val="00B97DCC"/>
    <w:rsid w:val="00B97FDE"/>
    <w:rsid w:val="00BA0796"/>
    <w:rsid w:val="00BA0DE8"/>
    <w:rsid w:val="00BA1F60"/>
    <w:rsid w:val="00BA229C"/>
    <w:rsid w:val="00BA264F"/>
    <w:rsid w:val="00BA26D3"/>
    <w:rsid w:val="00BA31C3"/>
    <w:rsid w:val="00BA3206"/>
    <w:rsid w:val="00BA366F"/>
    <w:rsid w:val="00BA3C40"/>
    <w:rsid w:val="00BA3D20"/>
    <w:rsid w:val="00BA3D44"/>
    <w:rsid w:val="00BA3FD4"/>
    <w:rsid w:val="00BA5131"/>
    <w:rsid w:val="00BA5398"/>
    <w:rsid w:val="00BA59FF"/>
    <w:rsid w:val="00BA5A29"/>
    <w:rsid w:val="00BA5B98"/>
    <w:rsid w:val="00BA5D47"/>
    <w:rsid w:val="00BA5E82"/>
    <w:rsid w:val="00BA5EAE"/>
    <w:rsid w:val="00BA688C"/>
    <w:rsid w:val="00BA69B6"/>
    <w:rsid w:val="00BA6DD2"/>
    <w:rsid w:val="00BA79A1"/>
    <w:rsid w:val="00BA7CD4"/>
    <w:rsid w:val="00BB0299"/>
    <w:rsid w:val="00BB09A3"/>
    <w:rsid w:val="00BB0B1A"/>
    <w:rsid w:val="00BB1024"/>
    <w:rsid w:val="00BB136D"/>
    <w:rsid w:val="00BB1D8B"/>
    <w:rsid w:val="00BB1ED3"/>
    <w:rsid w:val="00BB2140"/>
    <w:rsid w:val="00BB256C"/>
    <w:rsid w:val="00BB2CA6"/>
    <w:rsid w:val="00BB306F"/>
    <w:rsid w:val="00BB3382"/>
    <w:rsid w:val="00BB371D"/>
    <w:rsid w:val="00BB382A"/>
    <w:rsid w:val="00BB38D0"/>
    <w:rsid w:val="00BB392D"/>
    <w:rsid w:val="00BB3A81"/>
    <w:rsid w:val="00BB4631"/>
    <w:rsid w:val="00BB4980"/>
    <w:rsid w:val="00BB4B1A"/>
    <w:rsid w:val="00BB54B6"/>
    <w:rsid w:val="00BB55CB"/>
    <w:rsid w:val="00BB56B4"/>
    <w:rsid w:val="00BB57D2"/>
    <w:rsid w:val="00BB591D"/>
    <w:rsid w:val="00BB592A"/>
    <w:rsid w:val="00BB59AA"/>
    <w:rsid w:val="00BB59D8"/>
    <w:rsid w:val="00BB5F4A"/>
    <w:rsid w:val="00BB60A9"/>
    <w:rsid w:val="00BB6140"/>
    <w:rsid w:val="00BB616F"/>
    <w:rsid w:val="00BB6425"/>
    <w:rsid w:val="00BB6A5B"/>
    <w:rsid w:val="00BB6E07"/>
    <w:rsid w:val="00BB749B"/>
    <w:rsid w:val="00BB74D3"/>
    <w:rsid w:val="00BB7625"/>
    <w:rsid w:val="00BB7DD1"/>
    <w:rsid w:val="00BB7E8B"/>
    <w:rsid w:val="00BB7EAE"/>
    <w:rsid w:val="00BC0A54"/>
    <w:rsid w:val="00BC0DA0"/>
    <w:rsid w:val="00BC0FBE"/>
    <w:rsid w:val="00BC10F3"/>
    <w:rsid w:val="00BC116E"/>
    <w:rsid w:val="00BC126F"/>
    <w:rsid w:val="00BC2040"/>
    <w:rsid w:val="00BC2182"/>
    <w:rsid w:val="00BC21C1"/>
    <w:rsid w:val="00BC2C3C"/>
    <w:rsid w:val="00BC2E61"/>
    <w:rsid w:val="00BC35AE"/>
    <w:rsid w:val="00BC3748"/>
    <w:rsid w:val="00BC3D56"/>
    <w:rsid w:val="00BC3D84"/>
    <w:rsid w:val="00BC41C2"/>
    <w:rsid w:val="00BC429C"/>
    <w:rsid w:val="00BC4771"/>
    <w:rsid w:val="00BC47A3"/>
    <w:rsid w:val="00BC48C2"/>
    <w:rsid w:val="00BC5078"/>
    <w:rsid w:val="00BC50FE"/>
    <w:rsid w:val="00BC58A5"/>
    <w:rsid w:val="00BC5945"/>
    <w:rsid w:val="00BC5DA1"/>
    <w:rsid w:val="00BC5DB8"/>
    <w:rsid w:val="00BC5E23"/>
    <w:rsid w:val="00BC5E24"/>
    <w:rsid w:val="00BC5F98"/>
    <w:rsid w:val="00BC6675"/>
    <w:rsid w:val="00BC6BD9"/>
    <w:rsid w:val="00BC6D7C"/>
    <w:rsid w:val="00BC6FBC"/>
    <w:rsid w:val="00BC7536"/>
    <w:rsid w:val="00BC78DB"/>
    <w:rsid w:val="00BC7A70"/>
    <w:rsid w:val="00BD006D"/>
    <w:rsid w:val="00BD03AD"/>
    <w:rsid w:val="00BD06B5"/>
    <w:rsid w:val="00BD0833"/>
    <w:rsid w:val="00BD0B98"/>
    <w:rsid w:val="00BD150B"/>
    <w:rsid w:val="00BD1793"/>
    <w:rsid w:val="00BD19F2"/>
    <w:rsid w:val="00BD1D7C"/>
    <w:rsid w:val="00BD2256"/>
    <w:rsid w:val="00BD22BA"/>
    <w:rsid w:val="00BD232E"/>
    <w:rsid w:val="00BD2A19"/>
    <w:rsid w:val="00BD2A62"/>
    <w:rsid w:val="00BD2FCF"/>
    <w:rsid w:val="00BD383C"/>
    <w:rsid w:val="00BD3DC8"/>
    <w:rsid w:val="00BD3DE2"/>
    <w:rsid w:val="00BD43D2"/>
    <w:rsid w:val="00BD49DB"/>
    <w:rsid w:val="00BD49DF"/>
    <w:rsid w:val="00BD4A44"/>
    <w:rsid w:val="00BD5459"/>
    <w:rsid w:val="00BD57A7"/>
    <w:rsid w:val="00BD5812"/>
    <w:rsid w:val="00BD5939"/>
    <w:rsid w:val="00BD6357"/>
    <w:rsid w:val="00BD665B"/>
    <w:rsid w:val="00BD6AA3"/>
    <w:rsid w:val="00BD6EC9"/>
    <w:rsid w:val="00BD7479"/>
    <w:rsid w:val="00BD7BFD"/>
    <w:rsid w:val="00BE019E"/>
    <w:rsid w:val="00BE0258"/>
    <w:rsid w:val="00BE0272"/>
    <w:rsid w:val="00BE03FB"/>
    <w:rsid w:val="00BE079F"/>
    <w:rsid w:val="00BE0D67"/>
    <w:rsid w:val="00BE0D71"/>
    <w:rsid w:val="00BE108B"/>
    <w:rsid w:val="00BE124D"/>
    <w:rsid w:val="00BE184C"/>
    <w:rsid w:val="00BE1878"/>
    <w:rsid w:val="00BE19EA"/>
    <w:rsid w:val="00BE1C7C"/>
    <w:rsid w:val="00BE1E81"/>
    <w:rsid w:val="00BE21C1"/>
    <w:rsid w:val="00BE223C"/>
    <w:rsid w:val="00BE227F"/>
    <w:rsid w:val="00BE22FC"/>
    <w:rsid w:val="00BE2389"/>
    <w:rsid w:val="00BE2E43"/>
    <w:rsid w:val="00BE30DC"/>
    <w:rsid w:val="00BE3252"/>
    <w:rsid w:val="00BE3275"/>
    <w:rsid w:val="00BE3554"/>
    <w:rsid w:val="00BE3879"/>
    <w:rsid w:val="00BE38EB"/>
    <w:rsid w:val="00BE3908"/>
    <w:rsid w:val="00BE3990"/>
    <w:rsid w:val="00BE3F0C"/>
    <w:rsid w:val="00BE402C"/>
    <w:rsid w:val="00BE40EA"/>
    <w:rsid w:val="00BE437E"/>
    <w:rsid w:val="00BE43A6"/>
    <w:rsid w:val="00BE4477"/>
    <w:rsid w:val="00BE46C5"/>
    <w:rsid w:val="00BE4AB3"/>
    <w:rsid w:val="00BE4BDE"/>
    <w:rsid w:val="00BE4D2A"/>
    <w:rsid w:val="00BE51FD"/>
    <w:rsid w:val="00BE5958"/>
    <w:rsid w:val="00BE5C03"/>
    <w:rsid w:val="00BE5DBD"/>
    <w:rsid w:val="00BE6243"/>
    <w:rsid w:val="00BE6457"/>
    <w:rsid w:val="00BE6C32"/>
    <w:rsid w:val="00BE6D43"/>
    <w:rsid w:val="00BE6F54"/>
    <w:rsid w:val="00BE6FF4"/>
    <w:rsid w:val="00BE70F1"/>
    <w:rsid w:val="00BE7648"/>
    <w:rsid w:val="00BE77A3"/>
    <w:rsid w:val="00BE791F"/>
    <w:rsid w:val="00BE7B84"/>
    <w:rsid w:val="00BE7F82"/>
    <w:rsid w:val="00BF072F"/>
    <w:rsid w:val="00BF0BB7"/>
    <w:rsid w:val="00BF0DD1"/>
    <w:rsid w:val="00BF0F6E"/>
    <w:rsid w:val="00BF0F84"/>
    <w:rsid w:val="00BF125A"/>
    <w:rsid w:val="00BF183F"/>
    <w:rsid w:val="00BF2A17"/>
    <w:rsid w:val="00BF2DE3"/>
    <w:rsid w:val="00BF2EA1"/>
    <w:rsid w:val="00BF2FBA"/>
    <w:rsid w:val="00BF3155"/>
    <w:rsid w:val="00BF3270"/>
    <w:rsid w:val="00BF395F"/>
    <w:rsid w:val="00BF4256"/>
    <w:rsid w:val="00BF42FA"/>
    <w:rsid w:val="00BF495E"/>
    <w:rsid w:val="00BF4A7D"/>
    <w:rsid w:val="00BF4AC1"/>
    <w:rsid w:val="00BF4E7B"/>
    <w:rsid w:val="00BF52B4"/>
    <w:rsid w:val="00BF5D96"/>
    <w:rsid w:val="00BF663E"/>
    <w:rsid w:val="00BF6869"/>
    <w:rsid w:val="00BF707C"/>
    <w:rsid w:val="00BF7807"/>
    <w:rsid w:val="00BF78B7"/>
    <w:rsid w:val="00BF7D40"/>
    <w:rsid w:val="00BF7E3A"/>
    <w:rsid w:val="00C004B3"/>
    <w:rsid w:val="00C005DA"/>
    <w:rsid w:val="00C0062A"/>
    <w:rsid w:val="00C00BD1"/>
    <w:rsid w:val="00C01802"/>
    <w:rsid w:val="00C01DCB"/>
    <w:rsid w:val="00C01E65"/>
    <w:rsid w:val="00C0231E"/>
    <w:rsid w:val="00C024E9"/>
    <w:rsid w:val="00C0250B"/>
    <w:rsid w:val="00C028E5"/>
    <w:rsid w:val="00C02DFF"/>
    <w:rsid w:val="00C03132"/>
    <w:rsid w:val="00C033E1"/>
    <w:rsid w:val="00C036EE"/>
    <w:rsid w:val="00C0375B"/>
    <w:rsid w:val="00C03943"/>
    <w:rsid w:val="00C03A43"/>
    <w:rsid w:val="00C03C49"/>
    <w:rsid w:val="00C040DF"/>
    <w:rsid w:val="00C04184"/>
    <w:rsid w:val="00C04541"/>
    <w:rsid w:val="00C0472B"/>
    <w:rsid w:val="00C04742"/>
    <w:rsid w:val="00C04BA3"/>
    <w:rsid w:val="00C04EAE"/>
    <w:rsid w:val="00C04F33"/>
    <w:rsid w:val="00C052C0"/>
    <w:rsid w:val="00C05402"/>
    <w:rsid w:val="00C05516"/>
    <w:rsid w:val="00C056E7"/>
    <w:rsid w:val="00C06011"/>
    <w:rsid w:val="00C0698C"/>
    <w:rsid w:val="00C06C04"/>
    <w:rsid w:val="00C070CF"/>
    <w:rsid w:val="00C072C1"/>
    <w:rsid w:val="00C0755F"/>
    <w:rsid w:val="00C07930"/>
    <w:rsid w:val="00C07DC9"/>
    <w:rsid w:val="00C10247"/>
    <w:rsid w:val="00C102EC"/>
    <w:rsid w:val="00C106A4"/>
    <w:rsid w:val="00C1075E"/>
    <w:rsid w:val="00C118AE"/>
    <w:rsid w:val="00C11BCD"/>
    <w:rsid w:val="00C1295B"/>
    <w:rsid w:val="00C12CA0"/>
    <w:rsid w:val="00C12E87"/>
    <w:rsid w:val="00C13790"/>
    <w:rsid w:val="00C13B68"/>
    <w:rsid w:val="00C13D9A"/>
    <w:rsid w:val="00C14430"/>
    <w:rsid w:val="00C1467D"/>
    <w:rsid w:val="00C150BB"/>
    <w:rsid w:val="00C150DF"/>
    <w:rsid w:val="00C159F8"/>
    <w:rsid w:val="00C15DD0"/>
    <w:rsid w:val="00C15F88"/>
    <w:rsid w:val="00C160F8"/>
    <w:rsid w:val="00C1632B"/>
    <w:rsid w:val="00C1666B"/>
    <w:rsid w:val="00C16717"/>
    <w:rsid w:val="00C16C34"/>
    <w:rsid w:val="00C16D9F"/>
    <w:rsid w:val="00C1749B"/>
    <w:rsid w:val="00C176C4"/>
    <w:rsid w:val="00C1775B"/>
    <w:rsid w:val="00C179A4"/>
    <w:rsid w:val="00C17A0D"/>
    <w:rsid w:val="00C17C0D"/>
    <w:rsid w:val="00C2031D"/>
    <w:rsid w:val="00C20648"/>
    <w:rsid w:val="00C20BC1"/>
    <w:rsid w:val="00C20C9C"/>
    <w:rsid w:val="00C211FA"/>
    <w:rsid w:val="00C21669"/>
    <w:rsid w:val="00C21958"/>
    <w:rsid w:val="00C21AAB"/>
    <w:rsid w:val="00C21B60"/>
    <w:rsid w:val="00C21D25"/>
    <w:rsid w:val="00C21DC4"/>
    <w:rsid w:val="00C21E73"/>
    <w:rsid w:val="00C2224E"/>
    <w:rsid w:val="00C228C9"/>
    <w:rsid w:val="00C22AFC"/>
    <w:rsid w:val="00C22FD1"/>
    <w:rsid w:val="00C2317A"/>
    <w:rsid w:val="00C2367D"/>
    <w:rsid w:val="00C23997"/>
    <w:rsid w:val="00C23B02"/>
    <w:rsid w:val="00C23BB1"/>
    <w:rsid w:val="00C23F1A"/>
    <w:rsid w:val="00C23F51"/>
    <w:rsid w:val="00C23FF1"/>
    <w:rsid w:val="00C24097"/>
    <w:rsid w:val="00C249EC"/>
    <w:rsid w:val="00C24F22"/>
    <w:rsid w:val="00C25091"/>
    <w:rsid w:val="00C25141"/>
    <w:rsid w:val="00C2546D"/>
    <w:rsid w:val="00C25598"/>
    <w:rsid w:val="00C25D23"/>
    <w:rsid w:val="00C25E9E"/>
    <w:rsid w:val="00C25FD1"/>
    <w:rsid w:val="00C26DC2"/>
    <w:rsid w:val="00C2706C"/>
    <w:rsid w:val="00C276D7"/>
    <w:rsid w:val="00C27827"/>
    <w:rsid w:val="00C27875"/>
    <w:rsid w:val="00C27D84"/>
    <w:rsid w:val="00C3005F"/>
    <w:rsid w:val="00C30927"/>
    <w:rsid w:val="00C30CB3"/>
    <w:rsid w:val="00C30F55"/>
    <w:rsid w:val="00C3148A"/>
    <w:rsid w:val="00C314F9"/>
    <w:rsid w:val="00C31E62"/>
    <w:rsid w:val="00C32009"/>
    <w:rsid w:val="00C32325"/>
    <w:rsid w:val="00C32350"/>
    <w:rsid w:val="00C329FE"/>
    <w:rsid w:val="00C32DA3"/>
    <w:rsid w:val="00C3378B"/>
    <w:rsid w:val="00C33E3F"/>
    <w:rsid w:val="00C34111"/>
    <w:rsid w:val="00C34570"/>
    <w:rsid w:val="00C34929"/>
    <w:rsid w:val="00C34B14"/>
    <w:rsid w:val="00C34B61"/>
    <w:rsid w:val="00C34BA8"/>
    <w:rsid w:val="00C34E0B"/>
    <w:rsid w:val="00C34F0A"/>
    <w:rsid w:val="00C35A0D"/>
    <w:rsid w:val="00C35ECC"/>
    <w:rsid w:val="00C3669A"/>
    <w:rsid w:val="00C36766"/>
    <w:rsid w:val="00C36879"/>
    <w:rsid w:val="00C3696E"/>
    <w:rsid w:val="00C369F5"/>
    <w:rsid w:val="00C36FC2"/>
    <w:rsid w:val="00C370E9"/>
    <w:rsid w:val="00C37407"/>
    <w:rsid w:val="00C376F4"/>
    <w:rsid w:val="00C37D0E"/>
    <w:rsid w:val="00C4006D"/>
    <w:rsid w:val="00C40143"/>
    <w:rsid w:val="00C403BB"/>
    <w:rsid w:val="00C40580"/>
    <w:rsid w:val="00C40971"/>
    <w:rsid w:val="00C40C08"/>
    <w:rsid w:val="00C40CD1"/>
    <w:rsid w:val="00C4145E"/>
    <w:rsid w:val="00C4159D"/>
    <w:rsid w:val="00C41B9D"/>
    <w:rsid w:val="00C41FF3"/>
    <w:rsid w:val="00C4205B"/>
    <w:rsid w:val="00C422A7"/>
    <w:rsid w:val="00C426AB"/>
    <w:rsid w:val="00C428E3"/>
    <w:rsid w:val="00C42A49"/>
    <w:rsid w:val="00C42A4A"/>
    <w:rsid w:val="00C42F90"/>
    <w:rsid w:val="00C4394F"/>
    <w:rsid w:val="00C43AC0"/>
    <w:rsid w:val="00C442EB"/>
    <w:rsid w:val="00C44947"/>
    <w:rsid w:val="00C44BC0"/>
    <w:rsid w:val="00C44DA7"/>
    <w:rsid w:val="00C4524C"/>
    <w:rsid w:val="00C454C6"/>
    <w:rsid w:val="00C45CA1"/>
    <w:rsid w:val="00C45E5C"/>
    <w:rsid w:val="00C45F87"/>
    <w:rsid w:val="00C45F88"/>
    <w:rsid w:val="00C46CA0"/>
    <w:rsid w:val="00C46FAC"/>
    <w:rsid w:val="00C47103"/>
    <w:rsid w:val="00C4713F"/>
    <w:rsid w:val="00C47E90"/>
    <w:rsid w:val="00C500A4"/>
    <w:rsid w:val="00C50298"/>
    <w:rsid w:val="00C509EE"/>
    <w:rsid w:val="00C50B88"/>
    <w:rsid w:val="00C50BC2"/>
    <w:rsid w:val="00C50D07"/>
    <w:rsid w:val="00C50DF6"/>
    <w:rsid w:val="00C50E34"/>
    <w:rsid w:val="00C50EC1"/>
    <w:rsid w:val="00C510F2"/>
    <w:rsid w:val="00C514FB"/>
    <w:rsid w:val="00C5167A"/>
    <w:rsid w:val="00C516FB"/>
    <w:rsid w:val="00C51B06"/>
    <w:rsid w:val="00C51F0B"/>
    <w:rsid w:val="00C526C0"/>
    <w:rsid w:val="00C529C8"/>
    <w:rsid w:val="00C52B7B"/>
    <w:rsid w:val="00C530C8"/>
    <w:rsid w:val="00C5320E"/>
    <w:rsid w:val="00C534AB"/>
    <w:rsid w:val="00C53702"/>
    <w:rsid w:val="00C539BE"/>
    <w:rsid w:val="00C53BC0"/>
    <w:rsid w:val="00C53C6D"/>
    <w:rsid w:val="00C53CB7"/>
    <w:rsid w:val="00C5407B"/>
    <w:rsid w:val="00C54546"/>
    <w:rsid w:val="00C5470F"/>
    <w:rsid w:val="00C54713"/>
    <w:rsid w:val="00C54883"/>
    <w:rsid w:val="00C54FD0"/>
    <w:rsid w:val="00C55439"/>
    <w:rsid w:val="00C55A67"/>
    <w:rsid w:val="00C5620A"/>
    <w:rsid w:val="00C56693"/>
    <w:rsid w:val="00C5676F"/>
    <w:rsid w:val="00C56849"/>
    <w:rsid w:val="00C569C7"/>
    <w:rsid w:val="00C56B71"/>
    <w:rsid w:val="00C56D04"/>
    <w:rsid w:val="00C56D81"/>
    <w:rsid w:val="00C56EB1"/>
    <w:rsid w:val="00C56F7A"/>
    <w:rsid w:val="00C572BF"/>
    <w:rsid w:val="00C572C9"/>
    <w:rsid w:val="00C5741B"/>
    <w:rsid w:val="00C574E3"/>
    <w:rsid w:val="00C578EA"/>
    <w:rsid w:val="00C57A17"/>
    <w:rsid w:val="00C57CBE"/>
    <w:rsid w:val="00C57D7F"/>
    <w:rsid w:val="00C60047"/>
    <w:rsid w:val="00C60181"/>
    <w:rsid w:val="00C60388"/>
    <w:rsid w:val="00C6079F"/>
    <w:rsid w:val="00C60809"/>
    <w:rsid w:val="00C608F4"/>
    <w:rsid w:val="00C60DD5"/>
    <w:rsid w:val="00C60EAF"/>
    <w:rsid w:val="00C6134B"/>
    <w:rsid w:val="00C61545"/>
    <w:rsid w:val="00C61931"/>
    <w:rsid w:val="00C61AF9"/>
    <w:rsid w:val="00C61C30"/>
    <w:rsid w:val="00C61C7D"/>
    <w:rsid w:val="00C61CB9"/>
    <w:rsid w:val="00C61D29"/>
    <w:rsid w:val="00C62016"/>
    <w:rsid w:val="00C622B9"/>
    <w:rsid w:val="00C623DF"/>
    <w:rsid w:val="00C6272C"/>
    <w:rsid w:val="00C62856"/>
    <w:rsid w:val="00C62A4F"/>
    <w:rsid w:val="00C62FBE"/>
    <w:rsid w:val="00C63616"/>
    <w:rsid w:val="00C637EF"/>
    <w:rsid w:val="00C6419D"/>
    <w:rsid w:val="00C6451E"/>
    <w:rsid w:val="00C645FF"/>
    <w:rsid w:val="00C649D8"/>
    <w:rsid w:val="00C64A46"/>
    <w:rsid w:val="00C650A9"/>
    <w:rsid w:val="00C6510B"/>
    <w:rsid w:val="00C6521F"/>
    <w:rsid w:val="00C6527F"/>
    <w:rsid w:val="00C65424"/>
    <w:rsid w:val="00C654CB"/>
    <w:rsid w:val="00C65562"/>
    <w:rsid w:val="00C65692"/>
    <w:rsid w:val="00C65738"/>
    <w:rsid w:val="00C658BA"/>
    <w:rsid w:val="00C65AB9"/>
    <w:rsid w:val="00C65C50"/>
    <w:rsid w:val="00C65D0A"/>
    <w:rsid w:val="00C65FC4"/>
    <w:rsid w:val="00C66424"/>
    <w:rsid w:val="00C66623"/>
    <w:rsid w:val="00C66B99"/>
    <w:rsid w:val="00C67405"/>
    <w:rsid w:val="00C674DD"/>
    <w:rsid w:val="00C677B6"/>
    <w:rsid w:val="00C67B7B"/>
    <w:rsid w:val="00C701D0"/>
    <w:rsid w:val="00C7051E"/>
    <w:rsid w:val="00C706F8"/>
    <w:rsid w:val="00C70725"/>
    <w:rsid w:val="00C70BA1"/>
    <w:rsid w:val="00C70C6B"/>
    <w:rsid w:val="00C70C7A"/>
    <w:rsid w:val="00C70F3B"/>
    <w:rsid w:val="00C70FE1"/>
    <w:rsid w:val="00C715BA"/>
    <w:rsid w:val="00C71804"/>
    <w:rsid w:val="00C71B87"/>
    <w:rsid w:val="00C71C28"/>
    <w:rsid w:val="00C721CF"/>
    <w:rsid w:val="00C7221F"/>
    <w:rsid w:val="00C72299"/>
    <w:rsid w:val="00C72530"/>
    <w:rsid w:val="00C72E84"/>
    <w:rsid w:val="00C73815"/>
    <w:rsid w:val="00C73A4D"/>
    <w:rsid w:val="00C73EF7"/>
    <w:rsid w:val="00C74303"/>
    <w:rsid w:val="00C744E0"/>
    <w:rsid w:val="00C745A8"/>
    <w:rsid w:val="00C74852"/>
    <w:rsid w:val="00C748FC"/>
    <w:rsid w:val="00C74B58"/>
    <w:rsid w:val="00C74F2B"/>
    <w:rsid w:val="00C7520D"/>
    <w:rsid w:val="00C7552B"/>
    <w:rsid w:val="00C75763"/>
    <w:rsid w:val="00C75A47"/>
    <w:rsid w:val="00C75FCD"/>
    <w:rsid w:val="00C76032"/>
    <w:rsid w:val="00C760E5"/>
    <w:rsid w:val="00C76444"/>
    <w:rsid w:val="00C76473"/>
    <w:rsid w:val="00C76702"/>
    <w:rsid w:val="00C76CE2"/>
    <w:rsid w:val="00C76E7D"/>
    <w:rsid w:val="00C77752"/>
    <w:rsid w:val="00C7779D"/>
    <w:rsid w:val="00C779C3"/>
    <w:rsid w:val="00C800B7"/>
    <w:rsid w:val="00C8031E"/>
    <w:rsid w:val="00C8158C"/>
    <w:rsid w:val="00C81825"/>
    <w:rsid w:val="00C8189B"/>
    <w:rsid w:val="00C81C02"/>
    <w:rsid w:val="00C822A5"/>
    <w:rsid w:val="00C82787"/>
    <w:rsid w:val="00C829F9"/>
    <w:rsid w:val="00C82E7F"/>
    <w:rsid w:val="00C83167"/>
    <w:rsid w:val="00C836A6"/>
    <w:rsid w:val="00C838F3"/>
    <w:rsid w:val="00C83A70"/>
    <w:rsid w:val="00C83AA4"/>
    <w:rsid w:val="00C83DD2"/>
    <w:rsid w:val="00C83DDD"/>
    <w:rsid w:val="00C8412C"/>
    <w:rsid w:val="00C8426B"/>
    <w:rsid w:val="00C843EF"/>
    <w:rsid w:val="00C84784"/>
    <w:rsid w:val="00C847B9"/>
    <w:rsid w:val="00C854D2"/>
    <w:rsid w:val="00C85A07"/>
    <w:rsid w:val="00C85A60"/>
    <w:rsid w:val="00C85B0C"/>
    <w:rsid w:val="00C85B5C"/>
    <w:rsid w:val="00C85BD7"/>
    <w:rsid w:val="00C86191"/>
    <w:rsid w:val="00C861B5"/>
    <w:rsid w:val="00C861C1"/>
    <w:rsid w:val="00C86340"/>
    <w:rsid w:val="00C864AA"/>
    <w:rsid w:val="00C8675B"/>
    <w:rsid w:val="00C868C7"/>
    <w:rsid w:val="00C86B70"/>
    <w:rsid w:val="00C86E92"/>
    <w:rsid w:val="00C87499"/>
    <w:rsid w:val="00C878AA"/>
    <w:rsid w:val="00C87949"/>
    <w:rsid w:val="00C87ACB"/>
    <w:rsid w:val="00C87AED"/>
    <w:rsid w:val="00C90B27"/>
    <w:rsid w:val="00C90E72"/>
    <w:rsid w:val="00C911C8"/>
    <w:rsid w:val="00C91416"/>
    <w:rsid w:val="00C9145E"/>
    <w:rsid w:val="00C92D06"/>
    <w:rsid w:val="00C931BA"/>
    <w:rsid w:val="00C9371D"/>
    <w:rsid w:val="00C937BE"/>
    <w:rsid w:val="00C93848"/>
    <w:rsid w:val="00C93867"/>
    <w:rsid w:val="00C93ACD"/>
    <w:rsid w:val="00C93ACF"/>
    <w:rsid w:val="00C93CF0"/>
    <w:rsid w:val="00C93F29"/>
    <w:rsid w:val="00C945D7"/>
    <w:rsid w:val="00C945FF"/>
    <w:rsid w:val="00C948CE"/>
    <w:rsid w:val="00C94D79"/>
    <w:rsid w:val="00C94DF5"/>
    <w:rsid w:val="00C95BEC"/>
    <w:rsid w:val="00C95EF1"/>
    <w:rsid w:val="00C960F7"/>
    <w:rsid w:val="00C961E2"/>
    <w:rsid w:val="00C96D5F"/>
    <w:rsid w:val="00C96DA3"/>
    <w:rsid w:val="00C96FE6"/>
    <w:rsid w:val="00C9702F"/>
    <w:rsid w:val="00C974EF"/>
    <w:rsid w:val="00C975FB"/>
    <w:rsid w:val="00C97C8D"/>
    <w:rsid w:val="00C97CD9"/>
    <w:rsid w:val="00CA014A"/>
    <w:rsid w:val="00CA0462"/>
    <w:rsid w:val="00CA0493"/>
    <w:rsid w:val="00CA071B"/>
    <w:rsid w:val="00CA07D1"/>
    <w:rsid w:val="00CA0B70"/>
    <w:rsid w:val="00CA0EAA"/>
    <w:rsid w:val="00CA0FD2"/>
    <w:rsid w:val="00CA1259"/>
    <w:rsid w:val="00CA15A2"/>
    <w:rsid w:val="00CA1945"/>
    <w:rsid w:val="00CA19E2"/>
    <w:rsid w:val="00CA1A9A"/>
    <w:rsid w:val="00CA1C21"/>
    <w:rsid w:val="00CA2268"/>
    <w:rsid w:val="00CA232A"/>
    <w:rsid w:val="00CA23BD"/>
    <w:rsid w:val="00CA276B"/>
    <w:rsid w:val="00CA2931"/>
    <w:rsid w:val="00CA315B"/>
    <w:rsid w:val="00CA3197"/>
    <w:rsid w:val="00CA31E9"/>
    <w:rsid w:val="00CA34F8"/>
    <w:rsid w:val="00CA43C8"/>
    <w:rsid w:val="00CA485F"/>
    <w:rsid w:val="00CA4B68"/>
    <w:rsid w:val="00CA4C44"/>
    <w:rsid w:val="00CA550B"/>
    <w:rsid w:val="00CA5546"/>
    <w:rsid w:val="00CA558D"/>
    <w:rsid w:val="00CA594E"/>
    <w:rsid w:val="00CA5AAC"/>
    <w:rsid w:val="00CA5B56"/>
    <w:rsid w:val="00CA5C00"/>
    <w:rsid w:val="00CA6051"/>
    <w:rsid w:val="00CA6527"/>
    <w:rsid w:val="00CA6558"/>
    <w:rsid w:val="00CA6B9C"/>
    <w:rsid w:val="00CA6FC9"/>
    <w:rsid w:val="00CA7510"/>
    <w:rsid w:val="00CA752B"/>
    <w:rsid w:val="00CA7B09"/>
    <w:rsid w:val="00CA7CCF"/>
    <w:rsid w:val="00CB0048"/>
    <w:rsid w:val="00CB0423"/>
    <w:rsid w:val="00CB093B"/>
    <w:rsid w:val="00CB0BCC"/>
    <w:rsid w:val="00CB17F0"/>
    <w:rsid w:val="00CB18AB"/>
    <w:rsid w:val="00CB18F2"/>
    <w:rsid w:val="00CB1F4E"/>
    <w:rsid w:val="00CB23AC"/>
    <w:rsid w:val="00CB286E"/>
    <w:rsid w:val="00CB29C5"/>
    <w:rsid w:val="00CB331E"/>
    <w:rsid w:val="00CB3455"/>
    <w:rsid w:val="00CB365E"/>
    <w:rsid w:val="00CB38D2"/>
    <w:rsid w:val="00CB3C71"/>
    <w:rsid w:val="00CB3D40"/>
    <w:rsid w:val="00CB4324"/>
    <w:rsid w:val="00CB44D0"/>
    <w:rsid w:val="00CB4A37"/>
    <w:rsid w:val="00CB4AE0"/>
    <w:rsid w:val="00CB4DD1"/>
    <w:rsid w:val="00CB4FA2"/>
    <w:rsid w:val="00CB5549"/>
    <w:rsid w:val="00CB59D6"/>
    <w:rsid w:val="00CB5AA3"/>
    <w:rsid w:val="00CB60F7"/>
    <w:rsid w:val="00CB61E5"/>
    <w:rsid w:val="00CB631A"/>
    <w:rsid w:val="00CB6335"/>
    <w:rsid w:val="00CB6395"/>
    <w:rsid w:val="00CB6549"/>
    <w:rsid w:val="00CB675A"/>
    <w:rsid w:val="00CB67C1"/>
    <w:rsid w:val="00CB68AC"/>
    <w:rsid w:val="00CB696A"/>
    <w:rsid w:val="00CB6B6C"/>
    <w:rsid w:val="00CB6C87"/>
    <w:rsid w:val="00CB6CFF"/>
    <w:rsid w:val="00CB6FB9"/>
    <w:rsid w:val="00CB7816"/>
    <w:rsid w:val="00CB7C70"/>
    <w:rsid w:val="00CB7E3C"/>
    <w:rsid w:val="00CB7FC7"/>
    <w:rsid w:val="00CC01E8"/>
    <w:rsid w:val="00CC0408"/>
    <w:rsid w:val="00CC04C1"/>
    <w:rsid w:val="00CC0634"/>
    <w:rsid w:val="00CC0665"/>
    <w:rsid w:val="00CC11AF"/>
    <w:rsid w:val="00CC161B"/>
    <w:rsid w:val="00CC186A"/>
    <w:rsid w:val="00CC1C6B"/>
    <w:rsid w:val="00CC1DC4"/>
    <w:rsid w:val="00CC2704"/>
    <w:rsid w:val="00CC2897"/>
    <w:rsid w:val="00CC28B7"/>
    <w:rsid w:val="00CC28D6"/>
    <w:rsid w:val="00CC2CD7"/>
    <w:rsid w:val="00CC3178"/>
    <w:rsid w:val="00CC355A"/>
    <w:rsid w:val="00CC362B"/>
    <w:rsid w:val="00CC39CC"/>
    <w:rsid w:val="00CC3B4E"/>
    <w:rsid w:val="00CC3D67"/>
    <w:rsid w:val="00CC3E68"/>
    <w:rsid w:val="00CC40C4"/>
    <w:rsid w:val="00CC42E0"/>
    <w:rsid w:val="00CC48BE"/>
    <w:rsid w:val="00CC498C"/>
    <w:rsid w:val="00CC4E14"/>
    <w:rsid w:val="00CC4F0B"/>
    <w:rsid w:val="00CC53A6"/>
    <w:rsid w:val="00CC587F"/>
    <w:rsid w:val="00CC5980"/>
    <w:rsid w:val="00CC5BDE"/>
    <w:rsid w:val="00CC5C30"/>
    <w:rsid w:val="00CC627B"/>
    <w:rsid w:val="00CC632E"/>
    <w:rsid w:val="00CC64A1"/>
    <w:rsid w:val="00CC6955"/>
    <w:rsid w:val="00CC6AE4"/>
    <w:rsid w:val="00CC6BFB"/>
    <w:rsid w:val="00CC6F22"/>
    <w:rsid w:val="00CC7666"/>
    <w:rsid w:val="00CC7947"/>
    <w:rsid w:val="00CC7B1A"/>
    <w:rsid w:val="00CC7C82"/>
    <w:rsid w:val="00CC7CDA"/>
    <w:rsid w:val="00CD0365"/>
    <w:rsid w:val="00CD03C7"/>
    <w:rsid w:val="00CD05E1"/>
    <w:rsid w:val="00CD0724"/>
    <w:rsid w:val="00CD09AC"/>
    <w:rsid w:val="00CD0B1B"/>
    <w:rsid w:val="00CD0DB6"/>
    <w:rsid w:val="00CD1394"/>
    <w:rsid w:val="00CD1C6E"/>
    <w:rsid w:val="00CD1CBD"/>
    <w:rsid w:val="00CD1CE2"/>
    <w:rsid w:val="00CD2106"/>
    <w:rsid w:val="00CD2AC5"/>
    <w:rsid w:val="00CD2D44"/>
    <w:rsid w:val="00CD2DC7"/>
    <w:rsid w:val="00CD2E3B"/>
    <w:rsid w:val="00CD2E9D"/>
    <w:rsid w:val="00CD32F8"/>
    <w:rsid w:val="00CD35E0"/>
    <w:rsid w:val="00CD3740"/>
    <w:rsid w:val="00CD3A82"/>
    <w:rsid w:val="00CD42D8"/>
    <w:rsid w:val="00CD43A2"/>
    <w:rsid w:val="00CD4476"/>
    <w:rsid w:val="00CD4B55"/>
    <w:rsid w:val="00CD5026"/>
    <w:rsid w:val="00CD5488"/>
    <w:rsid w:val="00CD5534"/>
    <w:rsid w:val="00CD5651"/>
    <w:rsid w:val="00CD5764"/>
    <w:rsid w:val="00CD57DB"/>
    <w:rsid w:val="00CD5AD8"/>
    <w:rsid w:val="00CD5B75"/>
    <w:rsid w:val="00CD5EA9"/>
    <w:rsid w:val="00CD5FF4"/>
    <w:rsid w:val="00CD604B"/>
    <w:rsid w:val="00CD616B"/>
    <w:rsid w:val="00CD6984"/>
    <w:rsid w:val="00CD6BDA"/>
    <w:rsid w:val="00CD6DD1"/>
    <w:rsid w:val="00CD6F98"/>
    <w:rsid w:val="00CD7D29"/>
    <w:rsid w:val="00CD7EAA"/>
    <w:rsid w:val="00CE009E"/>
    <w:rsid w:val="00CE0A87"/>
    <w:rsid w:val="00CE0B12"/>
    <w:rsid w:val="00CE0C87"/>
    <w:rsid w:val="00CE0E7B"/>
    <w:rsid w:val="00CE1694"/>
    <w:rsid w:val="00CE1FAD"/>
    <w:rsid w:val="00CE2071"/>
    <w:rsid w:val="00CE2120"/>
    <w:rsid w:val="00CE2817"/>
    <w:rsid w:val="00CE2866"/>
    <w:rsid w:val="00CE2DBE"/>
    <w:rsid w:val="00CE3451"/>
    <w:rsid w:val="00CE3774"/>
    <w:rsid w:val="00CE3BA9"/>
    <w:rsid w:val="00CE3CEA"/>
    <w:rsid w:val="00CE3EC4"/>
    <w:rsid w:val="00CE4365"/>
    <w:rsid w:val="00CE4500"/>
    <w:rsid w:val="00CE451F"/>
    <w:rsid w:val="00CE4528"/>
    <w:rsid w:val="00CE454A"/>
    <w:rsid w:val="00CE45DA"/>
    <w:rsid w:val="00CE473F"/>
    <w:rsid w:val="00CE4752"/>
    <w:rsid w:val="00CE5013"/>
    <w:rsid w:val="00CE50A5"/>
    <w:rsid w:val="00CE50C6"/>
    <w:rsid w:val="00CE5DB8"/>
    <w:rsid w:val="00CE6323"/>
    <w:rsid w:val="00CE6669"/>
    <w:rsid w:val="00CE6692"/>
    <w:rsid w:val="00CE6935"/>
    <w:rsid w:val="00CE6C1F"/>
    <w:rsid w:val="00CE6C41"/>
    <w:rsid w:val="00CE6CA4"/>
    <w:rsid w:val="00CE6D4E"/>
    <w:rsid w:val="00CE72F2"/>
    <w:rsid w:val="00CE745B"/>
    <w:rsid w:val="00CE79C9"/>
    <w:rsid w:val="00CE7A7A"/>
    <w:rsid w:val="00CE7B70"/>
    <w:rsid w:val="00CE7D2C"/>
    <w:rsid w:val="00CF034B"/>
    <w:rsid w:val="00CF03F1"/>
    <w:rsid w:val="00CF079C"/>
    <w:rsid w:val="00CF07B5"/>
    <w:rsid w:val="00CF0CC9"/>
    <w:rsid w:val="00CF0DBE"/>
    <w:rsid w:val="00CF0F70"/>
    <w:rsid w:val="00CF1C85"/>
    <w:rsid w:val="00CF2076"/>
    <w:rsid w:val="00CF20FF"/>
    <w:rsid w:val="00CF23E2"/>
    <w:rsid w:val="00CF24E3"/>
    <w:rsid w:val="00CF2D48"/>
    <w:rsid w:val="00CF3404"/>
    <w:rsid w:val="00CF374F"/>
    <w:rsid w:val="00CF3BD2"/>
    <w:rsid w:val="00CF3D43"/>
    <w:rsid w:val="00CF3D8B"/>
    <w:rsid w:val="00CF3FF2"/>
    <w:rsid w:val="00CF4018"/>
    <w:rsid w:val="00CF422F"/>
    <w:rsid w:val="00CF43D3"/>
    <w:rsid w:val="00CF4496"/>
    <w:rsid w:val="00CF464C"/>
    <w:rsid w:val="00CF4BCF"/>
    <w:rsid w:val="00CF510B"/>
    <w:rsid w:val="00CF55FC"/>
    <w:rsid w:val="00CF5797"/>
    <w:rsid w:val="00CF595E"/>
    <w:rsid w:val="00CF5A52"/>
    <w:rsid w:val="00CF6139"/>
    <w:rsid w:val="00CF65B6"/>
    <w:rsid w:val="00CF6C4E"/>
    <w:rsid w:val="00CF6F79"/>
    <w:rsid w:val="00CF706B"/>
    <w:rsid w:val="00CF70F3"/>
    <w:rsid w:val="00CF71DD"/>
    <w:rsid w:val="00CF7435"/>
    <w:rsid w:val="00CF768A"/>
    <w:rsid w:val="00CF7C64"/>
    <w:rsid w:val="00D002C4"/>
    <w:rsid w:val="00D00852"/>
    <w:rsid w:val="00D00903"/>
    <w:rsid w:val="00D012F2"/>
    <w:rsid w:val="00D01586"/>
    <w:rsid w:val="00D01911"/>
    <w:rsid w:val="00D0207B"/>
    <w:rsid w:val="00D02349"/>
    <w:rsid w:val="00D023AB"/>
    <w:rsid w:val="00D0249F"/>
    <w:rsid w:val="00D02B3B"/>
    <w:rsid w:val="00D02B86"/>
    <w:rsid w:val="00D02E12"/>
    <w:rsid w:val="00D03253"/>
    <w:rsid w:val="00D033C9"/>
    <w:rsid w:val="00D035ED"/>
    <w:rsid w:val="00D03744"/>
    <w:rsid w:val="00D03900"/>
    <w:rsid w:val="00D03939"/>
    <w:rsid w:val="00D03AB2"/>
    <w:rsid w:val="00D03DB1"/>
    <w:rsid w:val="00D04195"/>
    <w:rsid w:val="00D043FF"/>
    <w:rsid w:val="00D04A02"/>
    <w:rsid w:val="00D04B8A"/>
    <w:rsid w:val="00D04F09"/>
    <w:rsid w:val="00D04F4F"/>
    <w:rsid w:val="00D0513B"/>
    <w:rsid w:val="00D0557E"/>
    <w:rsid w:val="00D055ED"/>
    <w:rsid w:val="00D0575C"/>
    <w:rsid w:val="00D05834"/>
    <w:rsid w:val="00D05B77"/>
    <w:rsid w:val="00D05FD8"/>
    <w:rsid w:val="00D060D9"/>
    <w:rsid w:val="00D061B1"/>
    <w:rsid w:val="00D062C7"/>
    <w:rsid w:val="00D0642C"/>
    <w:rsid w:val="00D0652B"/>
    <w:rsid w:val="00D06667"/>
    <w:rsid w:val="00D06FC4"/>
    <w:rsid w:val="00D07149"/>
    <w:rsid w:val="00D071B1"/>
    <w:rsid w:val="00D07725"/>
    <w:rsid w:val="00D07A91"/>
    <w:rsid w:val="00D07B6D"/>
    <w:rsid w:val="00D07E84"/>
    <w:rsid w:val="00D10344"/>
    <w:rsid w:val="00D10D21"/>
    <w:rsid w:val="00D111EB"/>
    <w:rsid w:val="00D11355"/>
    <w:rsid w:val="00D114DC"/>
    <w:rsid w:val="00D11A38"/>
    <w:rsid w:val="00D11A71"/>
    <w:rsid w:val="00D12089"/>
    <w:rsid w:val="00D1235D"/>
    <w:rsid w:val="00D12533"/>
    <w:rsid w:val="00D13BEC"/>
    <w:rsid w:val="00D13ECC"/>
    <w:rsid w:val="00D1405D"/>
    <w:rsid w:val="00D1448A"/>
    <w:rsid w:val="00D14622"/>
    <w:rsid w:val="00D14A59"/>
    <w:rsid w:val="00D14FCC"/>
    <w:rsid w:val="00D15000"/>
    <w:rsid w:val="00D1560F"/>
    <w:rsid w:val="00D158F3"/>
    <w:rsid w:val="00D159AD"/>
    <w:rsid w:val="00D15F8B"/>
    <w:rsid w:val="00D161A1"/>
    <w:rsid w:val="00D16525"/>
    <w:rsid w:val="00D16D9D"/>
    <w:rsid w:val="00D16E70"/>
    <w:rsid w:val="00D16FAC"/>
    <w:rsid w:val="00D171B7"/>
    <w:rsid w:val="00D1747A"/>
    <w:rsid w:val="00D175C6"/>
    <w:rsid w:val="00D1770F"/>
    <w:rsid w:val="00D178B7"/>
    <w:rsid w:val="00D17D39"/>
    <w:rsid w:val="00D17E55"/>
    <w:rsid w:val="00D205FD"/>
    <w:rsid w:val="00D206A7"/>
    <w:rsid w:val="00D207A3"/>
    <w:rsid w:val="00D208AA"/>
    <w:rsid w:val="00D20CA8"/>
    <w:rsid w:val="00D20D6D"/>
    <w:rsid w:val="00D211CF"/>
    <w:rsid w:val="00D2133E"/>
    <w:rsid w:val="00D21FE9"/>
    <w:rsid w:val="00D2207B"/>
    <w:rsid w:val="00D22553"/>
    <w:rsid w:val="00D229B7"/>
    <w:rsid w:val="00D22BF7"/>
    <w:rsid w:val="00D22CD0"/>
    <w:rsid w:val="00D234A3"/>
    <w:rsid w:val="00D23683"/>
    <w:rsid w:val="00D23877"/>
    <w:rsid w:val="00D23B5D"/>
    <w:rsid w:val="00D24193"/>
    <w:rsid w:val="00D243CC"/>
    <w:rsid w:val="00D24B6D"/>
    <w:rsid w:val="00D24CD5"/>
    <w:rsid w:val="00D2528D"/>
    <w:rsid w:val="00D25343"/>
    <w:rsid w:val="00D25464"/>
    <w:rsid w:val="00D259EC"/>
    <w:rsid w:val="00D25ABE"/>
    <w:rsid w:val="00D2630E"/>
    <w:rsid w:val="00D2662F"/>
    <w:rsid w:val="00D26DE5"/>
    <w:rsid w:val="00D26EA7"/>
    <w:rsid w:val="00D27633"/>
    <w:rsid w:val="00D27688"/>
    <w:rsid w:val="00D276A2"/>
    <w:rsid w:val="00D277AB"/>
    <w:rsid w:val="00D2789B"/>
    <w:rsid w:val="00D27A26"/>
    <w:rsid w:val="00D27E23"/>
    <w:rsid w:val="00D302A7"/>
    <w:rsid w:val="00D3057A"/>
    <w:rsid w:val="00D30A36"/>
    <w:rsid w:val="00D31502"/>
    <w:rsid w:val="00D31EB9"/>
    <w:rsid w:val="00D31FEB"/>
    <w:rsid w:val="00D32356"/>
    <w:rsid w:val="00D326FB"/>
    <w:rsid w:val="00D32722"/>
    <w:rsid w:val="00D3295C"/>
    <w:rsid w:val="00D32E0C"/>
    <w:rsid w:val="00D33C54"/>
    <w:rsid w:val="00D33D8A"/>
    <w:rsid w:val="00D33F6B"/>
    <w:rsid w:val="00D34888"/>
    <w:rsid w:val="00D34D27"/>
    <w:rsid w:val="00D35A27"/>
    <w:rsid w:val="00D35F9E"/>
    <w:rsid w:val="00D36181"/>
    <w:rsid w:val="00D36243"/>
    <w:rsid w:val="00D3677E"/>
    <w:rsid w:val="00D37059"/>
    <w:rsid w:val="00D3736E"/>
    <w:rsid w:val="00D374CA"/>
    <w:rsid w:val="00D37546"/>
    <w:rsid w:val="00D37A48"/>
    <w:rsid w:val="00D37B2B"/>
    <w:rsid w:val="00D37BC4"/>
    <w:rsid w:val="00D37FE3"/>
    <w:rsid w:val="00D40C13"/>
    <w:rsid w:val="00D40FA6"/>
    <w:rsid w:val="00D410F2"/>
    <w:rsid w:val="00D413E8"/>
    <w:rsid w:val="00D41537"/>
    <w:rsid w:val="00D41800"/>
    <w:rsid w:val="00D420C0"/>
    <w:rsid w:val="00D424D1"/>
    <w:rsid w:val="00D42A49"/>
    <w:rsid w:val="00D431D6"/>
    <w:rsid w:val="00D43288"/>
    <w:rsid w:val="00D435F4"/>
    <w:rsid w:val="00D437CE"/>
    <w:rsid w:val="00D4388E"/>
    <w:rsid w:val="00D438EC"/>
    <w:rsid w:val="00D43CC4"/>
    <w:rsid w:val="00D43EDC"/>
    <w:rsid w:val="00D44601"/>
    <w:rsid w:val="00D44663"/>
    <w:rsid w:val="00D44673"/>
    <w:rsid w:val="00D4494B"/>
    <w:rsid w:val="00D45240"/>
    <w:rsid w:val="00D45700"/>
    <w:rsid w:val="00D45B34"/>
    <w:rsid w:val="00D45CB2"/>
    <w:rsid w:val="00D4601A"/>
    <w:rsid w:val="00D46731"/>
    <w:rsid w:val="00D46786"/>
    <w:rsid w:val="00D468DC"/>
    <w:rsid w:val="00D46AE4"/>
    <w:rsid w:val="00D46D97"/>
    <w:rsid w:val="00D46F12"/>
    <w:rsid w:val="00D4715B"/>
    <w:rsid w:val="00D471A7"/>
    <w:rsid w:val="00D47F2C"/>
    <w:rsid w:val="00D47FB6"/>
    <w:rsid w:val="00D5045C"/>
    <w:rsid w:val="00D50D43"/>
    <w:rsid w:val="00D50E61"/>
    <w:rsid w:val="00D510FB"/>
    <w:rsid w:val="00D515AE"/>
    <w:rsid w:val="00D515CB"/>
    <w:rsid w:val="00D5168E"/>
    <w:rsid w:val="00D51767"/>
    <w:rsid w:val="00D51AD4"/>
    <w:rsid w:val="00D51CFB"/>
    <w:rsid w:val="00D5238B"/>
    <w:rsid w:val="00D52712"/>
    <w:rsid w:val="00D5281D"/>
    <w:rsid w:val="00D53115"/>
    <w:rsid w:val="00D536D3"/>
    <w:rsid w:val="00D5383C"/>
    <w:rsid w:val="00D539AA"/>
    <w:rsid w:val="00D54159"/>
    <w:rsid w:val="00D542EF"/>
    <w:rsid w:val="00D5478D"/>
    <w:rsid w:val="00D54CB0"/>
    <w:rsid w:val="00D54CC3"/>
    <w:rsid w:val="00D54DD9"/>
    <w:rsid w:val="00D54ED2"/>
    <w:rsid w:val="00D55439"/>
    <w:rsid w:val="00D555DA"/>
    <w:rsid w:val="00D557E9"/>
    <w:rsid w:val="00D558DE"/>
    <w:rsid w:val="00D562BE"/>
    <w:rsid w:val="00D5635A"/>
    <w:rsid w:val="00D5660A"/>
    <w:rsid w:val="00D56EC9"/>
    <w:rsid w:val="00D570B1"/>
    <w:rsid w:val="00D573B4"/>
    <w:rsid w:val="00D57481"/>
    <w:rsid w:val="00D575EC"/>
    <w:rsid w:val="00D579F1"/>
    <w:rsid w:val="00D57A67"/>
    <w:rsid w:val="00D60A7B"/>
    <w:rsid w:val="00D60B54"/>
    <w:rsid w:val="00D60BC9"/>
    <w:rsid w:val="00D60DA8"/>
    <w:rsid w:val="00D60E8E"/>
    <w:rsid w:val="00D610CE"/>
    <w:rsid w:val="00D611E5"/>
    <w:rsid w:val="00D61475"/>
    <w:rsid w:val="00D618E5"/>
    <w:rsid w:val="00D61931"/>
    <w:rsid w:val="00D61F92"/>
    <w:rsid w:val="00D61FFF"/>
    <w:rsid w:val="00D62029"/>
    <w:rsid w:val="00D629F1"/>
    <w:rsid w:val="00D62A07"/>
    <w:rsid w:val="00D62CB6"/>
    <w:rsid w:val="00D62DE9"/>
    <w:rsid w:val="00D63197"/>
    <w:rsid w:val="00D635D9"/>
    <w:rsid w:val="00D639D4"/>
    <w:rsid w:val="00D63A2A"/>
    <w:rsid w:val="00D63A48"/>
    <w:rsid w:val="00D63ADA"/>
    <w:rsid w:val="00D6444F"/>
    <w:rsid w:val="00D644B8"/>
    <w:rsid w:val="00D648A1"/>
    <w:rsid w:val="00D648CA"/>
    <w:rsid w:val="00D64A34"/>
    <w:rsid w:val="00D64B60"/>
    <w:rsid w:val="00D64CF0"/>
    <w:rsid w:val="00D64F98"/>
    <w:rsid w:val="00D65285"/>
    <w:rsid w:val="00D6537E"/>
    <w:rsid w:val="00D653AF"/>
    <w:rsid w:val="00D6542C"/>
    <w:rsid w:val="00D657F1"/>
    <w:rsid w:val="00D65818"/>
    <w:rsid w:val="00D658CB"/>
    <w:rsid w:val="00D660CD"/>
    <w:rsid w:val="00D660D2"/>
    <w:rsid w:val="00D66670"/>
    <w:rsid w:val="00D66B50"/>
    <w:rsid w:val="00D66F6E"/>
    <w:rsid w:val="00D672B5"/>
    <w:rsid w:val="00D6751A"/>
    <w:rsid w:val="00D67658"/>
    <w:rsid w:val="00D677CF"/>
    <w:rsid w:val="00D67B06"/>
    <w:rsid w:val="00D67BAD"/>
    <w:rsid w:val="00D70245"/>
    <w:rsid w:val="00D70C33"/>
    <w:rsid w:val="00D70D5F"/>
    <w:rsid w:val="00D71357"/>
    <w:rsid w:val="00D713B8"/>
    <w:rsid w:val="00D71583"/>
    <w:rsid w:val="00D71F1A"/>
    <w:rsid w:val="00D72213"/>
    <w:rsid w:val="00D723DC"/>
    <w:rsid w:val="00D72485"/>
    <w:rsid w:val="00D72592"/>
    <w:rsid w:val="00D7270E"/>
    <w:rsid w:val="00D7285C"/>
    <w:rsid w:val="00D7288F"/>
    <w:rsid w:val="00D72920"/>
    <w:rsid w:val="00D72AC2"/>
    <w:rsid w:val="00D72ACC"/>
    <w:rsid w:val="00D72D46"/>
    <w:rsid w:val="00D7302F"/>
    <w:rsid w:val="00D73507"/>
    <w:rsid w:val="00D738AC"/>
    <w:rsid w:val="00D7398D"/>
    <w:rsid w:val="00D73FE2"/>
    <w:rsid w:val="00D742E9"/>
    <w:rsid w:val="00D74672"/>
    <w:rsid w:val="00D74D46"/>
    <w:rsid w:val="00D75655"/>
    <w:rsid w:val="00D75C0E"/>
    <w:rsid w:val="00D75EC6"/>
    <w:rsid w:val="00D75EFC"/>
    <w:rsid w:val="00D76247"/>
    <w:rsid w:val="00D76293"/>
    <w:rsid w:val="00D762B2"/>
    <w:rsid w:val="00D77307"/>
    <w:rsid w:val="00D774E1"/>
    <w:rsid w:val="00D7773A"/>
    <w:rsid w:val="00D77D8F"/>
    <w:rsid w:val="00D80587"/>
    <w:rsid w:val="00D80D92"/>
    <w:rsid w:val="00D81138"/>
    <w:rsid w:val="00D8161B"/>
    <w:rsid w:val="00D81842"/>
    <w:rsid w:val="00D81A0C"/>
    <w:rsid w:val="00D81A7F"/>
    <w:rsid w:val="00D81CF3"/>
    <w:rsid w:val="00D8242A"/>
    <w:rsid w:val="00D82464"/>
    <w:rsid w:val="00D8291A"/>
    <w:rsid w:val="00D82DEB"/>
    <w:rsid w:val="00D83871"/>
    <w:rsid w:val="00D8392C"/>
    <w:rsid w:val="00D84846"/>
    <w:rsid w:val="00D84F97"/>
    <w:rsid w:val="00D851BD"/>
    <w:rsid w:val="00D851C6"/>
    <w:rsid w:val="00D85877"/>
    <w:rsid w:val="00D8598E"/>
    <w:rsid w:val="00D85BEA"/>
    <w:rsid w:val="00D86764"/>
    <w:rsid w:val="00D8699E"/>
    <w:rsid w:val="00D86D60"/>
    <w:rsid w:val="00D87577"/>
    <w:rsid w:val="00D87F4F"/>
    <w:rsid w:val="00D908AF"/>
    <w:rsid w:val="00D90A74"/>
    <w:rsid w:val="00D910B4"/>
    <w:rsid w:val="00D91151"/>
    <w:rsid w:val="00D9131E"/>
    <w:rsid w:val="00D915C1"/>
    <w:rsid w:val="00D917CA"/>
    <w:rsid w:val="00D91AF6"/>
    <w:rsid w:val="00D91C20"/>
    <w:rsid w:val="00D91EFD"/>
    <w:rsid w:val="00D91F8E"/>
    <w:rsid w:val="00D92075"/>
    <w:rsid w:val="00D922FB"/>
    <w:rsid w:val="00D92CAC"/>
    <w:rsid w:val="00D931BC"/>
    <w:rsid w:val="00D9354F"/>
    <w:rsid w:val="00D93751"/>
    <w:rsid w:val="00D93BB8"/>
    <w:rsid w:val="00D94282"/>
    <w:rsid w:val="00D94D08"/>
    <w:rsid w:val="00D94D29"/>
    <w:rsid w:val="00D94F87"/>
    <w:rsid w:val="00D9596C"/>
    <w:rsid w:val="00D95AC8"/>
    <w:rsid w:val="00D95BF0"/>
    <w:rsid w:val="00D95E5C"/>
    <w:rsid w:val="00D95E71"/>
    <w:rsid w:val="00D962D7"/>
    <w:rsid w:val="00D969E4"/>
    <w:rsid w:val="00D97A6B"/>
    <w:rsid w:val="00DA00F3"/>
    <w:rsid w:val="00DA07C4"/>
    <w:rsid w:val="00DA0AEB"/>
    <w:rsid w:val="00DA186A"/>
    <w:rsid w:val="00DA2476"/>
    <w:rsid w:val="00DA2DF7"/>
    <w:rsid w:val="00DA2E7B"/>
    <w:rsid w:val="00DA307F"/>
    <w:rsid w:val="00DA30C4"/>
    <w:rsid w:val="00DA310A"/>
    <w:rsid w:val="00DA389A"/>
    <w:rsid w:val="00DA39A6"/>
    <w:rsid w:val="00DA3FB3"/>
    <w:rsid w:val="00DA43F6"/>
    <w:rsid w:val="00DA4952"/>
    <w:rsid w:val="00DA4AA1"/>
    <w:rsid w:val="00DA500A"/>
    <w:rsid w:val="00DA509C"/>
    <w:rsid w:val="00DA538A"/>
    <w:rsid w:val="00DA5939"/>
    <w:rsid w:val="00DA6243"/>
    <w:rsid w:val="00DA69E4"/>
    <w:rsid w:val="00DA6AB3"/>
    <w:rsid w:val="00DA6C9D"/>
    <w:rsid w:val="00DA71B3"/>
    <w:rsid w:val="00DA76A2"/>
    <w:rsid w:val="00DA7784"/>
    <w:rsid w:val="00DA78FB"/>
    <w:rsid w:val="00DA794F"/>
    <w:rsid w:val="00DA7FD4"/>
    <w:rsid w:val="00DB003E"/>
    <w:rsid w:val="00DB04E1"/>
    <w:rsid w:val="00DB0B21"/>
    <w:rsid w:val="00DB0BA0"/>
    <w:rsid w:val="00DB0D21"/>
    <w:rsid w:val="00DB0D4C"/>
    <w:rsid w:val="00DB1206"/>
    <w:rsid w:val="00DB144B"/>
    <w:rsid w:val="00DB14D2"/>
    <w:rsid w:val="00DB14E4"/>
    <w:rsid w:val="00DB15C5"/>
    <w:rsid w:val="00DB1CC3"/>
    <w:rsid w:val="00DB1FF4"/>
    <w:rsid w:val="00DB31B7"/>
    <w:rsid w:val="00DB3368"/>
    <w:rsid w:val="00DB3437"/>
    <w:rsid w:val="00DB349A"/>
    <w:rsid w:val="00DB34D2"/>
    <w:rsid w:val="00DB3736"/>
    <w:rsid w:val="00DB381E"/>
    <w:rsid w:val="00DB3B16"/>
    <w:rsid w:val="00DB3CF5"/>
    <w:rsid w:val="00DB41C2"/>
    <w:rsid w:val="00DB454E"/>
    <w:rsid w:val="00DB4790"/>
    <w:rsid w:val="00DB4C64"/>
    <w:rsid w:val="00DB4CE5"/>
    <w:rsid w:val="00DB53F8"/>
    <w:rsid w:val="00DB58A8"/>
    <w:rsid w:val="00DB58B4"/>
    <w:rsid w:val="00DB5EA1"/>
    <w:rsid w:val="00DB601F"/>
    <w:rsid w:val="00DB6437"/>
    <w:rsid w:val="00DB6618"/>
    <w:rsid w:val="00DB663D"/>
    <w:rsid w:val="00DB66CD"/>
    <w:rsid w:val="00DB6BFE"/>
    <w:rsid w:val="00DC012E"/>
    <w:rsid w:val="00DC01FF"/>
    <w:rsid w:val="00DC0531"/>
    <w:rsid w:val="00DC0CD5"/>
    <w:rsid w:val="00DC110D"/>
    <w:rsid w:val="00DC160B"/>
    <w:rsid w:val="00DC16C3"/>
    <w:rsid w:val="00DC1733"/>
    <w:rsid w:val="00DC1827"/>
    <w:rsid w:val="00DC193B"/>
    <w:rsid w:val="00DC1E72"/>
    <w:rsid w:val="00DC1F8B"/>
    <w:rsid w:val="00DC200B"/>
    <w:rsid w:val="00DC2194"/>
    <w:rsid w:val="00DC2B18"/>
    <w:rsid w:val="00DC35D8"/>
    <w:rsid w:val="00DC39F6"/>
    <w:rsid w:val="00DC41FF"/>
    <w:rsid w:val="00DC497A"/>
    <w:rsid w:val="00DC4D81"/>
    <w:rsid w:val="00DC5199"/>
    <w:rsid w:val="00DC5B8D"/>
    <w:rsid w:val="00DC5E33"/>
    <w:rsid w:val="00DC5EE1"/>
    <w:rsid w:val="00DC621A"/>
    <w:rsid w:val="00DC689E"/>
    <w:rsid w:val="00DC6B17"/>
    <w:rsid w:val="00DC6B33"/>
    <w:rsid w:val="00DC6EAA"/>
    <w:rsid w:val="00DC6F53"/>
    <w:rsid w:val="00DC706F"/>
    <w:rsid w:val="00DC7087"/>
    <w:rsid w:val="00DC7119"/>
    <w:rsid w:val="00DC72E8"/>
    <w:rsid w:val="00DC7353"/>
    <w:rsid w:val="00DC75D6"/>
    <w:rsid w:val="00DC76FA"/>
    <w:rsid w:val="00DD005A"/>
    <w:rsid w:val="00DD01D7"/>
    <w:rsid w:val="00DD07AA"/>
    <w:rsid w:val="00DD0CE5"/>
    <w:rsid w:val="00DD0D44"/>
    <w:rsid w:val="00DD11E2"/>
    <w:rsid w:val="00DD166E"/>
    <w:rsid w:val="00DD18B2"/>
    <w:rsid w:val="00DD1B93"/>
    <w:rsid w:val="00DD1FCA"/>
    <w:rsid w:val="00DD22B0"/>
    <w:rsid w:val="00DD2A27"/>
    <w:rsid w:val="00DD2DA4"/>
    <w:rsid w:val="00DD3430"/>
    <w:rsid w:val="00DD3785"/>
    <w:rsid w:val="00DD37B5"/>
    <w:rsid w:val="00DD3B4D"/>
    <w:rsid w:val="00DD3DB3"/>
    <w:rsid w:val="00DD44D2"/>
    <w:rsid w:val="00DD467E"/>
    <w:rsid w:val="00DD4732"/>
    <w:rsid w:val="00DD48EF"/>
    <w:rsid w:val="00DD4971"/>
    <w:rsid w:val="00DD4B80"/>
    <w:rsid w:val="00DD4CF2"/>
    <w:rsid w:val="00DD50F9"/>
    <w:rsid w:val="00DD5244"/>
    <w:rsid w:val="00DD5A58"/>
    <w:rsid w:val="00DD5C66"/>
    <w:rsid w:val="00DD5F7E"/>
    <w:rsid w:val="00DD6016"/>
    <w:rsid w:val="00DD60E0"/>
    <w:rsid w:val="00DD62EF"/>
    <w:rsid w:val="00DD6885"/>
    <w:rsid w:val="00DD6DD9"/>
    <w:rsid w:val="00DD6F74"/>
    <w:rsid w:val="00DD6FAC"/>
    <w:rsid w:val="00DD711F"/>
    <w:rsid w:val="00DD78E5"/>
    <w:rsid w:val="00DD7A89"/>
    <w:rsid w:val="00DD7B64"/>
    <w:rsid w:val="00DD7B9A"/>
    <w:rsid w:val="00DD7BB0"/>
    <w:rsid w:val="00DD7C85"/>
    <w:rsid w:val="00DD7D88"/>
    <w:rsid w:val="00DD7ED5"/>
    <w:rsid w:val="00DE046C"/>
    <w:rsid w:val="00DE07D1"/>
    <w:rsid w:val="00DE0F40"/>
    <w:rsid w:val="00DE165E"/>
    <w:rsid w:val="00DE1856"/>
    <w:rsid w:val="00DE187E"/>
    <w:rsid w:val="00DE1C52"/>
    <w:rsid w:val="00DE1C57"/>
    <w:rsid w:val="00DE1FBF"/>
    <w:rsid w:val="00DE2AA9"/>
    <w:rsid w:val="00DE2C81"/>
    <w:rsid w:val="00DE2FB4"/>
    <w:rsid w:val="00DE3150"/>
    <w:rsid w:val="00DE33E1"/>
    <w:rsid w:val="00DE3524"/>
    <w:rsid w:val="00DE371F"/>
    <w:rsid w:val="00DE3737"/>
    <w:rsid w:val="00DE3910"/>
    <w:rsid w:val="00DE3A0B"/>
    <w:rsid w:val="00DE3A95"/>
    <w:rsid w:val="00DE434A"/>
    <w:rsid w:val="00DE43BB"/>
    <w:rsid w:val="00DE43EA"/>
    <w:rsid w:val="00DE4D52"/>
    <w:rsid w:val="00DE5260"/>
    <w:rsid w:val="00DE5361"/>
    <w:rsid w:val="00DE54FC"/>
    <w:rsid w:val="00DE55A7"/>
    <w:rsid w:val="00DE5617"/>
    <w:rsid w:val="00DE5CBE"/>
    <w:rsid w:val="00DE65E8"/>
    <w:rsid w:val="00DE6EF2"/>
    <w:rsid w:val="00DE73C3"/>
    <w:rsid w:val="00DE7779"/>
    <w:rsid w:val="00DE7F0E"/>
    <w:rsid w:val="00DE7FDA"/>
    <w:rsid w:val="00DF01E0"/>
    <w:rsid w:val="00DF025D"/>
    <w:rsid w:val="00DF02A3"/>
    <w:rsid w:val="00DF079B"/>
    <w:rsid w:val="00DF08C1"/>
    <w:rsid w:val="00DF0B95"/>
    <w:rsid w:val="00DF0E51"/>
    <w:rsid w:val="00DF154C"/>
    <w:rsid w:val="00DF1608"/>
    <w:rsid w:val="00DF1664"/>
    <w:rsid w:val="00DF1AA6"/>
    <w:rsid w:val="00DF1DA0"/>
    <w:rsid w:val="00DF230D"/>
    <w:rsid w:val="00DF2754"/>
    <w:rsid w:val="00DF2BC7"/>
    <w:rsid w:val="00DF2EA6"/>
    <w:rsid w:val="00DF301A"/>
    <w:rsid w:val="00DF307C"/>
    <w:rsid w:val="00DF30C2"/>
    <w:rsid w:val="00DF3562"/>
    <w:rsid w:val="00DF362C"/>
    <w:rsid w:val="00DF3A7D"/>
    <w:rsid w:val="00DF3FE9"/>
    <w:rsid w:val="00DF406F"/>
    <w:rsid w:val="00DF4083"/>
    <w:rsid w:val="00DF4AF2"/>
    <w:rsid w:val="00DF4DB5"/>
    <w:rsid w:val="00DF4DEF"/>
    <w:rsid w:val="00DF4EC5"/>
    <w:rsid w:val="00DF4F42"/>
    <w:rsid w:val="00DF58B2"/>
    <w:rsid w:val="00DF5C30"/>
    <w:rsid w:val="00DF5CC6"/>
    <w:rsid w:val="00DF5D33"/>
    <w:rsid w:val="00DF5FC6"/>
    <w:rsid w:val="00DF620E"/>
    <w:rsid w:val="00DF66CC"/>
    <w:rsid w:val="00DF69CD"/>
    <w:rsid w:val="00DF6F2A"/>
    <w:rsid w:val="00DF6F4A"/>
    <w:rsid w:val="00DF735C"/>
    <w:rsid w:val="00DF7C83"/>
    <w:rsid w:val="00DF7F78"/>
    <w:rsid w:val="00E0025A"/>
    <w:rsid w:val="00E002B4"/>
    <w:rsid w:val="00E00311"/>
    <w:rsid w:val="00E0040E"/>
    <w:rsid w:val="00E00425"/>
    <w:rsid w:val="00E0059D"/>
    <w:rsid w:val="00E00CFD"/>
    <w:rsid w:val="00E00F7B"/>
    <w:rsid w:val="00E0106C"/>
    <w:rsid w:val="00E018BE"/>
    <w:rsid w:val="00E0191A"/>
    <w:rsid w:val="00E01F78"/>
    <w:rsid w:val="00E02307"/>
    <w:rsid w:val="00E02545"/>
    <w:rsid w:val="00E028EE"/>
    <w:rsid w:val="00E029DB"/>
    <w:rsid w:val="00E02DED"/>
    <w:rsid w:val="00E0301C"/>
    <w:rsid w:val="00E030CD"/>
    <w:rsid w:val="00E03A10"/>
    <w:rsid w:val="00E04473"/>
    <w:rsid w:val="00E0454A"/>
    <w:rsid w:val="00E04873"/>
    <w:rsid w:val="00E05137"/>
    <w:rsid w:val="00E0586E"/>
    <w:rsid w:val="00E05A65"/>
    <w:rsid w:val="00E0680A"/>
    <w:rsid w:val="00E06C1A"/>
    <w:rsid w:val="00E06F8D"/>
    <w:rsid w:val="00E07134"/>
    <w:rsid w:val="00E07589"/>
    <w:rsid w:val="00E0771C"/>
    <w:rsid w:val="00E0772C"/>
    <w:rsid w:val="00E07794"/>
    <w:rsid w:val="00E07CB4"/>
    <w:rsid w:val="00E07D2B"/>
    <w:rsid w:val="00E07DC4"/>
    <w:rsid w:val="00E100DA"/>
    <w:rsid w:val="00E10B7C"/>
    <w:rsid w:val="00E113A1"/>
    <w:rsid w:val="00E113A4"/>
    <w:rsid w:val="00E117FB"/>
    <w:rsid w:val="00E11B87"/>
    <w:rsid w:val="00E11EFB"/>
    <w:rsid w:val="00E12138"/>
    <w:rsid w:val="00E1257C"/>
    <w:rsid w:val="00E125B5"/>
    <w:rsid w:val="00E12759"/>
    <w:rsid w:val="00E12924"/>
    <w:rsid w:val="00E12A73"/>
    <w:rsid w:val="00E12E96"/>
    <w:rsid w:val="00E13625"/>
    <w:rsid w:val="00E13A6B"/>
    <w:rsid w:val="00E14BCB"/>
    <w:rsid w:val="00E14D4B"/>
    <w:rsid w:val="00E1565A"/>
    <w:rsid w:val="00E15770"/>
    <w:rsid w:val="00E16238"/>
    <w:rsid w:val="00E162CD"/>
    <w:rsid w:val="00E1675F"/>
    <w:rsid w:val="00E168B5"/>
    <w:rsid w:val="00E16A69"/>
    <w:rsid w:val="00E16DF6"/>
    <w:rsid w:val="00E175B8"/>
    <w:rsid w:val="00E17774"/>
    <w:rsid w:val="00E17AE6"/>
    <w:rsid w:val="00E17E2D"/>
    <w:rsid w:val="00E20648"/>
    <w:rsid w:val="00E206E6"/>
    <w:rsid w:val="00E20A44"/>
    <w:rsid w:val="00E2129C"/>
    <w:rsid w:val="00E2193B"/>
    <w:rsid w:val="00E22225"/>
    <w:rsid w:val="00E22694"/>
    <w:rsid w:val="00E22A7A"/>
    <w:rsid w:val="00E22B4D"/>
    <w:rsid w:val="00E23063"/>
    <w:rsid w:val="00E235A7"/>
    <w:rsid w:val="00E23D8E"/>
    <w:rsid w:val="00E23E65"/>
    <w:rsid w:val="00E2410D"/>
    <w:rsid w:val="00E2418C"/>
    <w:rsid w:val="00E242B5"/>
    <w:rsid w:val="00E244F9"/>
    <w:rsid w:val="00E247D8"/>
    <w:rsid w:val="00E24AF7"/>
    <w:rsid w:val="00E24B1E"/>
    <w:rsid w:val="00E24C06"/>
    <w:rsid w:val="00E24C36"/>
    <w:rsid w:val="00E255DF"/>
    <w:rsid w:val="00E25AA8"/>
    <w:rsid w:val="00E25B31"/>
    <w:rsid w:val="00E25BA8"/>
    <w:rsid w:val="00E25BEB"/>
    <w:rsid w:val="00E25DDF"/>
    <w:rsid w:val="00E25F37"/>
    <w:rsid w:val="00E26036"/>
    <w:rsid w:val="00E2627F"/>
    <w:rsid w:val="00E26535"/>
    <w:rsid w:val="00E2660B"/>
    <w:rsid w:val="00E2670A"/>
    <w:rsid w:val="00E26D3A"/>
    <w:rsid w:val="00E26F3C"/>
    <w:rsid w:val="00E271BB"/>
    <w:rsid w:val="00E2763B"/>
    <w:rsid w:val="00E278CE"/>
    <w:rsid w:val="00E30096"/>
    <w:rsid w:val="00E30206"/>
    <w:rsid w:val="00E30234"/>
    <w:rsid w:val="00E3027D"/>
    <w:rsid w:val="00E3028D"/>
    <w:rsid w:val="00E304A7"/>
    <w:rsid w:val="00E306B2"/>
    <w:rsid w:val="00E3099C"/>
    <w:rsid w:val="00E30BA5"/>
    <w:rsid w:val="00E310FF"/>
    <w:rsid w:val="00E31156"/>
    <w:rsid w:val="00E318A1"/>
    <w:rsid w:val="00E31B7D"/>
    <w:rsid w:val="00E32027"/>
    <w:rsid w:val="00E32716"/>
    <w:rsid w:val="00E32CFD"/>
    <w:rsid w:val="00E334D9"/>
    <w:rsid w:val="00E3370D"/>
    <w:rsid w:val="00E33B8C"/>
    <w:rsid w:val="00E33F7F"/>
    <w:rsid w:val="00E33F97"/>
    <w:rsid w:val="00E34348"/>
    <w:rsid w:val="00E349F1"/>
    <w:rsid w:val="00E34FE9"/>
    <w:rsid w:val="00E35420"/>
    <w:rsid w:val="00E35548"/>
    <w:rsid w:val="00E357E4"/>
    <w:rsid w:val="00E360C2"/>
    <w:rsid w:val="00E361D5"/>
    <w:rsid w:val="00E362CA"/>
    <w:rsid w:val="00E3658B"/>
    <w:rsid w:val="00E36A92"/>
    <w:rsid w:val="00E36C1A"/>
    <w:rsid w:val="00E36D4C"/>
    <w:rsid w:val="00E36DF8"/>
    <w:rsid w:val="00E370D1"/>
    <w:rsid w:val="00E374E0"/>
    <w:rsid w:val="00E379F1"/>
    <w:rsid w:val="00E37F6F"/>
    <w:rsid w:val="00E400A0"/>
    <w:rsid w:val="00E401E7"/>
    <w:rsid w:val="00E40662"/>
    <w:rsid w:val="00E40F45"/>
    <w:rsid w:val="00E4121D"/>
    <w:rsid w:val="00E41380"/>
    <w:rsid w:val="00E4147C"/>
    <w:rsid w:val="00E416DC"/>
    <w:rsid w:val="00E4181A"/>
    <w:rsid w:val="00E41C57"/>
    <w:rsid w:val="00E41DC6"/>
    <w:rsid w:val="00E41F6E"/>
    <w:rsid w:val="00E4208B"/>
    <w:rsid w:val="00E4214C"/>
    <w:rsid w:val="00E42566"/>
    <w:rsid w:val="00E429B1"/>
    <w:rsid w:val="00E42A18"/>
    <w:rsid w:val="00E42B7A"/>
    <w:rsid w:val="00E42BBB"/>
    <w:rsid w:val="00E43129"/>
    <w:rsid w:val="00E43166"/>
    <w:rsid w:val="00E43458"/>
    <w:rsid w:val="00E43962"/>
    <w:rsid w:val="00E43C41"/>
    <w:rsid w:val="00E44136"/>
    <w:rsid w:val="00E4436B"/>
    <w:rsid w:val="00E443CB"/>
    <w:rsid w:val="00E4464B"/>
    <w:rsid w:val="00E44960"/>
    <w:rsid w:val="00E458BF"/>
    <w:rsid w:val="00E45E74"/>
    <w:rsid w:val="00E464DC"/>
    <w:rsid w:val="00E466FB"/>
    <w:rsid w:val="00E468A3"/>
    <w:rsid w:val="00E46A19"/>
    <w:rsid w:val="00E46E5A"/>
    <w:rsid w:val="00E46EA3"/>
    <w:rsid w:val="00E46FB4"/>
    <w:rsid w:val="00E470DB"/>
    <w:rsid w:val="00E500F4"/>
    <w:rsid w:val="00E502F5"/>
    <w:rsid w:val="00E507D6"/>
    <w:rsid w:val="00E50C74"/>
    <w:rsid w:val="00E50E3B"/>
    <w:rsid w:val="00E517C8"/>
    <w:rsid w:val="00E51F91"/>
    <w:rsid w:val="00E52949"/>
    <w:rsid w:val="00E52C10"/>
    <w:rsid w:val="00E52D14"/>
    <w:rsid w:val="00E52DDC"/>
    <w:rsid w:val="00E53111"/>
    <w:rsid w:val="00E5360B"/>
    <w:rsid w:val="00E53C51"/>
    <w:rsid w:val="00E53CC9"/>
    <w:rsid w:val="00E53F62"/>
    <w:rsid w:val="00E5417F"/>
    <w:rsid w:val="00E54D1F"/>
    <w:rsid w:val="00E54D32"/>
    <w:rsid w:val="00E54D65"/>
    <w:rsid w:val="00E553EF"/>
    <w:rsid w:val="00E55565"/>
    <w:rsid w:val="00E55DA5"/>
    <w:rsid w:val="00E55FA2"/>
    <w:rsid w:val="00E560B0"/>
    <w:rsid w:val="00E5628A"/>
    <w:rsid w:val="00E56461"/>
    <w:rsid w:val="00E56B58"/>
    <w:rsid w:val="00E57184"/>
    <w:rsid w:val="00E57FE7"/>
    <w:rsid w:val="00E60132"/>
    <w:rsid w:val="00E601CE"/>
    <w:rsid w:val="00E60325"/>
    <w:rsid w:val="00E608FA"/>
    <w:rsid w:val="00E60A8F"/>
    <w:rsid w:val="00E60ECA"/>
    <w:rsid w:val="00E6162C"/>
    <w:rsid w:val="00E616C0"/>
    <w:rsid w:val="00E6172F"/>
    <w:rsid w:val="00E61889"/>
    <w:rsid w:val="00E61DB8"/>
    <w:rsid w:val="00E61E77"/>
    <w:rsid w:val="00E620E5"/>
    <w:rsid w:val="00E62201"/>
    <w:rsid w:val="00E62224"/>
    <w:rsid w:val="00E628B5"/>
    <w:rsid w:val="00E62919"/>
    <w:rsid w:val="00E62B66"/>
    <w:rsid w:val="00E62E49"/>
    <w:rsid w:val="00E63071"/>
    <w:rsid w:val="00E634FA"/>
    <w:rsid w:val="00E6362D"/>
    <w:rsid w:val="00E637C4"/>
    <w:rsid w:val="00E63B30"/>
    <w:rsid w:val="00E63BF6"/>
    <w:rsid w:val="00E64241"/>
    <w:rsid w:val="00E64393"/>
    <w:rsid w:val="00E64682"/>
    <w:rsid w:val="00E64901"/>
    <w:rsid w:val="00E6494F"/>
    <w:rsid w:val="00E64AD5"/>
    <w:rsid w:val="00E64F3E"/>
    <w:rsid w:val="00E654F2"/>
    <w:rsid w:val="00E6594C"/>
    <w:rsid w:val="00E659D0"/>
    <w:rsid w:val="00E66046"/>
    <w:rsid w:val="00E66171"/>
    <w:rsid w:val="00E665F8"/>
    <w:rsid w:val="00E665FE"/>
    <w:rsid w:val="00E66B86"/>
    <w:rsid w:val="00E670A6"/>
    <w:rsid w:val="00E67867"/>
    <w:rsid w:val="00E67FB0"/>
    <w:rsid w:val="00E7017B"/>
    <w:rsid w:val="00E702DE"/>
    <w:rsid w:val="00E70794"/>
    <w:rsid w:val="00E70BF1"/>
    <w:rsid w:val="00E70CD0"/>
    <w:rsid w:val="00E70DB3"/>
    <w:rsid w:val="00E7187F"/>
    <w:rsid w:val="00E720AE"/>
    <w:rsid w:val="00E723EC"/>
    <w:rsid w:val="00E72607"/>
    <w:rsid w:val="00E72D2D"/>
    <w:rsid w:val="00E72DD6"/>
    <w:rsid w:val="00E733BE"/>
    <w:rsid w:val="00E736B6"/>
    <w:rsid w:val="00E739F4"/>
    <w:rsid w:val="00E74139"/>
    <w:rsid w:val="00E7462F"/>
    <w:rsid w:val="00E74664"/>
    <w:rsid w:val="00E746DD"/>
    <w:rsid w:val="00E747F7"/>
    <w:rsid w:val="00E74C04"/>
    <w:rsid w:val="00E750F4"/>
    <w:rsid w:val="00E7514D"/>
    <w:rsid w:val="00E75355"/>
    <w:rsid w:val="00E75715"/>
    <w:rsid w:val="00E75746"/>
    <w:rsid w:val="00E75E88"/>
    <w:rsid w:val="00E76840"/>
    <w:rsid w:val="00E76FC7"/>
    <w:rsid w:val="00E7701B"/>
    <w:rsid w:val="00E772B0"/>
    <w:rsid w:val="00E773E1"/>
    <w:rsid w:val="00E77720"/>
    <w:rsid w:val="00E7798E"/>
    <w:rsid w:val="00E77C9C"/>
    <w:rsid w:val="00E77DE4"/>
    <w:rsid w:val="00E80507"/>
    <w:rsid w:val="00E8066A"/>
    <w:rsid w:val="00E80F15"/>
    <w:rsid w:val="00E8108D"/>
    <w:rsid w:val="00E8134C"/>
    <w:rsid w:val="00E81E03"/>
    <w:rsid w:val="00E8215D"/>
    <w:rsid w:val="00E8226F"/>
    <w:rsid w:val="00E823A0"/>
    <w:rsid w:val="00E823C5"/>
    <w:rsid w:val="00E8290E"/>
    <w:rsid w:val="00E82AFC"/>
    <w:rsid w:val="00E8300D"/>
    <w:rsid w:val="00E83273"/>
    <w:rsid w:val="00E8388C"/>
    <w:rsid w:val="00E842C4"/>
    <w:rsid w:val="00E84516"/>
    <w:rsid w:val="00E845E9"/>
    <w:rsid w:val="00E8480A"/>
    <w:rsid w:val="00E85175"/>
    <w:rsid w:val="00E853CC"/>
    <w:rsid w:val="00E859B5"/>
    <w:rsid w:val="00E85E66"/>
    <w:rsid w:val="00E86338"/>
    <w:rsid w:val="00E86490"/>
    <w:rsid w:val="00E864F9"/>
    <w:rsid w:val="00E868A8"/>
    <w:rsid w:val="00E86904"/>
    <w:rsid w:val="00E86EE4"/>
    <w:rsid w:val="00E8707D"/>
    <w:rsid w:val="00E87786"/>
    <w:rsid w:val="00E879F7"/>
    <w:rsid w:val="00E87B81"/>
    <w:rsid w:val="00E90A5C"/>
    <w:rsid w:val="00E90ADC"/>
    <w:rsid w:val="00E90B86"/>
    <w:rsid w:val="00E90C24"/>
    <w:rsid w:val="00E90D69"/>
    <w:rsid w:val="00E90FE7"/>
    <w:rsid w:val="00E916DA"/>
    <w:rsid w:val="00E917C9"/>
    <w:rsid w:val="00E91D0D"/>
    <w:rsid w:val="00E9277E"/>
    <w:rsid w:val="00E92B1F"/>
    <w:rsid w:val="00E92DB7"/>
    <w:rsid w:val="00E930C6"/>
    <w:rsid w:val="00E93544"/>
    <w:rsid w:val="00E9380F"/>
    <w:rsid w:val="00E93815"/>
    <w:rsid w:val="00E939DC"/>
    <w:rsid w:val="00E93B31"/>
    <w:rsid w:val="00E93BC2"/>
    <w:rsid w:val="00E93CD0"/>
    <w:rsid w:val="00E940F8"/>
    <w:rsid w:val="00E944A4"/>
    <w:rsid w:val="00E94CC6"/>
    <w:rsid w:val="00E94DDE"/>
    <w:rsid w:val="00E957EB"/>
    <w:rsid w:val="00E95855"/>
    <w:rsid w:val="00E959F3"/>
    <w:rsid w:val="00E95AD7"/>
    <w:rsid w:val="00E95B0F"/>
    <w:rsid w:val="00E95B40"/>
    <w:rsid w:val="00E95D34"/>
    <w:rsid w:val="00E9678C"/>
    <w:rsid w:val="00E967E8"/>
    <w:rsid w:val="00E968F5"/>
    <w:rsid w:val="00E96C65"/>
    <w:rsid w:val="00E96F1C"/>
    <w:rsid w:val="00E9718A"/>
    <w:rsid w:val="00E976D8"/>
    <w:rsid w:val="00E97AD1"/>
    <w:rsid w:val="00E97CC0"/>
    <w:rsid w:val="00EA006A"/>
    <w:rsid w:val="00EA03EA"/>
    <w:rsid w:val="00EA048A"/>
    <w:rsid w:val="00EA0A1B"/>
    <w:rsid w:val="00EA0BC2"/>
    <w:rsid w:val="00EA0F6C"/>
    <w:rsid w:val="00EA0F9E"/>
    <w:rsid w:val="00EA11E5"/>
    <w:rsid w:val="00EA16B4"/>
    <w:rsid w:val="00EA1D4F"/>
    <w:rsid w:val="00EA2065"/>
    <w:rsid w:val="00EA2C3D"/>
    <w:rsid w:val="00EA2DF9"/>
    <w:rsid w:val="00EA2FA9"/>
    <w:rsid w:val="00EA2FC6"/>
    <w:rsid w:val="00EA37E7"/>
    <w:rsid w:val="00EA3F77"/>
    <w:rsid w:val="00EA4529"/>
    <w:rsid w:val="00EA4B27"/>
    <w:rsid w:val="00EA52EB"/>
    <w:rsid w:val="00EA5932"/>
    <w:rsid w:val="00EA6079"/>
    <w:rsid w:val="00EA67E1"/>
    <w:rsid w:val="00EA6B03"/>
    <w:rsid w:val="00EA6C9B"/>
    <w:rsid w:val="00EA6DCE"/>
    <w:rsid w:val="00EA6E0A"/>
    <w:rsid w:val="00EA78FE"/>
    <w:rsid w:val="00EA7A96"/>
    <w:rsid w:val="00EA7D32"/>
    <w:rsid w:val="00EA7DF6"/>
    <w:rsid w:val="00EA7F59"/>
    <w:rsid w:val="00EB000C"/>
    <w:rsid w:val="00EB00F6"/>
    <w:rsid w:val="00EB0187"/>
    <w:rsid w:val="00EB01EE"/>
    <w:rsid w:val="00EB03B4"/>
    <w:rsid w:val="00EB07F2"/>
    <w:rsid w:val="00EB0928"/>
    <w:rsid w:val="00EB1334"/>
    <w:rsid w:val="00EB137F"/>
    <w:rsid w:val="00EB184C"/>
    <w:rsid w:val="00EB1C88"/>
    <w:rsid w:val="00EB1D1F"/>
    <w:rsid w:val="00EB1EFF"/>
    <w:rsid w:val="00EB2227"/>
    <w:rsid w:val="00EB27CD"/>
    <w:rsid w:val="00EB2ADD"/>
    <w:rsid w:val="00EB2CF0"/>
    <w:rsid w:val="00EB32DD"/>
    <w:rsid w:val="00EB331D"/>
    <w:rsid w:val="00EB3340"/>
    <w:rsid w:val="00EB3948"/>
    <w:rsid w:val="00EB3B23"/>
    <w:rsid w:val="00EB4008"/>
    <w:rsid w:val="00EB4139"/>
    <w:rsid w:val="00EB452C"/>
    <w:rsid w:val="00EB4595"/>
    <w:rsid w:val="00EB4C49"/>
    <w:rsid w:val="00EB4C76"/>
    <w:rsid w:val="00EB4DE7"/>
    <w:rsid w:val="00EB6174"/>
    <w:rsid w:val="00EB63FF"/>
    <w:rsid w:val="00EB6A0F"/>
    <w:rsid w:val="00EB6CE7"/>
    <w:rsid w:val="00EB6D84"/>
    <w:rsid w:val="00EB72CC"/>
    <w:rsid w:val="00EB7426"/>
    <w:rsid w:val="00EB79F5"/>
    <w:rsid w:val="00EB7B1D"/>
    <w:rsid w:val="00EC0178"/>
    <w:rsid w:val="00EC04AC"/>
    <w:rsid w:val="00EC065E"/>
    <w:rsid w:val="00EC093E"/>
    <w:rsid w:val="00EC09BC"/>
    <w:rsid w:val="00EC0A98"/>
    <w:rsid w:val="00EC0B6D"/>
    <w:rsid w:val="00EC0F06"/>
    <w:rsid w:val="00EC1264"/>
    <w:rsid w:val="00EC1519"/>
    <w:rsid w:val="00EC1BD4"/>
    <w:rsid w:val="00EC1F77"/>
    <w:rsid w:val="00EC1F90"/>
    <w:rsid w:val="00EC2444"/>
    <w:rsid w:val="00EC2813"/>
    <w:rsid w:val="00EC2E92"/>
    <w:rsid w:val="00EC34A4"/>
    <w:rsid w:val="00EC38C5"/>
    <w:rsid w:val="00EC3AE9"/>
    <w:rsid w:val="00EC4146"/>
    <w:rsid w:val="00EC41EF"/>
    <w:rsid w:val="00EC444E"/>
    <w:rsid w:val="00EC44FE"/>
    <w:rsid w:val="00EC473B"/>
    <w:rsid w:val="00EC4AF1"/>
    <w:rsid w:val="00EC4E72"/>
    <w:rsid w:val="00EC4FAD"/>
    <w:rsid w:val="00EC4FDF"/>
    <w:rsid w:val="00EC556B"/>
    <w:rsid w:val="00EC55B4"/>
    <w:rsid w:val="00EC5956"/>
    <w:rsid w:val="00EC6013"/>
    <w:rsid w:val="00EC62E0"/>
    <w:rsid w:val="00EC6B7B"/>
    <w:rsid w:val="00EC6D5F"/>
    <w:rsid w:val="00EC6E54"/>
    <w:rsid w:val="00EC7006"/>
    <w:rsid w:val="00EC733B"/>
    <w:rsid w:val="00EC78B8"/>
    <w:rsid w:val="00ED0341"/>
    <w:rsid w:val="00ED03E2"/>
    <w:rsid w:val="00ED0C66"/>
    <w:rsid w:val="00ED0EED"/>
    <w:rsid w:val="00ED1652"/>
    <w:rsid w:val="00ED1690"/>
    <w:rsid w:val="00ED17E1"/>
    <w:rsid w:val="00ED1982"/>
    <w:rsid w:val="00ED1EE3"/>
    <w:rsid w:val="00ED2083"/>
    <w:rsid w:val="00ED23E2"/>
    <w:rsid w:val="00ED2952"/>
    <w:rsid w:val="00ED3438"/>
    <w:rsid w:val="00ED362A"/>
    <w:rsid w:val="00ED3631"/>
    <w:rsid w:val="00ED3931"/>
    <w:rsid w:val="00ED3AA5"/>
    <w:rsid w:val="00ED4201"/>
    <w:rsid w:val="00ED45AC"/>
    <w:rsid w:val="00ED50F4"/>
    <w:rsid w:val="00ED50F8"/>
    <w:rsid w:val="00ED530C"/>
    <w:rsid w:val="00ED5729"/>
    <w:rsid w:val="00ED5875"/>
    <w:rsid w:val="00ED59C2"/>
    <w:rsid w:val="00ED5A63"/>
    <w:rsid w:val="00ED5BD7"/>
    <w:rsid w:val="00ED5CBB"/>
    <w:rsid w:val="00ED5CF3"/>
    <w:rsid w:val="00ED5EAE"/>
    <w:rsid w:val="00ED6A73"/>
    <w:rsid w:val="00ED6DF9"/>
    <w:rsid w:val="00ED6E16"/>
    <w:rsid w:val="00ED7410"/>
    <w:rsid w:val="00ED74C1"/>
    <w:rsid w:val="00ED757A"/>
    <w:rsid w:val="00ED7F16"/>
    <w:rsid w:val="00EE040E"/>
    <w:rsid w:val="00EE0441"/>
    <w:rsid w:val="00EE081A"/>
    <w:rsid w:val="00EE0855"/>
    <w:rsid w:val="00EE085F"/>
    <w:rsid w:val="00EE0898"/>
    <w:rsid w:val="00EE0E53"/>
    <w:rsid w:val="00EE175A"/>
    <w:rsid w:val="00EE1862"/>
    <w:rsid w:val="00EE19A2"/>
    <w:rsid w:val="00EE1A51"/>
    <w:rsid w:val="00EE1DD9"/>
    <w:rsid w:val="00EE1E34"/>
    <w:rsid w:val="00EE21A0"/>
    <w:rsid w:val="00EE26C9"/>
    <w:rsid w:val="00EE2862"/>
    <w:rsid w:val="00EE2B15"/>
    <w:rsid w:val="00EE2D25"/>
    <w:rsid w:val="00EE33C9"/>
    <w:rsid w:val="00EE3494"/>
    <w:rsid w:val="00EE3581"/>
    <w:rsid w:val="00EE3739"/>
    <w:rsid w:val="00EE3AA1"/>
    <w:rsid w:val="00EE3E19"/>
    <w:rsid w:val="00EE49EF"/>
    <w:rsid w:val="00EE4C56"/>
    <w:rsid w:val="00EE5066"/>
    <w:rsid w:val="00EE5159"/>
    <w:rsid w:val="00EE52E2"/>
    <w:rsid w:val="00EE5EFA"/>
    <w:rsid w:val="00EE62CE"/>
    <w:rsid w:val="00EE6688"/>
    <w:rsid w:val="00EE66D5"/>
    <w:rsid w:val="00EE684D"/>
    <w:rsid w:val="00EE6C2E"/>
    <w:rsid w:val="00EE6F61"/>
    <w:rsid w:val="00EE721E"/>
    <w:rsid w:val="00EE7F80"/>
    <w:rsid w:val="00EF02B9"/>
    <w:rsid w:val="00EF07F9"/>
    <w:rsid w:val="00EF0816"/>
    <w:rsid w:val="00EF0964"/>
    <w:rsid w:val="00EF0973"/>
    <w:rsid w:val="00EF0AE7"/>
    <w:rsid w:val="00EF0D7B"/>
    <w:rsid w:val="00EF108F"/>
    <w:rsid w:val="00EF154D"/>
    <w:rsid w:val="00EF1638"/>
    <w:rsid w:val="00EF169B"/>
    <w:rsid w:val="00EF17A2"/>
    <w:rsid w:val="00EF17E5"/>
    <w:rsid w:val="00EF28D9"/>
    <w:rsid w:val="00EF2BA8"/>
    <w:rsid w:val="00EF2BBE"/>
    <w:rsid w:val="00EF2F43"/>
    <w:rsid w:val="00EF30B4"/>
    <w:rsid w:val="00EF39B1"/>
    <w:rsid w:val="00EF41C3"/>
    <w:rsid w:val="00EF4276"/>
    <w:rsid w:val="00EF42B9"/>
    <w:rsid w:val="00EF43CE"/>
    <w:rsid w:val="00EF5551"/>
    <w:rsid w:val="00EF5B4E"/>
    <w:rsid w:val="00EF5C22"/>
    <w:rsid w:val="00EF5ECE"/>
    <w:rsid w:val="00EF6E82"/>
    <w:rsid w:val="00EF7036"/>
    <w:rsid w:val="00EF71DA"/>
    <w:rsid w:val="00EF72B8"/>
    <w:rsid w:val="00EF7616"/>
    <w:rsid w:val="00EF7B68"/>
    <w:rsid w:val="00EF7F93"/>
    <w:rsid w:val="00F006E8"/>
    <w:rsid w:val="00F009DE"/>
    <w:rsid w:val="00F00B33"/>
    <w:rsid w:val="00F00CFE"/>
    <w:rsid w:val="00F00D1D"/>
    <w:rsid w:val="00F01002"/>
    <w:rsid w:val="00F0139A"/>
    <w:rsid w:val="00F013A0"/>
    <w:rsid w:val="00F014CD"/>
    <w:rsid w:val="00F0150E"/>
    <w:rsid w:val="00F016FD"/>
    <w:rsid w:val="00F02246"/>
    <w:rsid w:val="00F027E5"/>
    <w:rsid w:val="00F02B36"/>
    <w:rsid w:val="00F02BB2"/>
    <w:rsid w:val="00F030D9"/>
    <w:rsid w:val="00F03168"/>
    <w:rsid w:val="00F035B7"/>
    <w:rsid w:val="00F0369A"/>
    <w:rsid w:val="00F038BF"/>
    <w:rsid w:val="00F03933"/>
    <w:rsid w:val="00F0394A"/>
    <w:rsid w:val="00F03D4B"/>
    <w:rsid w:val="00F03DDF"/>
    <w:rsid w:val="00F03DED"/>
    <w:rsid w:val="00F03E31"/>
    <w:rsid w:val="00F03F67"/>
    <w:rsid w:val="00F0467E"/>
    <w:rsid w:val="00F04850"/>
    <w:rsid w:val="00F04B3C"/>
    <w:rsid w:val="00F04DDD"/>
    <w:rsid w:val="00F04F72"/>
    <w:rsid w:val="00F05599"/>
    <w:rsid w:val="00F05A9D"/>
    <w:rsid w:val="00F05BB0"/>
    <w:rsid w:val="00F05DFA"/>
    <w:rsid w:val="00F05F14"/>
    <w:rsid w:val="00F06733"/>
    <w:rsid w:val="00F07629"/>
    <w:rsid w:val="00F07957"/>
    <w:rsid w:val="00F07D83"/>
    <w:rsid w:val="00F103A4"/>
    <w:rsid w:val="00F10594"/>
    <w:rsid w:val="00F10D0B"/>
    <w:rsid w:val="00F11232"/>
    <w:rsid w:val="00F1143C"/>
    <w:rsid w:val="00F11669"/>
    <w:rsid w:val="00F117D6"/>
    <w:rsid w:val="00F11A5E"/>
    <w:rsid w:val="00F12161"/>
    <w:rsid w:val="00F12249"/>
    <w:rsid w:val="00F12312"/>
    <w:rsid w:val="00F12474"/>
    <w:rsid w:val="00F125F8"/>
    <w:rsid w:val="00F13884"/>
    <w:rsid w:val="00F13C38"/>
    <w:rsid w:val="00F140E4"/>
    <w:rsid w:val="00F14C76"/>
    <w:rsid w:val="00F14F88"/>
    <w:rsid w:val="00F1519F"/>
    <w:rsid w:val="00F15235"/>
    <w:rsid w:val="00F15599"/>
    <w:rsid w:val="00F15A3B"/>
    <w:rsid w:val="00F15DE4"/>
    <w:rsid w:val="00F15E6B"/>
    <w:rsid w:val="00F16518"/>
    <w:rsid w:val="00F16929"/>
    <w:rsid w:val="00F16D3B"/>
    <w:rsid w:val="00F17433"/>
    <w:rsid w:val="00F176EB"/>
    <w:rsid w:val="00F177D9"/>
    <w:rsid w:val="00F17835"/>
    <w:rsid w:val="00F1786B"/>
    <w:rsid w:val="00F17A9B"/>
    <w:rsid w:val="00F17B44"/>
    <w:rsid w:val="00F17F67"/>
    <w:rsid w:val="00F17FD5"/>
    <w:rsid w:val="00F17FEC"/>
    <w:rsid w:val="00F201B0"/>
    <w:rsid w:val="00F20A99"/>
    <w:rsid w:val="00F20F97"/>
    <w:rsid w:val="00F22056"/>
    <w:rsid w:val="00F2215D"/>
    <w:rsid w:val="00F2255D"/>
    <w:rsid w:val="00F22842"/>
    <w:rsid w:val="00F22CC7"/>
    <w:rsid w:val="00F22DE3"/>
    <w:rsid w:val="00F22F81"/>
    <w:rsid w:val="00F2334E"/>
    <w:rsid w:val="00F23838"/>
    <w:rsid w:val="00F23BD6"/>
    <w:rsid w:val="00F23E12"/>
    <w:rsid w:val="00F241AF"/>
    <w:rsid w:val="00F243B8"/>
    <w:rsid w:val="00F249B9"/>
    <w:rsid w:val="00F25073"/>
    <w:rsid w:val="00F258D8"/>
    <w:rsid w:val="00F25AB7"/>
    <w:rsid w:val="00F25C21"/>
    <w:rsid w:val="00F261D3"/>
    <w:rsid w:val="00F26C60"/>
    <w:rsid w:val="00F27010"/>
    <w:rsid w:val="00F2708C"/>
    <w:rsid w:val="00F279DA"/>
    <w:rsid w:val="00F279F6"/>
    <w:rsid w:val="00F27F80"/>
    <w:rsid w:val="00F30019"/>
    <w:rsid w:val="00F30113"/>
    <w:rsid w:val="00F3050E"/>
    <w:rsid w:val="00F30513"/>
    <w:rsid w:val="00F307A2"/>
    <w:rsid w:val="00F30F26"/>
    <w:rsid w:val="00F31199"/>
    <w:rsid w:val="00F31619"/>
    <w:rsid w:val="00F31669"/>
    <w:rsid w:val="00F31760"/>
    <w:rsid w:val="00F3195C"/>
    <w:rsid w:val="00F31E03"/>
    <w:rsid w:val="00F31E15"/>
    <w:rsid w:val="00F31F2B"/>
    <w:rsid w:val="00F32270"/>
    <w:rsid w:val="00F32531"/>
    <w:rsid w:val="00F325B2"/>
    <w:rsid w:val="00F32A4E"/>
    <w:rsid w:val="00F3304E"/>
    <w:rsid w:val="00F3381E"/>
    <w:rsid w:val="00F338D9"/>
    <w:rsid w:val="00F3398C"/>
    <w:rsid w:val="00F33BD4"/>
    <w:rsid w:val="00F3414D"/>
    <w:rsid w:val="00F3452F"/>
    <w:rsid w:val="00F347A6"/>
    <w:rsid w:val="00F349B8"/>
    <w:rsid w:val="00F34D5C"/>
    <w:rsid w:val="00F35291"/>
    <w:rsid w:val="00F35367"/>
    <w:rsid w:val="00F35373"/>
    <w:rsid w:val="00F35B6F"/>
    <w:rsid w:val="00F35BD4"/>
    <w:rsid w:val="00F35EC8"/>
    <w:rsid w:val="00F35FA6"/>
    <w:rsid w:val="00F36337"/>
    <w:rsid w:val="00F36362"/>
    <w:rsid w:val="00F3648B"/>
    <w:rsid w:val="00F36BAD"/>
    <w:rsid w:val="00F36CA1"/>
    <w:rsid w:val="00F371C3"/>
    <w:rsid w:val="00F379FD"/>
    <w:rsid w:val="00F37D0F"/>
    <w:rsid w:val="00F37D67"/>
    <w:rsid w:val="00F406D9"/>
    <w:rsid w:val="00F40717"/>
    <w:rsid w:val="00F40ADB"/>
    <w:rsid w:val="00F40B9C"/>
    <w:rsid w:val="00F40CAE"/>
    <w:rsid w:val="00F40D1F"/>
    <w:rsid w:val="00F410AD"/>
    <w:rsid w:val="00F413F9"/>
    <w:rsid w:val="00F415DE"/>
    <w:rsid w:val="00F416D1"/>
    <w:rsid w:val="00F417EA"/>
    <w:rsid w:val="00F42212"/>
    <w:rsid w:val="00F4245D"/>
    <w:rsid w:val="00F42624"/>
    <w:rsid w:val="00F429BD"/>
    <w:rsid w:val="00F42E19"/>
    <w:rsid w:val="00F4304C"/>
    <w:rsid w:val="00F43192"/>
    <w:rsid w:val="00F433ED"/>
    <w:rsid w:val="00F43B17"/>
    <w:rsid w:val="00F43E4E"/>
    <w:rsid w:val="00F43EF5"/>
    <w:rsid w:val="00F440EB"/>
    <w:rsid w:val="00F44B72"/>
    <w:rsid w:val="00F44D8C"/>
    <w:rsid w:val="00F44FD7"/>
    <w:rsid w:val="00F44FE6"/>
    <w:rsid w:val="00F45065"/>
    <w:rsid w:val="00F45336"/>
    <w:rsid w:val="00F45615"/>
    <w:rsid w:val="00F45641"/>
    <w:rsid w:val="00F45712"/>
    <w:rsid w:val="00F45723"/>
    <w:rsid w:val="00F459F8"/>
    <w:rsid w:val="00F45CCD"/>
    <w:rsid w:val="00F45D58"/>
    <w:rsid w:val="00F460E4"/>
    <w:rsid w:val="00F46167"/>
    <w:rsid w:val="00F462C3"/>
    <w:rsid w:val="00F467CC"/>
    <w:rsid w:val="00F468F2"/>
    <w:rsid w:val="00F469B0"/>
    <w:rsid w:val="00F472BF"/>
    <w:rsid w:val="00F472EC"/>
    <w:rsid w:val="00F4771D"/>
    <w:rsid w:val="00F47DC0"/>
    <w:rsid w:val="00F500B7"/>
    <w:rsid w:val="00F50250"/>
    <w:rsid w:val="00F507C6"/>
    <w:rsid w:val="00F5097C"/>
    <w:rsid w:val="00F50A08"/>
    <w:rsid w:val="00F50F0F"/>
    <w:rsid w:val="00F50FD5"/>
    <w:rsid w:val="00F5103A"/>
    <w:rsid w:val="00F5145B"/>
    <w:rsid w:val="00F518A9"/>
    <w:rsid w:val="00F51A64"/>
    <w:rsid w:val="00F523D5"/>
    <w:rsid w:val="00F5268D"/>
    <w:rsid w:val="00F5281C"/>
    <w:rsid w:val="00F52974"/>
    <w:rsid w:val="00F52A3B"/>
    <w:rsid w:val="00F52DF1"/>
    <w:rsid w:val="00F53091"/>
    <w:rsid w:val="00F53868"/>
    <w:rsid w:val="00F53BF2"/>
    <w:rsid w:val="00F53E3F"/>
    <w:rsid w:val="00F549AC"/>
    <w:rsid w:val="00F54A15"/>
    <w:rsid w:val="00F5504C"/>
    <w:rsid w:val="00F557A6"/>
    <w:rsid w:val="00F55BD3"/>
    <w:rsid w:val="00F55D6C"/>
    <w:rsid w:val="00F564AE"/>
    <w:rsid w:val="00F56679"/>
    <w:rsid w:val="00F56AE4"/>
    <w:rsid w:val="00F56DA0"/>
    <w:rsid w:val="00F56FBE"/>
    <w:rsid w:val="00F575B9"/>
    <w:rsid w:val="00F579AB"/>
    <w:rsid w:val="00F57EFF"/>
    <w:rsid w:val="00F57F4B"/>
    <w:rsid w:val="00F6039F"/>
    <w:rsid w:val="00F606C0"/>
    <w:rsid w:val="00F60979"/>
    <w:rsid w:val="00F609E8"/>
    <w:rsid w:val="00F6110A"/>
    <w:rsid w:val="00F61618"/>
    <w:rsid w:val="00F619D1"/>
    <w:rsid w:val="00F61A92"/>
    <w:rsid w:val="00F62042"/>
    <w:rsid w:val="00F622EB"/>
    <w:rsid w:val="00F624DD"/>
    <w:rsid w:val="00F62975"/>
    <w:rsid w:val="00F62A3C"/>
    <w:rsid w:val="00F62C02"/>
    <w:rsid w:val="00F62C11"/>
    <w:rsid w:val="00F62CB1"/>
    <w:rsid w:val="00F62D66"/>
    <w:rsid w:val="00F62F58"/>
    <w:rsid w:val="00F636B7"/>
    <w:rsid w:val="00F63D12"/>
    <w:rsid w:val="00F64271"/>
    <w:rsid w:val="00F6450E"/>
    <w:rsid w:val="00F65040"/>
    <w:rsid w:val="00F652C0"/>
    <w:rsid w:val="00F652F5"/>
    <w:rsid w:val="00F65B14"/>
    <w:rsid w:val="00F65CD9"/>
    <w:rsid w:val="00F65D76"/>
    <w:rsid w:val="00F66804"/>
    <w:rsid w:val="00F669E2"/>
    <w:rsid w:val="00F67A9C"/>
    <w:rsid w:val="00F67E8C"/>
    <w:rsid w:val="00F70D5B"/>
    <w:rsid w:val="00F721EC"/>
    <w:rsid w:val="00F728BF"/>
    <w:rsid w:val="00F7291C"/>
    <w:rsid w:val="00F72C58"/>
    <w:rsid w:val="00F730D2"/>
    <w:rsid w:val="00F73166"/>
    <w:rsid w:val="00F73848"/>
    <w:rsid w:val="00F73CC1"/>
    <w:rsid w:val="00F74275"/>
    <w:rsid w:val="00F74489"/>
    <w:rsid w:val="00F75443"/>
    <w:rsid w:val="00F754D7"/>
    <w:rsid w:val="00F75A99"/>
    <w:rsid w:val="00F75E8A"/>
    <w:rsid w:val="00F75F85"/>
    <w:rsid w:val="00F76529"/>
    <w:rsid w:val="00F76FFA"/>
    <w:rsid w:val="00F77836"/>
    <w:rsid w:val="00F77993"/>
    <w:rsid w:val="00F800BE"/>
    <w:rsid w:val="00F80163"/>
    <w:rsid w:val="00F8037F"/>
    <w:rsid w:val="00F803EC"/>
    <w:rsid w:val="00F8116C"/>
    <w:rsid w:val="00F81304"/>
    <w:rsid w:val="00F81446"/>
    <w:rsid w:val="00F814DD"/>
    <w:rsid w:val="00F818CD"/>
    <w:rsid w:val="00F81B0D"/>
    <w:rsid w:val="00F81CC6"/>
    <w:rsid w:val="00F821EE"/>
    <w:rsid w:val="00F822EC"/>
    <w:rsid w:val="00F8231A"/>
    <w:rsid w:val="00F82442"/>
    <w:rsid w:val="00F8296A"/>
    <w:rsid w:val="00F82FFE"/>
    <w:rsid w:val="00F832D9"/>
    <w:rsid w:val="00F837AD"/>
    <w:rsid w:val="00F8388E"/>
    <w:rsid w:val="00F8389D"/>
    <w:rsid w:val="00F83A9E"/>
    <w:rsid w:val="00F83C59"/>
    <w:rsid w:val="00F84032"/>
    <w:rsid w:val="00F84561"/>
    <w:rsid w:val="00F8496A"/>
    <w:rsid w:val="00F84D6A"/>
    <w:rsid w:val="00F85008"/>
    <w:rsid w:val="00F8579C"/>
    <w:rsid w:val="00F85E6E"/>
    <w:rsid w:val="00F85E90"/>
    <w:rsid w:val="00F86165"/>
    <w:rsid w:val="00F865A9"/>
    <w:rsid w:val="00F86B25"/>
    <w:rsid w:val="00F86CC5"/>
    <w:rsid w:val="00F873BF"/>
    <w:rsid w:val="00F877F5"/>
    <w:rsid w:val="00F90028"/>
    <w:rsid w:val="00F9106F"/>
    <w:rsid w:val="00F917DA"/>
    <w:rsid w:val="00F91809"/>
    <w:rsid w:val="00F91CFB"/>
    <w:rsid w:val="00F91DF5"/>
    <w:rsid w:val="00F91EF2"/>
    <w:rsid w:val="00F91F57"/>
    <w:rsid w:val="00F92DB2"/>
    <w:rsid w:val="00F92E5C"/>
    <w:rsid w:val="00F936E0"/>
    <w:rsid w:val="00F938B7"/>
    <w:rsid w:val="00F938BE"/>
    <w:rsid w:val="00F93BC4"/>
    <w:rsid w:val="00F93BE3"/>
    <w:rsid w:val="00F93D7E"/>
    <w:rsid w:val="00F93F08"/>
    <w:rsid w:val="00F93F21"/>
    <w:rsid w:val="00F940D4"/>
    <w:rsid w:val="00F94367"/>
    <w:rsid w:val="00F94476"/>
    <w:rsid w:val="00F94A58"/>
    <w:rsid w:val="00F94C93"/>
    <w:rsid w:val="00F95094"/>
    <w:rsid w:val="00F950A4"/>
    <w:rsid w:val="00F950C7"/>
    <w:rsid w:val="00F9523E"/>
    <w:rsid w:val="00F95597"/>
    <w:rsid w:val="00F95A4A"/>
    <w:rsid w:val="00F95CC9"/>
    <w:rsid w:val="00F964E5"/>
    <w:rsid w:val="00F977E4"/>
    <w:rsid w:val="00F9792D"/>
    <w:rsid w:val="00F97951"/>
    <w:rsid w:val="00F97E3F"/>
    <w:rsid w:val="00FA00A4"/>
    <w:rsid w:val="00FA00BB"/>
    <w:rsid w:val="00FA0596"/>
    <w:rsid w:val="00FA0D75"/>
    <w:rsid w:val="00FA0D7C"/>
    <w:rsid w:val="00FA0DAF"/>
    <w:rsid w:val="00FA1559"/>
    <w:rsid w:val="00FA156C"/>
    <w:rsid w:val="00FA1763"/>
    <w:rsid w:val="00FA1812"/>
    <w:rsid w:val="00FA1B8F"/>
    <w:rsid w:val="00FA1CF9"/>
    <w:rsid w:val="00FA1E38"/>
    <w:rsid w:val="00FA1F52"/>
    <w:rsid w:val="00FA22DF"/>
    <w:rsid w:val="00FA2614"/>
    <w:rsid w:val="00FA2C6A"/>
    <w:rsid w:val="00FA2E6C"/>
    <w:rsid w:val="00FA3C86"/>
    <w:rsid w:val="00FA443C"/>
    <w:rsid w:val="00FA47ED"/>
    <w:rsid w:val="00FA488C"/>
    <w:rsid w:val="00FA49C8"/>
    <w:rsid w:val="00FA4C4F"/>
    <w:rsid w:val="00FA5096"/>
    <w:rsid w:val="00FA50F1"/>
    <w:rsid w:val="00FA5517"/>
    <w:rsid w:val="00FA557C"/>
    <w:rsid w:val="00FA577F"/>
    <w:rsid w:val="00FA6520"/>
    <w:rsid w:val="00FA666A"/>
    <w:rsid w:val="00FA6726"/>
    <w:rsid w:val="00FA6C74"/>
    <w:rsid w:val="00FA7575"/>
    <w:rsid w:val="00FA75A8"/>
    <w:rsid w:val="00FA76A1"/>
    <w:rsid w:val="00FA7755"/>
    <w:rsid w:val="00FA7AAE"/>
    <w:rsid w:val="00FA7C57"/>
    <w:rsid w:val="00FA7E8C"/>
    <w:rsid w:val="00FB026D"/>
    <w:rsid w:val="00FB0A94"/>
    <w:rsid w:val="00FB0AB3"/>
    <w:rsid w:val="00FB0CAB"/>
    <w:rsid w:val="00FB16F2"/>
    <w:rsid w:val="00FB1B5D"/>
    <w:rsid w:val="00FB1DF7"/>
    <w:rsid w:val="00FB1E4F"/>
    <w:rsid w:val="00FB1E9B"/>
    <w:rsid w:val="00FB1ECD"/>
    <w:rsid w:val="00FB202A"/>
    <w:rsid w:val="00FB2188"/>
    <w:rsid w:val="00FB23D0"/>
    <w:rsid w:val="00FB23DA"/>
    <w:rsid w:val="00FB2665"/>
    <w:rsid w:val="00FB293B"/>
    <w:rsid w:val="00FB29EA"/>
    <w:rsid w:val="00FB29FD"/>
    <w:rsid w:val="00FB2CDE"/>
    <w:rsid w:val="00FB33F4"/>
    <w:rsid w:val="00FB3F43"/>
    <w:rsid w:val="00FB4044"/>
    <w:rsid w:val="00FB405D"/>
    <w:rsid w:val="00FB42A4"/>
    <w:rsid w:val="00FB445D"/>
    <w:rsid w:val="00FB4949"/>
    <w:rsid w:val="00FB4AFB"/>
    <w:rsid w:val="00FB4C6C"/>
    <w:rsid w:val="00FB4FE3"/>
    <w:rsid w:val="00FB54A2"/>
    <w:rsid w:val="00FB5848"/>
    <w:rsid w:val="00FB5862"/>
    <w:rsid w:val="00FB5BEC"/>
    <w:rsid w:val="00FB63C8"/>
    <w:rsid w:val="00FB63FA"/>
    <w:rsid w:val="00FB67B9"/>
    <w:rsid w:val="00FB6B5A"/>
    <w:rsid w:val="00FB6B8B"/>
    <w:rsid w:val="00FB6E9A"/>
    <w:rsid w:val="00FB72E0"/>
    <w:rsid w:val="00FB7508"/>
    <w:rsid w:val="00FB7680"/>
    <w:rsid w:val="00FB78C5"/>
    <w:rsid w:val="00FC0787"/>
    <w:rsid w:val="00FC09EE"/>
    <w:rsid w:val="00FC0A53"/>
    <w:rsid w:val="00FC0AD2"/>
    <w:rsid w:val="00FC0D10"/>
    <w:rsid w:val="00FC1230"/>
    <w:rsid w:val="00FC13D2"/>
    <w:rsid w:val="00FC13E3"/>
    <w:rsid w:val="00FC154D"/>
    <w:rsid w:val="00FC1821"/>
    <w:rsid w:val="00FC1912"/>
    <w:rsid w:val="00FC208B"/>
    <w:rsid w:val="00FC25AC"/>
    <w:rsid w:val="00FC25B8"/>
    <w:rsid w:val="00FC26B3"/>
    <w:rsid w:val="00FC2B0C"/>
    <w:rsid w:val="00FC30EC"/>
    <w:rsid w:val="00FC338E"/>
    <w:rsid w:val="00FC3437"/>
    <w:rsid w:val="00FC3698"/>
    <w:rsid w:val="00FC3768"/>
    <w:rsid w:val="00FC384E"/>
    <w:rsid w:val="00FC3D2B"/>
    <w:rsid w:val="00FC3E1F"/>
    <w:rsid w:val="00FC4C40"/>
    <w:rsid w:val="00FC4C62"/>
    <w:rsid w:val="00FC4EE3"/>
    <w:rsid w:val="00FC4F5C"/>
    <w:rsid w:val="00FC511A"/>
    <w:rsid w:val="00FC5273"/>
    <w:rsid w:val="00FC54C0"/>
    <w:rsid w:val="00FC55DB"/>
    <w:rsid w:val="00FC5920"/>
    <w:rsid w:val="00FC5EB3"/>
    <w:rsid w:val="00FC5EDE"/>
    <w:rsid w:val="00FC60A4"/>
    <w:rsid w:val="00FC60FE"/>
    <w:rsid w:val="00FC6BAB"/>
    <w:rsid w:val="00FC6C3D"/>
    <w:rsid w:val="00FC6D41"/>
    <w:rsid w:val="00FC6E15"/>
    <w:rsid w:val="00FC7533"/>
    <w:rsid w:val="00FC782C"/>
    <w:rsid w:val="00FD03CB"/>
    <w:rsid w:val="00FD047A"/>
    <w:rsid w:val="00FD083A"/>
    <w:rsid w:val="00FD0B30"/>
    <w:rsid w:val="00FD0B9D"/>
    <w:rsid w:val="00FD0E43"/>
    <w:rsid w:val="00FD0FF4"/>
    <w:rsid w:val="00FD1170"/>
    <w:rsid w:val="00FD1375"/>
    <w:rsid w:val="00FD23B3"/>
    <w:rsid w:val="00FD2555"/>
    <w:rsid w:val="00FD270A"/>
    <w:rsid w:val="00FD306B"/>
    <w:rsid w:val="00FD3106"/>
    <w:rsid w:val="00FD3628"/>
    <w:rsid w:val="00FD3642"/>
    <w:rsid w:val="00FD3AB8"/>
    <w:rsid w:val="00FD3F12"/>
    <w:rsid w:val="00FD4027"/>
    <w:rsid w:val="00FD4180"/>
    <w:rsid w:val="00FD421E"/>
    <w:rsid w:val="00FD4365"/>
    <w:rsid w:val="00FD4A5C"/>
    <w:rsid w:val="00FD4E64"/>
    <w:rsid w:val="00FD5054"/>
    <w:rsid w:val="00FD50B7"/>
    <w:rsid w:val="00FD544D"/>
    <w:rsid w:val="00FD5756"/>
    <w:rsid w:val="00FD5B8E"/>
    <w:rsid w:val="00FD5B95"/>
    <w:rsid w:val="00FD5EF7"/>
    <w:rsid w:val="00FD61BC"/>
    <w:rsid w:val="00FD6DEE"/>
    <w:rsid w:val="00FD72C4"/>
    <w:rsid w:val="00FD74C3"/>
    <w:rsid w:val="00FD7635"/>
    <w:rsid w:val="00FD7685"/>
    <w:rsid w:val="00FE0060"/>
    <w:rsid w:val="00FE016B"/>
    <w:rsid w:val="00FE0C38"/>
    <w:rsid w:val="00FE10C2"/>
    <w:rsid w:val="00FE1599"/>
    <w:rsid w:val="00FE1783"/>
    <w:rsid w:val="00FE1AD7"/>
    <w:rsid w:val="00FE1D70"/>
    <w:rsid w:val="00FE1EB8"/>
    <w:rsid w:val="00FE1FE4"/>
    <w:rsid w:val="00FE215A"/>
    <w:rsid w:val="00FE2175"/>
    <w:rsid w:val="00FE23C6"/>
    <w:rsid w:val="00FE2980"/>
    <w:rsid w:val="00FE2B7C"/>
    <w:rsid w:val="00FE3B85"/>
    <w:rsid w:val="00FE3CAF"/>
    <w:rsid w:val="00FE3CEF"/>
    <w:rsid w:val="00FE3D1B"/>
    <w:rsid w:val="00FE3F58"/>
    <w:rsid w:val="00FE4101"/>
    <w:rsid w:val="00FE411C"/>
    <w:rsid w:val="00FE4473"/>
    <w:rsid w:val="00FE4669"/>
    <w:rsid w:val="00FE4CB9"/>
    <w:rsid w:val="00FE5152"/>
    <w:rsid w:val="00FE5332"/>
    <w:rsid w:val="00FE551A"/>
    <w:rsid w:val="00FE5963"/>
    <w:rsid w:val="00FE5F92"/>
    <w:rsid w:val="00FE62B6"/>
    <w:rsid w:val="00FE64AA"/>
    <w:rsid w:val="00FE6AC0"/>
    <w:rsid w:val="00FE6B34"/>
    <w:rsid w:val="00FE718C"/>
    <w:rsid w:val="00FE74DF"/>
    <w:rsid w:val="00FE766E"/>
    <w:rsid w:val="00FE775B"/>
    <w:rsid w:val="00FF0008"/>
    <w:rsid w:val="00FF058A"/>
    <w:rsid w:val="00FF06E8"/>
    <w:rsid w:val="00FF0755"/>
    <w:rsid w:val="00FF07D7"/>
    <w:rsid w:val="00FF0B0A"/>
    <w:rsid w:val="00FF0BB9"/>
    <w:rsid w:val="00FF108D"/>
    <w:rsid w:val="00FF113B"/>
    <w:rsid w:val="00FF1A9A"/>
    <w:rsid w:val="00FF1BDC"/>
    <w:rsid w:val="00FF1CBE"/>
    <w:rsid w:val="00FF1FD7"/>
    <w:rsid w:val="00FF21D3"/>
    <w:rsid w:val="00FF257E"/>
    <w:rsid w:val="00FF305E"/>
    <w:rsid w:val="00FF34D9"/>
    <w:rsid w:val="00FF38CF"/>
    <w:rsid w:val="00FF3FAE"/>
    <w:rsid w:val="00FF443C"/>
    <w:rsid w:val="00FF4749"/>
    <w:rsid w:val="00FF4BAE"/>
    <w:rsid w:val="00FF4C7C"/>
    <w:rsid w:val="00FF4DA9"/>
    <w:rsid w:val="00FF4F93"/>
    <w:rsid w:val="00FF55CF"/>
    <w:rsid w:val="00FF5731"/>
    <w:rsid w:val="00FF575C"/>
    <w:rsid w:val="00FF5F39"/>
    <w:rsid w:val="00FF61B4"/>
    <w:rsid w:val="00FF638C"/>
    <w:rsid w:val="00FF721B"/>
    <w:rsid w:val="00FF79DE"/>
    <w:rsid w:val="00FF7AE3"/>
    <w:rsid w:val="090507DD"/>
    <w:rsid w:val="09B64FA6"/>
    <w:rsid w:val="26105128"/>
    <w:rsid w:val="2E6123A8"/>
    <w:rsid w:val="36E07564"/>
    <w:rsid w:val="39584806"/>
    <w:rsid w:val="3DFE250A"/>
    <w:rsid w:val="428D626C"/>
    <w:rsid w:val="504D67D8"/>
    <w:rsid w:val="518B11A4"/>
    <w:rsid w:val="548E78B5"/>
    <w:rsid w:val="5B307618"/>
    <w:rsid w:val="60697C0D"/>
    <w:rsid w:val="63360B5E"/>
    <w:rsid w:val="70750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qFormat="1" w:unhideWhenUsed="0"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jc w:val="center"/>
      <w:outlineLvl w:val="0"/>
    </w:pPr>
    <w:rPr>
      <w:rFonts w:eastAsia="黑体"/>
      <w:sz w:val="32"/>
    </w:rPr>
  </w:style>
  <w:style w:type="paragraph" w:styleId="4">
    <w:name w:val="heading 2"/>
    <w:basedOn w:val="1"/>
    <w:next w:val="1"/>
    <w:link w:val="51"/>
    <w:qFormat/>
    <w:uiPriority w:val="0"/>
    <w:pPr>
      <w:keepNext/>
      <w:keepLines/>
      <w:spacing w:before="260" w:after="260" w:line="416" w:lineRule="auto"/>
      <w:outlineLvl w:val="1"/>
    </w:pPr>
    <w:rPr>
      <w:rFonts w:ascii="Arial" w:hAnsi="Arial" w:eastAsia="楷体_GB2312"/>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spacing w:before="280" w:after="290" w:line="376" w:lineRule="auto"/>
      <w:outlineLvl w:val="4"/>
    </w:pPr>
    <w:rPr>
      <w:b/>
      <w:bCs/>
      <w:sz w:val="28"/>
      <w:szCs w:val="28"/>
    </w:rPr>
  </w:style>
  <w:style w:type="paragraph" w:styleId="8">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kern w:val="0"/>
      <w:sz w:val="24"/>
      <w:szCs w:val="20"/>
    </w:rPr>
  </w:style>
  <w:style w:type="paragraph" w:styleId="9">
    <w:name w:val="heading 7"/>
    <w:basedOn w:val="1"/>
    <w:next w:val="1"/>
    <w:link w:val="56"/>
    <w:qFormat/>
    <w:uiPriority w:val="0"/>
    <w:pPr>
      <w:keepNext/>
      <w:keepLines/>
      <w:spacing w:before="240" w:after="64" w:line="320" w:lineRule="auto"/>
      <w:outlineLvl w:val="6"/>
    </w:pPr>
    <w:rPr>
      <w:b/>
      <w:bCs/>
      <w:sz w:val="24"/>
    </w:rPr>
  </w:style>
  <w:style w:type="paragraph" w:styleId="10">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0"/>
    </w:rPr>
  </w:style>
  <w:style w:type="paragraph" w:styleId="11">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4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Normal Indent"/>
    <w:basedOn w:val="1"/>
    <w:qFormat/>
    <w:uiPriority w:val="0"/>
    <w:pPr>
      <w:adjustRightInd w:val="0"/>
      <w:spacing w:line="360" w:lineRule="atLeast"/>
      <w:ind w:firstLine="420"/>
      <w:jc w:val="left"/>
    </w:pPr>
    <w:rPr>
      <w:rFonts w:hint="eastAsia" w:ascii="仿宋体"/>
      <w:kern w:val="0"/>
      <w:sz w:val="28"/>
      <w:szCs w:val="20"/>
    </w:rPr>
  </w:style>
  <w:style w:type="paragraph" w:styleId="14">
    <w:name w:val="Document Map"/>
    <w:basedOn w:val="1"/>
    <w:qFormat/>
    <w:uiPriority w:val="0"/>
    <w:pPr>
      <w:shd w:val="clear" w:color="auto" w:fill="000080"/>
    </w:pPr>
  </w:style>
  <w:style w:type="paragraph" w:styleId="15">
    <w:name w:val="toa heading"/>
    <w:basedOn w:val="1"/>
    <w:next w:val="1"/>
    <w:semiHidden/>
    <w:qFormat/>
    <w:uiPriority w:val="0"/>
    <w:pPr>
      <w:spacing w:before="120"/>
    </w:pPr>
    <w:rPr>
      <w:rFonts w:ascii="Arial" w:hAnsi="Arial" w:cs="Arial"/>
      <w:sz w:val="24"/>
    </w:rPr>
  </w:style>
  <w:style w:type="paragraph" w:styleId="16">
    <w:name w:val="annotation text"/>
    <w:basedOn w:val="1"/>
    <w:link w:val="59"/>
    <w:qFormat/>
    <w:uiPriority w:val="0"/>
    <w:pPr>
      <w:jc w:val="left"/>
    </w:pPr>
  </w:style>
  <w:style w:type="paragraph" w:styleId="17">
    <w:name w:val="Body Text 3"/>
    <w:basedOn w:val="1"/>
    <w:link w:val="60"/>
    <w:qFormat/>
    <w:uiPriority w:val="0"/>
    <w:pPr>
      <w:spacing w:line="360" w:lineRule="exact"/>
    </w:pPr>
    <w:rPr>
      <w:sz w:val="24"/>
    </w:rPr>
  </w:style>
  <w:style w:type="paragraph" w:styleId="18">
    <w:name w:val="Body Text"/>
    <w:basedOn w:val="1"/>
    <w:qFormat/>
    <w:uiPriority w:val="0"/>
    <w:pPr>
      <w:spacing w:line="560" w:lineRule="exact"/>
    </w:pPr>
    <w:rPr>
      <w:sz w:val="28"/>
    </w:rPr>
  </w:style>
  <w:style w:type="paragraph" w:styleId="19">
    <w:name w:val="Body Text Indent"/>
    <w:basedOn w:val="1"/>
    <w:link w:val="61"/>
    <w:qFormat/>
    <w:uiPriority w:val="0"/>
    <w:pPr>
      <w:ind w:firstLine="560" w:firstLineChars="200"/>
      <w:jc w:val="left"/>
    </w:pPr>
    <w:rPr>
      <w:rFonts w:ascii="宋体" w:hAnsi="宋体"/>
      <w:sz w:val="28"/>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62"/>
    <w:qFormat/>
    <w:uiPriority w:val="0"/>
    <w:rPr>
      <w:rFonts w:ascii="宋体" w:hAnsi="Courier New"/>
      <w:szCs w:val="21"/>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spacing w:line="540" w:lineRule="exact"/>
      <w:ind w:firstLine="560" w:firstLineChars="200"/>
    </w:pPr>
    <w:rPr>
      <w:rFonts w:ascii="宋体" w:hAnsi="宋体"/>
      <w:sz w:val="28"/>
    </w:rPr>
  </w:style>
  <w:style w:type="paragraph" w:styleId="26">
    <w:name w:val="Balloon Text"/>
    <w:basedOn w:val="1"/>
    <w:semiHidden/>
    <w:qFormat/>
    <w:uiPriority w:val="0"/>
    <w:rPr>
      <w:sz w:val="18"/>
      <w:szCs w:val="18"/>
    </w:rPr>
  </w:style>
  <w:style w:type="paragraph" w:styleId="27">
    <w:name w:val="footer"/>
    <w:basedOn w:val="1"/>
    <w:link w:val="65"/>
    <w:qFormat/>
    <w:uiPriority w:val="99"/>
    <w:pPr>
      <w:tabs>
        <w:tab w:val="center" w:pos="4153"/>
        <w:tab w:val="right" w:pos="8306"/>
      </w:tabs>
      <w:snapToGrid w:val="0"/>
      <w:jc w:val="left"/>
    </w:pPr>
    <w:rPr>
      <w:sz w:val="18"/>
      <w:szCs w:val="18"/>
    </w:rPr>
  </w:style>
  <w:style w:type="paragraph" w:styleId="28">
    <w:name w:val="header"/>
    <w:basedOn w:val="1"/>
    <w:link w:val="66"/>
    <w:qFormat/>
    <w:uiPriority w:val="0"/>
    <w:pPr>
      <w:tabs>
        <w:tab w:val="center" w:pos="3150"/>
        <w:tab w:val="center" w:pos="4153"/>
        <w:tab w:val="right" w:pos="8306"/>
      </w:tabs>
      <w:snapToGrid w:val="0"/>
      <w:spacing w:line="100" w:lineRule="atLeast"/>
      <w:jc w:val="center"/>
    </w:pPr>
    <w:rPr>
      <w:sz w:val="18"/>
      <w:szCs w:val="18"/>
    </w:rPr>
  </w:style>
  <w:style w:type="paragraph" w:styleId="29">
    <w:name w:val="toc 1"/>
    <w:basedOn w:val="1"/>
    <w:next w:val="1"/>
    <w:qFormat/>
    <w:uiPriority w:val="39"/>
    <w:pPr>
      <w:tabs>
        <w:tab w:val="right" w:leader="dot" w:pos="9174"/>
      </w:tabs>
      <w:spacing w:before="120" w:after="120" w:line="500" w:lineRule="exact"/>
      <w:jc w:val="left"/>
    </w:pPr>
    <w:rPr>
      <w:rFonts w:ascii="楷体_GB2312" w:hAnsi="宋体" w:eastAsia="楷体_GB2312"/>
      <w:bCs/>
      <w:caps/>
      <w:sz w:val="24"/>
    </w:rPr>
  </w:style>
  <w:style w:type="paragraph" w:styleId="30">
    <w:name w:val="toc 4"/>
    <w:basedOn w:val="1"/>
    <w:next w:val="1"/>
    <w:qFormat/>
    <w:uiPriority w:val="39"/>
    <w:pPr>
      <w:ind w:left="630"/>
      <w:jc w:val="left"/>
    </w:pPr>
    <w:rPr>
      <w:sz w:val="18"/>
      <w:szCs w:val="18"/>
    </w:rPr>
  </w:style>
  <w:style w:type="paragraph" w:styleId="31">
    <w:name w:val="toc 6"/>
    <w:basedOn w:val="1"/>
    <w:next w:val="1"/>
    <w:qFormat/>
    <w:uiPriority w:val="39"/>
    <w:pPr>
      <w:ind w:left="1050"/>
      <w:jc w:val="left"/>
    </w:pPr>
    <w:rPr>
      <w:sz w:val="18"/>
      <w:szCs w:val="18"/>
    </w:rPr>
  </w:style>
  <w:style w:type="paragraph" w:styleId="32">
    <w:name w:val="Body Text Indent 3"/>
    <w:basedOn w:val="1"/>
    <w:link w:val="67"/>
    <w:qFormat/>
    <w:uiPriority w:val="0"/>
    <w:pPr>
      <w:spacing w:line="400" w:lineRule="exact"/>
      <w:ind w:firstLine="420" w:firstLineChars="200"/>
    </w:pPr>
    <w:rPr>
      <w:rFonts w:ascii="宋体" w:hAnsi="宋体"/>
    </w:rPr>
  </w:style>
  <w:style w:type="paragraph" w:styleId="33">
    <w:name w:val="toc 2"/>
    <w:basedOn w:val="1"/>
    <w:next w:val="1"/>
    <w:qFormat/>
    <w:uiPriority w:val="39"/>
    <w:pPr>
      <w:ind w:left="210"/>
      <w:jc w:val="left"/>
    </w:pPr>
    <w:rPr>
      <w:smallCaps/>
      <w:sz w:val="20"/>
      <w:szCs w:val="20"/>
    </w:rPr>
  </w:style>
  <w:style w:type="paragraph" w:styleId="34">
    <w:name w:val="toc 9"/>
    <w:basedOn w:val="1"/>
    <w:next w:val="1"/>
    <w:qFormat/>
    <w:uiPriority w:val="39"/>
    <w:pPr>
      <w:ind w:left="1680"/>
      <w:jc w:val="left"/>
    </w:pPr>
    <w:rPr>
      <w:sz w:val="18"/>
      <w:szCs w:val="18"/>
    </w:rPr>
  </w:style>
  <w:style w:type="paragraph" w:styleId="35">
    <w:name w:val="Body Text 2"/>
    <w:basedOn w:val="1"/>
    <w:link w:val="68"/>
    <w:qFormat/>
    <w:uiPriority w:val="0"/>
    <w:rPr>
      <w:b/>
      <w:bCs/>
      <w:sz w:val="28"/>
    </w:rPr>
  </w:style>
  <w:style w:type="paragraph" w:styleId="36">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7">
    <w:name w:val="Normal (Web)"/>
    <w:basedOn w:val="1"/>
    <w:qFormat/>
    <w:uiPriority w:val="0"/>
    <w:pPr>
      <w:widowControl/>
      <w:spacing w:before="100" w:beforeAutospacing="1" w:after="100" w:afterAutospacing="1"/>
      <w:jc w:val="left"/>
    </w:pPr>
    <w:rPr>
      <w:rFonts w:ascii="宋体" w:hAnsi="宋体"/>
      <w:kern w:val="0"/>
      <w:sz w:val="24"/>
    </w:rPr>
  </w:style>
  <w:style w:type="paragraph" w:styleId="38">
    <w:name w:val="Title"/>
    <w:basedOn w:val="1"/>
    <w:qFormat/>
    <w:uiPriority w:val="0"/>
    <w:pPr>
      <w:spacing w:before="240" w:after="60"/>
      <w:jc w:val="center"/>
      <w:outlineLvl w:val="0"/>
    </w:pPr>
    <w:rPr>
      <w:rFonts w:ascii="Arial" w:hAnsi="Arial" w:eastAsia="黑体" w:cs="Arial"/>
      <w:b/>
      <w:bCs/>
      <w:sz w:val="44"/>
      <w:szCs w:val="32"/>
    </w:rPr>
  </w:style>
  <w:style w:type="paragraph" w:styleId="39">
    <w:name w:val="annotation subject"/>
    <w:basedOn w:val="16"/>
    <w:next w:val="16"/>
    <w:link w:val="70"/>
    <w:qFormat/>
    <w:uiPriority w:val="0"/>
    <w:rPr>
      <w:b/>
      <w:bCs/>
    </w:rPr>
  </w:style>
  <w:style w:type="paragraph" w:styleId="40">
    <w:name w:val="Body Text First Indent"/>
    <w:basedOn w:val="18"/>
    <w:qFormat/>
    <w:uiPriority w:val="0"/>
    <w:pPr>
      <w:spacing w:after="120" w:line="240" w:lineRule="auto"/>
      <w:ind w:firstLine="420" w:firstLineChars="100"/>
    </w:pPr>
    <w:rPr>
      <w:sz w:val="21"/>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宏文本 字符"/>
    <w:link w:val="2"/>
    <w:qFormat/>
    <w:uiPriority w:val="0"/>
    <w:rPr>
      <w:rFonts w:ascii="Courier New" w:hAnsi="Courier New" w:cs="Courier New"/>
      <w:kern w:val="2"/>
      <w:sz w:val="24"/>
      <w:szCs w:val="24"/>
      <w:lang w:val="en-US" w:eastAsia="zh-CN" w:bidi="ar-SA"/>
    </w:rPr>
  </w:style>
  <w:style w:type="character" w:customStyle="1" w:styleId="50">
    <w:name w:val="标题 1 字符"/>
    <w:link w:val="3"/>
    <w:qFormat/>
    <w:uiPriority w:val="0"/>
    <w:rPr>
      <w:rFonts w:eastAsia="黑体"/>
      <w:kern w:val="2"/>
      <w:sz w:val="32"/>
      <w:szCs w:val="24"/>
    </w:rPr>
  </w:style>
  <w:style w:type="character" w:customStyle="1" w:styleId="51">
    <w:name w:val="标题 2 字符"/>
    <w:link w:val="4"/>
    <w:qFormat/>
    <w:uiPriority w:val="0"/>
    <w:rPr>
      <w:rFonts w:ascii="Arial" w:hAnsi="Arial" w:eastAsia="楷体_GB2312"/>
      <w:bCs/>
      <w:kern w:val="2"/>
      <w:sz w:val="32"/>
      <w:szCs w:val="32"/>
    </w:rPr>
  </w:style>
  <w:style w:type="character" w:customStyle="1" w:styleId="52">
    <w:name w:val="标题 3 字符"/>
    <w:link w:val="5"/>
    <w:qFormat/>
    <w:uiPriority w:val="0"/>
    <w:rPr>
      <w:b/>
      <w:bCs/>
      <w:kern w:val="2"/>
      <w:sz w:val="32"/>
      <w:szCs w:val="32"/>
    </w:rPr>
  </w:style>
  <w:style w:type="character" w:customStyle="1" w:styleId="53">
    <w:name w:val="标题 4 字符"/>
    <w:link w:val="6"/>
    <w:qFormat/>
    <w:uiPriority w:val="0"/>
    <w:rPr>
      <w:rFonts w:ascii="Arial" w:hAnsi="Arial" w:eastAsia="黑体"/>
      <w:b/>
      <w:bCs/>
      <w:kern w:val="2"/>
      <w:sz w:val="28"/>
      <w:szCs w:val="28"/>
    </w:rPr>
  </w:style>
  <w:style w:type="character" w:customStyle="1" w:styleId="54">
    <w:name w:val="标题 5 字符"/>
    <w:link w:val="7"/>
    <w:qFormat/>
    <w:uiPriority w:val="0"/>
    <w:rPr>
      <w:b/>
      <w:bCs/>
      <w:kern w:val="2"/>
      <w:sz w:val="28"/>
      <w:szCs w:val="28"/>
    </w:rPr>
  </w:style>
  <w:style w:type="character" w:customStyle="1" w:styleId="55">
    <w:name w:val="标题 6 字符"/>
    <w:link w:val="8"/>
    <w:qFormat/>
    <w:uiPriority w:val="0"/>
    <w:rPr>
      <w:rFonts w:ascii="Arial" w:hAnsi="Arial" w:eastAsia="黑体"/>
      <w:b/>
      <w:sz w:val="24"/>
    </w:rPr>
  </w:style>
  <w:style w:type="character" w:customStyle="1" w:styleId="56">
    <w:name w:val="标题 7 字符"/>
    <w:link w:val="9"/>
    <w:qFormat/>
    <w:uiPriority w:val="0"/>
    <w:rPr>
      <w:b/>
      <w:bCs/>
      <w:kern w:val="2"/>
      <w:sz w:val="24"/>
      <w:szCs w:val="24"/>
    </w:rPr>
  </w:style>
  <w:style w:type="character" w:customStyle="1" w:styleId="57">
    <w:name w:val="标题 8 字符"/>
    <w:link w:val="10"/>
    <w:qFormat/>
    <w:uiPriority w:val="0"/>
    <w:rPr>
      <w:rFonts w:ascii="Arial" w:hAnsi="Arial" w:eastAsia="黑体"/>
      <w:sz w:val="24"/>
    </w:rPr>
  </w:style>
  <w:style w:type="character" w:customStyle="1" w:styleId="58">
    <w:name w:val="标题 9 字符"/>
    <w:link w:val="11"/>
    <w:qFormat/>
    <w:uiPriority w:val="0"/>
    <w:rPr>
      <w:rFonts w:ascii="Arial" w:hAnsi="Arial" w:eastAsia="黑体"/>
      <w:sz w:val="24"/>
    </w:rPr>
  </w:style>
  <w:style w:type="character" w:customStyle="1" w:styleId="59">
    <w:name w:val="批注文字 字符"/>
    <w:link w:val="16"/>
    <w:qFormat/>
    <w:uiPriority w:val="0"/>
    <w:rPr>
      <w:kern w:val="2"/>
      <w:sz w:val="21"/>
      <w:szCs w:val="24"/>
    </w:rPr>
  </w:style>
  <w:style w:type="character" w:customStyle="1" w:styleId="60">
    <w:name w:val="正文文本 3 字符"/>
    <w:link w:val="17"/>
    <w:qFormat/>
    <w:uiPriority w:val="0"/>
    <w:rPr>
      <w:kern w:val="2"/>
      <w:sz w:val="24"/>
      <w:szCs w:val="24"/>
    </w:rPr>
  </w:style>
  <w:style w:type="character" w:customStyle="1" w:styleId="61">
    <w:name w:val="正文文本缩进 字符"/>
    <w:link w:val="19"/>
    <w:qFormat/>
    <w:uiPriority w:val="0"/>
    <w:rPr>
      <w:rFonts w:ascii="宋体" w:hAnsi="宋体"/>
      <w:kern w:val="2"/>
      <w:sz w:val="28"/>
      <w:szCs w:val="24"/>
    </w:rPr>
  </w:style>
  <w:style w:type="character" w:customStyle="1" w:styleId="62">
    <w:name w:val="纯文本 字符"/>
    <w:link w:val="22"/>
    <w:qFormat/>
    <w:uiPriority w:val="0"/>
    <w:rPr>
      <w:rFonts w:ascii="宋体" w:hAnsi="Courier New" w:cs="Courier New"/>
      <w:kern w:val="2"/>
      <w:sz w:val="21"/>
      <w:szCs w:val="21"/>
    </w:rPr>
  </w:style>
  <w:style w:type="character" w:customStyle="1" w:styleId="63">
    <w:name w:val="日期 字符"/>
    <w:link w:val="24"/>
    <w:qFormat/>
    <w:uiPriority w:val="0"/>
    <w:rPr>
      <w:kern w:val="2"/>
      <w:sz w:val="21"/>
      <w:szCs w:val="24"/>
    </w:rPr>
  </w:style>
  <w:style w:type="character" w:customStyle="1" w:styleId="64">
    <w:name w:val="正文文本缩进 2 字符"/>
    <w:link w:val="25"/>
    <w:qFormat/>
    <w:uiPriority w:val="0"/>
    <w:rPr>
      <w:rFonts w:ascii="宋体" w:hAnsi="宋体"/>
      <w:kern w:val="2"/>
      <w:sz w:val="28"/>
      <w:szCs w:val="24"/>
    </w:rPr>
  </w:style>
  <w:style w:type="character" w:customStyle="1" w:styleId="65">
    <w:name w:val="页脚 字符"/>
    <w:link w:val="27"/>
    <w:qFormat/>
    <w:uiPriority w:val="99"/>
    <w:rPr>
      <w:kern w:val="2"/>
      <w:sz w:val="18"/>
      <w:szCs w:val="18"/>
    </w:rPr>
  </w:style>
  <w:style w:type="character" w:customStyle="1" w:styleId="66">
    <w:name w:val="页眉 字符"/>
    <w:link w:val="28"/>
    <w:qFormat/>
    <w:uiPriority w:val="0"/>
    <w:rPr>
      <w:kern w:val="2"/>
      <w:sz w:val="18"/>
      <w:szCs w:val="18"/>
    </w:rPr>
  </w:style>
  <w:style w:type="character" w:customStyle="1" w:styleId="67">
    <w:name w:val="正文文本缩进 3 字符"/>
    <w:link w:val="32"/>
    <w:qFormat/>
    <w:uiPriority w:val="0"/>
    <w:rPr>
      <w:rFonts w:ascii="宋体" w:hAnsi="宋体"/>
      <w:kern w:val="2"/>
      <w:sz w:val="21"/>
      <w:szCs w:val="24"/>
    </w:rPr>
  </w:style>
  <w:style w:type="character" w:customStyle="1" w:styleId="68">
    <w:name w:val="正文文本 2 字符"/>
    <w:link w:val="35"/>
    <w:qFormat/>
    <w:uiPriority w:val="0"/>
    <w:rPr>
      <w:b/>
      <w:bCs/>
      <w:kern w:val="2"/>
      <w:sz w:val="28"/>
      <w:szCs w:val="24"/>
    </w:rPr>
  </w:style>
  <w:style w:type="character" w:customStyle="1" w:styleId="69">
    <w:name w:val="HTML 预设格式 字符"/>
    <w:link w:val="36"/>
    <w:qFormat/>
    <w:uiPriority w:val="0"/>
    <w:rPr>
      <w:rFonts w:ascii="黑体" w:hAnsi="Courier New" w:eastAsia="黑体" w:cs="Courier New"/>
    </w:rPr>
  </w:style>
  <w:style w:type="character" w:customStyle="1" w:styleId="70">
    <w:name w:val="批注主题 字符"/>
    <w:link w:val="39"/>
    <w:qFormat/>
    <w:uiPriority w:val="0"/>
    <w:rPr>
      <w:b/>
      <w:bCs/>
      <w:kern w:val="2"/>
      <w:sz w:val="21"/>
      <w:szCs w:val="24"/>
    </w:rPr>
  </w:style>
  <w:style w:type="paragraph" w:customStyle="1" w:styleId="71">
    <w:name w:val="样式1"/>
    <w:basedOn w:val="3"/>
    <w:qFormat/>
    <w:uiPriority w:val="0"/>
  </w:style>
  <w:style w:type="paragraph" w:customStyle="1" w:styleId="72">
    <w:name w:val="样式2"/>
    <w:basedOn w:val="3"/>
    <w:next w:val="71"/>
    <w:qFormat/>
    <w:uiPriority w:val="0"/>
  </w:style>
  <w:style w:type="paragraph" w:customStyle="1" w:styleId="73">
    <w:name w:val="样式3"/>
    <w:basedOn w:val="4"/>
    <w:qFormat/>
    <w:uiPriority w:val="0"/>
    <w:pPr>
      <w:jc w:val="center"/>
    </w:pPr>
    <w:rPr>
      <w:b/>
      <w:bCs w:val="0"/>
    </w:rPr>
  </w:style>
  <w:style w:type="paragraph" w:customStyle="1" w:styleId="74">
    <w:name w:val="样式4"/>
    <w:basedOn w:val="1"/>
    <w:qFormat/>
    <w:uiPriority w:val="0"/>
    <w:pPr>
      <w:jc w:val="center"/>
    </w:pPr>
    <w:rPr>
      <w:rFonts w:eastAsia="楷体_GB2312"/>
      <w:sz w:val="32"/>
    </w:rPr>
  </w:style>
  <w:style w:type="paragraph" w:customStyle="1" w:styleId="75">
    <w:name w:val="样式5"/>
    <w:basedOn w:val="1"/>
    <w:next w:val="72"/>
    <w:qFormat/>
    <w:uiPriority w:val="0"/>
    <w:pPr>
      <w:jc w:val="center"/>
    </w:pPr>
    <w:rPr>
      <w:rFonts w:eastAsia="楷体_GB2312"/>
      <w:sz w:val="32"/>
    </w:rPr>
  </w:style>
  <w:style w:type="character" w:customStyle="1" w:styleId="76">
    <w:name w:val="标题 2 Char"/>
    <w:qFormat/>
    <w:uiPriority w:val="0"/>
    <w:rPr>
      <w:rFonts w:ascii="Arial" w:hAnsi="Arial" w:eastAsia="楷体_GB2312"/>
      <w:bCs/>
      <w:kern w:val="2"/>
      <w:sz w:val="32"/>
      <w:szCs w:val="32"/>
      <w:lang w:val="en-US" w:eastAsia="zh-CN" w:bidi="ar-SA"/>
    </w:rPr>
  </w:style>
  <w:style w:type="character" w:customStyle="1" w:styleId="77">
    <w:name w:val="font201"/>
    <w:qFormat/>
    <w:uiPriority w:val="0"/>
    <w:rPr>
      <w:spacing w:val="250"/>
    </w:rPr>
  </w:style>
  <w:style w:type="paragraph" w:customStyle="1" w:styleId="78">
    <w:name w:val="xl2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79">
    <w:name w:val="标题 3 Char"/>
    <w:qFormat/>
    <w:uiPriority w:val="0"/>
    <w:rPr>
      <w:rFonts w:eastAsia="宋体"/>
      <w:b/>
      <w:bCs/>
      <w:kern w:val="2"/>
      <w:sz w:val="32"/>
      <w:szCs w:val="32"/>
      <w:lang w:val="en-US" w:eastAsia="zh-CN" w:bidi="ar-SA"/>
    </w:rPr>
  </w:style>
  <w:style w:type="character" w:customStyle="1" w:styleId="80">
    <w:name w:val="正文文本 Char"/>
    <w:qFormat/>
    <w:uiPriority w:val="0"/>
    <w:rPr>
      <w:rFonts w:eastAsia="宋体"/>
      <w:kern w:val="2"/>
      <w:sz w:val="28"/>
      <w:szCs w:val="24"/>
      <w:lang w:val="en-US" w:eastAsia="zh-CN" w:bidi="ar-SA"/>
    </w:rPr>
  </w:style>
  <w:style w:type="paragraph" w:customStyle="1" w:styleId="81">
    <w:name w:val="正文（首行缩进两字）"/>
    <w:basedOn w:val="1"/>
    <w:qFormat/>
    <w:uiPriority w:val="0"/>
    <w:rPr>
      <w:szCs w:val="21"/>
    </w:rPr>
  </w:style>
  <w:style w:type="paragraph" w:customStyle="1" w:styleId="8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3">
    <w:name w:val="Char Char Char Char Char Char"/>
    <w:basedOn w:val="1"/>
    <w:next w:val="2"/>
    <w:qFormat/>
    <w:uiPriority w:val="0"/>
    <w:rPr>
      <w:sz w:val="28"/>
      <w:szCs w:val="28"/>
    </w:rPr>
  </w:style>
  <w:style w:type="paragraph" w:customStyle="1" w:styleId="84">
    <w:name w:val="xl29"/>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8"/>
      <w:szCs w:val="28"/>
    </w:rPr>
  </w:style>
  <w:style w:type="paragraph" w:customStyle="1" w:styleId="85">
    <w:name w:val="xl33"/>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86">
    <w:name w:val="正文文字 Char Char"/>
    <w:basedOn w:val="1"/>
    <w:next w:val="18"/>
    <w:qFormat/>
    <w:uiPriority w:val="0"/>
    <w:pPr>
      <w:jc w:val="center"/>
    </w:pPr>
  </w:style>
  <w:style w:type="paragraph" w:customStyle="1" w:styleId="87">
    <w:name w:val="xl71"/>
    <w:basedOn w:val="1"/>
    <w:qFormat/>
    <w:uiPriority w:val="0"/>
    <w:pPr>
      <w:widowControl/>
      <w:pBdr>
        <w:left w:val="single" w:color="auto" w:sz="4" w:space="0"/>
        <w:right w:val="single" w:color="auto" w:sz="4" w:space="0"/>
      </w:pBdr>
      <w:spacing w:before="100" w:beforeAutospacing="1" w:after="100" w:afterAutospacing="1"/>
      <w:jc w:val="center"/>
    </w:pPr>
    <w:rPr>
      <w:rFonts w:hint="eastAsia" w:ascii="宋体" w:hAnsi="宋体"/>
      <w:color w:val="000000"/>
      <w:kern w:val="0"/>
      <w:sz w:val="24"/>
    </w:rPr>
  </w:style>
  <w:style w:type="paragraph" w:customStyle="1" w:styleId="88">
    <w:name w:val="TOC 标题1"/>
    <w:basedOn w:val="3"/>
    <w:next w:val="1"/>
    <w:qFormat/>
    <w:uiPriority w:val="39"/>
    <w:pPr>
      <w:keepLines/>
      <w:widowControl/>
      <w:spacing w:before="480" w:line="276" w:lineRule="auto"/>
      <w:jc w:val="left"/>
      <w:outlineLvl w:val="9"/>
    </w:pPr>
    <w:rPr>
      <w:rFonts w:ascii="Cambria" w:hAnsi="Cambria" w:eastAsia="宋体"/>
      <w:b/>
      <w:bCs/>
      <w:color w:val="365F91"/>
      <w:kern w:val="0"/>
      <w:sz w:val="28"/>
      <w:szCs w:val="28"/>
    </w:rPr>
  </w:style>
  <w:style w:type="paragraph" w:customStyle="1" w:styleId="89">
    <w:name w:val="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character" w:customStyle="1" w:styleId="90">
    <w:name w:val="sh141"/>
    <w:qFormat/>
    <w:uiPriority w:val="0"/>
    <w:rPr>
      <w:color w:val="2B2B2B"/>
      <w:sz w:val="28"/>
      <w:szCs w:val="28"/>
    </w:rPr>
  </w:style>
  <w:style w:type="paragraph" w:customStyle="1" w:styleId="91">
    <w:name w:val="样式35"/>
    <w:basedOn w:val="1"/>
    <w:qFormat/>
    <w:uiPriority w:val="0"/>
    <w:pPr>
      <w:adjustRightInd w:val="0"/>
      <w:spacing w:line="312" w:lineRule="auto"/>
      <w:ind w:firstLine="567"/>
    </w:pPr>
    <w:rPr>
      <w:rFonts w:ascii="宋体"/>
      <w:kern w:val="0"/>
      <w:sz w:val="28"/>
      <w:szCs w:val="20"/>
    </w:rPr>
  </w:style>
  <w:style w:type="paragraph" w:customStyle="1" w:styleId="92">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3">
    <w:name w:val="tpc_title1"/>
    <w:qFormat/>
    <w:uiPriority w:val="0"/>
    <w:rPr>
      <w:b/>
      <w:bCs/>
      <w:sz w:val="18"/>
      <w:szCs w:val="18"/>
    </w:rPr>
  </w:style>
  <w:style w:type="paragraph" w:customStyle="1" w:styleId="94">
    <w:name w:val="Char Char Char Char Char Char1"/>
    <w:basedOn w:val="1"/>
    <w:next w:val="2"/>
    <w:qFormat/>
    <w:uiPriority w:val="0"/>
    <w:rPr>
      <w:sz w:val="28"/>
      <w:szCs w:val="28"/>
    </w:rPr>
  </w:style>
  <w:style w:type="paragraph" w:customStyle="1" w:styleId="95">
    <w:name w:val="Char Char Char Char2"/>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9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97">
    <w:name w:val="font20"/>
    <w:qFormat/>
    <w:uiPriority w:val="0"/>
  </w:style>
  <w:style w:type="paragraph" w:customStyle="1" w:styleId="98">
    <w:name w:val="Char Char Char Char Char Char Char Char Char"/>
    <w:basedOn w:val="1"/>
    <w:qFormat/>
    <w:uiPriority w:val="0"/>
    <w:pPr>
      <w:adjustRightInd w:val="0"/>
      <w:spacing w:beforeLines="150" w:afterLines="100" w:line="360" w:lineRule="auto"/>
      <w:ind w:firstLine="200" w:firstLineChars="200"/>
      <w:textAlignment w:val="baseline"/>
    </w:pPr>
    <w:rPr>
      <w:rFonts w:ascii="宋体" w:hAnsi="宋体" w:cs="宋体"/>
      <w:sz w:val="24"/>
    </w:rPr>
  </w:style>
  <w:style w:type="paragraph" w:customStyle="1" w:styleId="99">
    <w:name w:val="Char Char Char Char Char Char Char Char Char Char Char Char"/>
    <w:basedOn w:val="1"/>
    <w:qFormat/>
    <w:uiPriority w:val="0"/>
    <w:pPr>
      <w:adjustRightInd w:val="0"/>
      <w:spacing w:beforeLines="150" w:afterLines="100" w:line="360" w:lineRule="auto"/>
      <w:ind w:firstLine="200" w:firstLineChars="200"/>
      <w:textAlignment w:val="baseline"/>
    </w:pPr>
    <w:rPr>
      <w:rFonts w:ascii="宋体" w:hAnsi="宋体" w:cs="宋体"/>
      <w:sz w:val="24"/>
    </w:rPr>
  </w:style>
  <w:style w:type="paragraph" w:customStyle="1" w:styleId="100">
    <w:name w:val="样式 标题 2 + 四号 非加粗 左侧:  0.74 厘米"/>
    <w:basedOn w:val="4"/>
    <w:link w:val="101"/>
    <w:qFormat/>
    <w:uiPriority w:val="0"/>
    <w:pPr>
      <w:spacing w:line="415" w:lineRule="auto"/>
    </w:pPr>
    <w:rPr>
      <w:rFonts w:eastAsia="黑体" w:cs="宋体"/>
      <w:b/>
      <w:color w:val="FF0000"/>
      <w:kern w:val="44"/>
      <w:sz w:val="28"/>
      <w:szCs w:val="28"/>
    </w:rPr>
  </w:style>
  <w:style w:type="character" w:customStyle="1" w:styleId="101">
    <w:name w:val="样式 标题 2 + 四号 非加粗 左侧:  0.74 厘米 Char"/>
    <w:link w:val="100"/>
    <w:qFormat/>
    <w:uiPriority w:val="0"/>
    <w:rPr>
      <w:rFonts w:ascii="Arial" w:hAnsi="Arial" w:eastAsia="黑体" w:cs="宋体"/>
      <w:b/>
      <w:bCs/>
      <w:color w:val="FF0000"/>
      <w:kern w:val="44"/>
      <w:sz w:val="28"/>
      <w:szCs w:val="28"/>
      <w:lang w:val="en-US" w:eastAsia="zh-CN" w:bidi="ar-SA"/>
    </w:rPr>
  </w:style>
  <w:style w:type="paragraph" w:customStyle="1" w:styleId="102">
    <w:name w:val="样式 样式 标题 2 + 四号 非加粗 左侧:  0.74 厘米 + 仿宋_GB2312"/>
    <w:basedOn w:val="100"/>
    <w:link w:val="103"/>
    <w:qFormat/>
    <w:uiPriority w:val="0"/>
    <w:rPr>
      <w:rFonts w:eastAsia="仿宋_GB2312"/>
    </w:rPr>
  </w:style>
  <w:style w:type="character" w:customStyle="1" w:styleId="103">
    <w:name w:val="样式 样式 标题 2 + 四号 非加粗 左侧:  0.74 厘米 + 仿宋_GB2312 Char"/>
    <w:link w:val="102"/>
    <w:qFormat/>
    <w:uiPriority w:val="0"/>
    <w:rPr>
      <w:rFonts w:ascii="Arial" w:hAnsi="Arial" w:eastAsia="仿宋_GB2312" w:cs="宋体"/>
      <w:b/>
      <w:bCs/>
      <w:color w:val="FF0000"/>
      <w:kern w:val="44"/>
      <w:sz w:val="28"/>
      <w:szCs w:val="28"/>
      <w:lang w:val="en-US" w:eastAsia="zh-CN" w:bidi="ar-SA"/>
    </w:rPr>
  </w:style>
  <w:style w:type="paragraph" w:customStyle="1" w:styleId="104">
    <w:name w:val="正文一"/>
    <w:basedOn w:val="1"/>
    <w:link w:val="105"/>
    <w:qFormat/>
    <w:uiPriority w:val="0"/>
    <w:pPr>
      <w:spacing w:line="360" w:lineRule="auto"/>
      <w:ind w:firstLine="200" w:firstLineChars="200"/>
      <w:jc w:val="left"/>
    </w:pPr>
    <w:rPr>
      <w:rFonts w:ascii="仿宋_GB2312" w:eastAsia="仿宋_GB2312" w:cs="宋体"/>
      <w:kern w:val="0"/>
      <w:sz w:val="28"/>
      <w:szCs w:val="28"/>
    </w:rPr>
  </w:style>
  <w:style w:type="character" w:customStyle="1" w:styleId="105">
    <w:name w:val="正文一 Char"/>
    <w:link w:val="104"/>
    <w:qFormat/>
    <w:uiPriority w:val="0"/>
    <w:rPr>
      <w:rFonts w:ascii="仿宋_GB2312" w:eastAsia="仿宋_GB2312" w:cs="宋体"/>
      <w:sz w:val="28"/>
      <w:szCs w:val="28"/>
      <w:lang w:val="en-US" w:eastAsia="zh-CN" w:bidi="ar-SA"/>
    </w:rPr>
  </w:style>
  <w:style w:type="paragraph" w:customStyle="1" w:styleId="106">
    <w:name w:val="Char Char Char Char1"/>
    <w:basedOn w:val="1"/>
    <w:qFormat/>
    <w:uiPriority w:val="0"/>
    <w:rPr>
      <w:sz w:val="24"/>
    </w:rPr>
  </w:style>
  <w:style w:type="paragraph" w:customStyle="1" w:styleId="107">
    <w:name w:val="Char Char Char"/>
    <w:basedOn w:val="1"/>
    <w:qFormat/>
    <w:uiPriority w:val="0"/>
  </w:style>
  <w:style w:type="paragraph" w:customStyle="1" w:styleId="108">
    <w:name w:val="Char"/>
    <w:basedOn w:val="1"/>
    <w:qFormat/>
    <w:uiPriority w:val="0"/>
  </w:style>
  <w:style w:type="paragraph" w:customStyle="1" w:styleId="109">
    <w:name w:val="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3"/>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character" w:customStyle="1" w:styleId="113">
    <w:name w:val="apple-converted-space"/>
    <w:qFormat/>
    <w:uiPriority w:val="0"/>
  </w:style>
  <w:style w:type="character" w:customStyle="1" w:styleId="114">
    <w:name w:val="未处理的提及1"/>
    <w:unhideWhenUsed/>
    <w:qFormat/>
    <w:uiPriority w:val="99"/>
    <w:rPr>
      <w:color w:val="605E5C"/>
      <w:shd w:val="clear" w:color="auto" w:fill="E1DFDD"/>
    </w:rPr>
  </w:style>
  <w:style w:type="table" w:customStyle="1" w:styleId="115">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116">
    <w:name w:val="首行缩进"/>
    <w:basedOn w:val="1"/>
    <w:qFormat/>
    <w:uiPriority w:val="0"/>
    <w:pPr>
      <w:ind w:firstLine="200" w:firstLineChars="200"/>
    </w:pPr>
    <w:rPr>
      <w:rFonts w:eastAsia="仿宋_GB2312"/>
      <w:sz w:val="28"/>
      <w:szCs w:val="28"/>
    </w:rPr>
  </w:style>
  <w:style w:type="character" w:customStyle="1" w:styleId="117">
    <w:name w:val="首行缩进2字符 Char"/>
    <w:link w:val="118"/>
    <w:qFormat/>
    <w:uiPriority w:val="0"/>
    <w:rPr>
      <w:kern w:val="2"/>
      <w:sz w:val="21"/>
      <w:szCs w:val="24"/>
    </w:rPr>
  </w:style>
  <w:style w:type="paragraph" w:customStyle="1" w:styleId="118">
    <w:name w:val="首行缩进2字符"/>
    <w:basedOn w:val="1"/>
    <w:link w:val="117"/>
    <w:qFormat/>
    <w:uiPriority w:val="0"/>
    <w:pPr>
      <w:ind w:firstLine="200" w:firstLineChars="200"/>
    </w:pPr>
  </w:style>
  <w:style w:type="paragraph" w:customStyle="1" w:styleId="119">
    <w:name w:val="居中"/>
    <w:basedOn w:val="1"/>
    <w:qFormat/>
    <w:uiPriority w:val="0"/>
    <w:pPr>
      <w:widowControl/>
      <w:jc w:val="center"/>
    </w:pPr>
    <w:rPr>
      <w:rFonts w:ascii="Calibri" w:hAnsi="Calibri"/>
      <w:kern w:val="0"/>
      <w:sz w:val="24"/>
      <w:lang w:eastAsia="en-US" w:bidi="en-US"/>
    </w:rPr>
  </w:style>
  <w:style w:type="paragraph" w:customStyle="1" w:styleId="12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121">
    <w:name w:val="cf01"/>
    <w:qFormat/>
    <w:uiPriority w:val="0"/>
    <w:rPr>
      <w:rFonts w:hint="eastAsia" w:ascii="Microsoft YaHei UI" w:hAnsi="Microsoft YaHei UI" w:eastAsia="Microsoft YaHei UI"/>
      <w:color w:val="333333"/>
      <w:sz w:val="18"/>
      <w:szCs w:val="18"/>
    </w:rPr>
  </w:style>
  <w:style w:type="paragraph" w:styleId="122">
    <w:name w:val="List Paragraph"/>
    <w:basedOn w:val="1"/>
    <w:qFormat/>
    <w:uiPriority w:val="34"/>
    <w:pPr>
      <w:spacing w:line="400" w:lineRule="exact"/>
      <w:ind w:firstLine="420" w:firstLineChars="2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x-do\Desktop\01%20&#20891;&#33829;&#39044;&#35780;&#20215;23.11.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C:\Users\fx-do\Desktop\01 军营预评价23.11.25.dotx</Template>
  <Pages>59</Pages>
  <Words>5787</Words>
  <Characters>32991</Characters>
  <Lines>274</Lines>
  <Paragraphs>77</Paragraphs>
  <TotalTime>0</TotalTime>
  <ScaleCrop>false</ScaleCrop>
  <LinksUpToDate>false</LinksUpToDate>
  <CharactersWithSpaces>38701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2023-11-29T10:29:00Z</dcterms:created>
  <dc:creator>钟建辉</dc:creator>
  <cp:lastModifiedBy>Yyl</cp:lastModifiedBy>
  <cp:lastPrinted>2023-12-04T03:47:43Z</cp:lastPrinted>
  <dcterms:modified xsi:type="dcterms:W3CDTF">2023-12-04T03:48:02Z</dcterms:modified>
  <dc:title>安全评价报告书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37288E1EBC504FDCBD3015CFF00C5FB3_12</vt:lpwstr>
  </property>
</Properties>
</file>